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40"/>
        <w:jc w:val="right"/>
      </w:pPr>
      <w:r>
        <w:rPr>
          <w:rFonts w:ascii="Calibri" w:hAnsi="Calibri"/>
          <w:b/>
          <w:color w:val="CC0000"/>
          <w:sz w:val="18"/>
        </w:rPr>
        <w:t>VERTROUWELIJK</w:t>
      </w:r>
    </w:p>
    <w:p>
      <w:pPr>
        <w:spacing w:after="80" w:line="240" w:lineRule="auto"/>
        <w:jc w:val="left"/>
      </w:pPr>
      <w:r>
        <w:rPr>
          <w:rFonts w:ascii="Calibri" w:hAnsi="Calibri"/>
          <w:b/>
          <w:color w:val="003366"/>
          <w:sz w:val="32"/>
        </w:rPr>
        <w:t>FISCALE ADVISERING — ZZP BELASTINGAFTREK</w:t>
      </w:r>
    </w:p>
    <w:p>
      <w:pPr>
        <w:spacing w:after="200"/>
      </w:pPr>
      <w:r>
        <w:rPr>
          <w:rFonts w:ascii="Calibri" w:hAnsi="Calibri"/>
          <w:color w:val="003366"/>
          <w:sz w:val="26"/>
        </w:rPr>
        <w:t>Project: HH&amp;C ZZP Opstartplan</w:t>
      </w:r>
    </w:p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4680"/>
        <w:gridCol w:w="4680"/>
      </w:tblGrid>
      <w:tr>
        <w:tc>
          <w:tcPr>
            <w:tcW w:type="dxa" w:w="2268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/>
                <w:color w:val="003366"/>
                <w:sz w:val="20"/>
              </w:rPr>
              <w:t>Opdrachtgever</w:t>
            </w:r>
          </w:p>
        </w:tc>
        <w:tc>
          <w:tcPr>
            <w:tcW w:type="dxa" w:w="6803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color w:val="333333"/>
                <w:sz w:val="20"/>
              </w:rPr>
              <w:t>Jorick van Gemert (JvG Consultancy)</w:t>
            </w:r>
          </w:p>
        </w:tc>
      </w:tr>
      <w:tr>
        <w:tc>
          <w:tcPr>
            <w:tcW w:type="dxa" w:w="2268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/>
                <w:color w:val="003366"/>
                <w:sz w:val="20"/>
              </w:rPr>
              <w:t>Auteur</w:t>
            </w:r>
          </w:p>
        </w:tc>
        <w:tc>
          <w:tcPr>
            <w:tcW w:type="dxa" w:w="6803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color w:val="333333"/>
                <w:sz w:val="20"/>
              </w:rPr>
              <w:t>Business Analyst via Kas (Director of Operations)</w:t>
            </w:r>
          </w:p>
        </w:tc>
      </w:tr>
      <w:tr>
        <w:tc>
          <w:tcPr>
            <w:tcW w:type="dxa" w:w="2268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/>
                <w:color w:val="003366"/>
                <w:sz w:val="20"/>
              </w:rPr>
              <w:t>Versie</w:t>
            </w:r>
          </w:p>
        </w:tc>
        <w:tc>
          <w:tcPr>
            <w:tcW w:type="dxa" w:w="6803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color w:val="333333"/>
                <w:sz w:val="20"/>
              </w:rPr>
              <w:t>1.0</w:t>
            </w:r>
          </w:p>
        </w:tc>
      </w:tr>
      <w:tr>
        <w:tc>
          <w:tcPr>
            <w:tcW w:type="dxa" w:w="2268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/>
                <w:color w:val="003366"/>
                <w:sz w:val="20"/>
              </w:rPr>
              <w:t>Datum</w:t>
            </w:r>
          </w:p>
        </w:tc>
        <w:tc>
          <w:tcPr>
            <w:tcW w:type="dxa" w:w="6803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color w:val="333333"/>
                <w:sz w:val="20"/>
              </w:rPr>
              <w:t>2026-07-29</w:t>
            </w:r>
          </w:p>
        </w:tc>
      </w:tr>
      <w:tr>
        <w:tc>
          <w:tcPr>
            <w:tcW w:type="dxa" w:w="2268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/>
                <w:color w:val="003366"/>
                <w:sz w:val="20"/>
              </w:rPr>
              <w:t>Status</w:t>
            </w:r>
          </w:p>
        </w:tc>
        <w:tc>
          <w:tcPr>
            <w:tcW w:type="dxa" w:w="6803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color w:val="333333"/>
                <w:sz w:val="20"/>
              </w:rPr>
              <w:t>Final</w:t>
            </w:r>
          </w:p>
        </w:tc>
      </w:tr>
      <w:tr>
        <w:tc>
          <w:tcPr>
            <w:tcW w:type="dxa" w:w="2268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/>
                <w:color w:val="003366"/>
                <w:sz w:val="20"/>
              </w:rPr>
              <w:t>Classificatie</w:t>
            </w:r>
          </w:p>
        </w:tc>
        <w:tc>
          <w:tcPr>
            <w:tcW w:type="dxa" w:w="6803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color w:val="333333"/>
                <w:sz w:val="20"/>
              </w:rPr>
              <w:t>Vertrouwelijk</w:t>
            </w:r>
          </w:p>
        </w:tc>
      </w:tr>
    </w:tbl>
    <w:p>
      <w:pPr>
        <w:spacing w:before="0" w:after="240"/>
      </w:pPr>
    </w:p>
    <w:p>
      <w:pPr>
        <w:spacing w:before="0" w:after="240"/>
        <w:pBdr>
          <w:bottom w:val="single" w:sz="8" w:color="003366" w:space="1"/>
        </w:pBdr>
      </w:pPr>
    </w:p>
    <w:p>
      <w:pPr>
        <w:pStyle w:val="Heading1"/>
        <w:spacing w:before="280" w:after="120" w:line="240" w:lineRule="auto"/>
      </w:pPr>
      <w:r>
        <w:rPr>
          <w:rFonts w:ascii="Calibri" w:hAnsi="Calibri"/>
          <w:b/>
          <w:color w:val="003366"/>
          <w:sz w:val="32"/>
        </w:rPr>
        <w:t>1. Executive Summary</w:t>
      </w:r>
    </w:p>
    <w:p>
      <w:pPr>
        <w:spacing w:line="276" w:lineRule="auto" w:after="120"/>
      </w:pPr>
      <w:r>
        <w:rPr>
          <w:rFonts w:ascii="Calibri" w:hAnsi="Calibri"/>
          <w:b w:val="0"/>
          <w:i w:val="0"/>
          <w:color w:val="333333"/>
          <w:sz w:val="24"/>
        </w:rPr>
        <w:t>Dit advies beantwoordt drie fiscale vraagstukken voor de ZZP-structuur van Jorick van Gemert:</w:t>
      </w:r>
    </w:p>
    <w:p>
      <w:pPr>
        <w:spacing w:line="276" w:lineRule="auto" w:after="120"/>
      </w:pPr>
      <w:r>
        <w:rPr>
          <w:rFonts w:ascii="Calibri" w:hAnsi="Calibri"/>
          <w:b w:val="0"/>
          <w:i w:val="0"/>
          <w:color w:val="333333"/>
          <w:sz w:val="24"/>
        </w:rPr>
        <w:t>1. Zakelijke aftrekposten: Jaarlijks €1.160 tot €2.060 aftrekbaar voor Ziggo, Vodafone en Featherless AI.</w:t>
      </w:r>
    </w:p>
    <w:p>
      <w:pPr>
        <w:spacing w:line="276" w:lineRule="auto" w:after="120"/>
      </w:pPr>
      <w:r>
        <w:rPr>
          <w:rFonts w:ascii="Calibri" w:hAnsi="Calibri"/>
          <w:b w:val="0"/>
          <w:i w:val="0"/>
          <w:color w:val="333333"/>
          <w:sz w:val="24"/>
        </w:rPr>
        <w:t>2. Stopstrategie: Optie B aanbevolen — na 2 jaar reductie naar 1 dag/week in plaats van volledige stop.</w:t>
      </w:r>
    </w:p>
    <w:p>
      <w:pPr>
        <w:spacing w:line="276" w:lineRule="auto" w:after="120"/>
      </w:pPr>
      <w:r>
        <w:rPr>
          <w:rFonts w:ascii="Calibri" w:hAnsi="Calibri"/>
          <w:b w:val="0"/>
          <w:i w:val="0"/>
          <w:color w:val="333333"/>
          <w:sz w:val="24"/>
        </w:rPr>
        <w:t>3. Aftrekposten bij minimale ZZP: ~€260/jaar proportioneel aftrekbaar bij 1 dag/week.</w:t>
      </w:r>
    </w:p>
    <w:p>
      <w:pPr>
        <w:spacing w:before="0" w:after="80"/>
      </w:pPr>
    </w:p>
    <w:p>
      <w:pPr>
        <w:spacing w:line="276" w:lineRule="auto" w:after="120"/>
      </w:pPr>
      <w:r>
        <w:rPr>
          <w:rFonts w:ascii="Calibri" w:hAnsi="Calibri"/>
          <w:b w:val="0"/>
          <w:i w:val="0"/>
          <w:color w:val="333333"/>
          <w:sz w:val="24"/>
        </w:rPr>
        <w:t>Deze advisering is gebaseerd op de Nederlandse belastingwetgeving 2026 en de specifieke situatie van twee opdrachtgevers met een uurtarief van €100.</w:t>
      </w:r>
    </w:p>
    <w:p>
      <w:pPr>
        <w:pStyle w:val="Heading1"/>
        <w:spacing w:before="280" w:after="120" w:line="240" w:lineRule="auto"/>
      </w:pPr>
      <w:r>
        <w:rPr>
          <w:rFonts w:ascii="Calibri" w:hAnsi="Calibri"/>
          <w:b/>
          <w:color w:val="003366"/>
          <w:sz w:val="32"/>
        </w:rPr>
        <w:t>2. Zakelijke Aftrekposten</w:t>
      </w:r>
    </w:p>
    <w:p>
      <w:pPr>
        <w:pStyle w:val="Heading2"/>
        <w:spacing w:before="200" w:after="120" w:line="240" w:lineRule="auto"/>
      </w:pPr>
      <w:r>
        <w:rPr>
          <w:rFonts w:ascii="Calibri" w:hAnsi="Calibri"/>
          <w:b/>
          <w:color w:val="003366"/>
          <w:sz w:val="28"/>
        </w:rPr>
        <w:t>2.1 Overzicht</w:t>
      </w:r>
    </w:p>
    <w:p>
      <w:pPr>
        <w:spacing w:line="276" w:lineRule="auto" w:after="120"/>
      </w:pPr>
      <w:r>
        <w:rPr>
          <w:rFonts w:ascii="Calibri" w:hAnsi="Calibri"/>
          <w:b w:val="0"/>
          <w:i w:val="0"/>
          <w:color w:val="333333"/>
          <w:sz w:val="24"/>
        </w:rPr>
        <w:t>De volgende posten zijn aftrekbaar als zakelijke lasten van de onderneming, mits deze aantoonbaar in het belang van de onderneming worden gemaakt. Bewaar alle facturen en bankafschriften als bewijsvoering.</w:t>
      </w:r>
    </w:p>
    <w:p>
      <w:pPr>
        <w:spacing w:before="0" w:after="8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872"/>
        <w:gridCol w:w="1872"/>
        <w:gridCol w:w="1872"/>
        <w:gridCol w:w="1872"/>
        <w:gridCol w:w="1872"/>
      </w:tblGrid>
      <w:tr>
        <w:tc>
          <w:tcPr>
            <w:tcW w:type="dxa" w:w="3118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pPr>
              <w:spacing w:before="40" w:after="40"/>
              <w:jc w:val="center"/>
            </w:pPr>
            <w:r/>
            <w:r>
              <w:rPr>
                <w:rFonts w:ascii="Calibri" w:hAnsi="Calibri"/>
                <w:b/>
                <w:color w:val="FFFFFF"/>
                <w:sz w:val="22"/>
              </w:rPr>
              <w:t>Post</w:t>
            </w:r>
          </w:p>
        </w:tc>
        <w:tc>
          <w:tcPr>
            <w:tcW w:type="dxa" w:w="1587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pPr>
              <w:spacing w:before="40" w:after="40"/>
              <w:jc w:val="center"/>
            </w:pPr>
            <w:r/>
            <w:r>
              <w:rPr>
                <w:rFonts w:ascii="Calibri" w:hAnsi="Calibri"/>
                <w:b/>
                <w:color w:val="FFFFFF"/>
                <w:sz w:val="22"/>
              </w:rPr>
              <w:t>Maandbedrag</w:t>
            </w:r>
          </w:p>
        </w:tc>
        <w:tc>
          <w:tcPr>
            <w:tcW w:type="dxa" w:w="1587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pPr>
              <w:spacing w:before="40" w:after="40"/>
              <w:jc w:val="center"/>
            </w:pPr>
            <w:r/>
            <w:r>
              <w:rPr>
                <w:rFonts w:ascii="Calibri" w:hAnsi="Calibri"/>
                <w:b/>
                <w:color w:val="FFFFFF"/>
                <w:sz w:val="22"/>
              </w:rPr>
              <w:t>Jaarbedrag</w:t>
            </w:r>
          </w:p>
        </w:tc>
        <w:tc>
          <w:tcPr>
            <w:tcW w:type="dxa" w:w="1417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pPr>
              <w:spacing w:before="40" w:after="40"/>
              <w:jc w:val="center"/>
            </w:pPr>
            <w:r/>
            <w:r>
              <w:rPr>
                <w:rFonts w:ascii="Calibri" w:hAnsi="Calibri"/>
                <w:b/>
                <w:color w:val="FFFFFF"/>
                <w:sz w:val="22"/>
              </w:rPr>
              <w:t>Aftrekbaar %</w:t>
            </w:r>
          </w:p>
        </w:tc>
        <w:tc>
          <w:tcPr>
            <w:tcW w:type="dxa" w:w="1701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pPr>
              <w:spacing w:before="40" w:after="40"/>
              <w:jc w:val="center"/>
            </w:pPr>
            <w:r/>
            <w:r>
              <w:rPr>
                <w:rFonts w:ascii="Calibri" w:hAnsi="Calibri"/>
                <w:b/>
                <w:color w:val="FFFFFF"/>
                <w:sz w:val="22"/>
              </w:rPr>
              <w:t>Aftrekbaar (€)</w:t>
            </w:r>
          </w:p>
        </w:tc>
      </w:tr>
      <w:tr>
        <w:tc>
          <w:tcPr>
            <w:tcW w:type="dxa" w:w="3118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/>
                <w:color w:val="333333"/>
                <w:sz w:val="22"/>
              </w:rPr>
              <w:t>Ziggo (internet/TV zakelijk)</w:t>
            </w:r>
          </w:p>
        </w:tc>
        <w:tc>
          <w:tcPr>
            <w:tcW w:type="dxa" w:w="1587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color w:val="333333"/>
                <w:sz w:val="22"/>
              </w:rPr>
              <w:t>€50-80</w:t>
            </w:r>
          </w:p>
        </w:tc>
        <w:tc>
          <w:tcPr>
            <w:tcW w:type="dxa" w:w="1587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color w:val="333333"/>
                <w:sz w:val="22"/>
              </w:rPr>
              <w:t>€600-960</w:t>
            </w:r>
          </w:p>
        </w:tc>
        <w:tc>
          <w:tcPr>
            <w:tcW w:type="dxa" w:w="1417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color w:val="333333"/>
                <w:sz w:val="22"/>
              </w:rPr>
              <w:t>100%</w:t>
            </w:r>
          </w:p>
        </w:tc>
        <w:tc>
          <w:tcPr>
            <w:tcW w:type="dxa" w:w="1701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color w:val="333333"/>
                <w:sz w:val="22"/>
              </w:rPr>
              <w:t>€600-960</w:t>
            </w:r>
          </w:p>
        </w:tc>
      </w:tr>
      <w:tr>
        <w:tc>
          <w:tcPr>
            <w:tcW w:type="dxa" w:w="3118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/>
                <w:color w:val="333333"/>
                <w:sz w:val="22"/>
              </w:rPr>
              <w:t>Vodafone (mobiel zakelijk)</w:t>
            </w:r>
          </w:p>
        </w:tc>
        <w:tc>
          <w:tcPr>
            <w:tcW w:type="dxa" w:w="1587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color w:val="333333"/>
                <w:sz w:val="22"/>
              </w:rPr>
              <w:t>€30-50</w:t>
            </w:r>
          </w:p>
        </w:tc>
        <w:tc>
          <w:tcPr>
            <w:tcW w:type="dxa" w:w="1587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color w:val="333333"/>
                <w:sz w:val="22"/>
              </w:rPr>
              <w:t>€360-600</w:t>
            </w:r>
          </w:p>
        </w:tc>
        <w:tc>
          <w:tcPr>
            <w:tcW w:type="dxa" w:w="1417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color w:val="333333"/>
                <w:sz w:val="22"/>
              </w:rPr>
              <w:t>100%</w:t>
            </w:r>
          </w:p>
        </w:tc>
        <w:tc>
          <w:tcPr>
            <w:tcW w:type="dxa" w:w="1701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color w:val="333333"/>
                <w:sz w:val="22"/>
              </w:rPr>
              <w:t>€360-600</w:t>
            </w:r>
          </w:p>
        </w:tc>
      </w:tr>
      <w:tr>
        <w:tc>
          <w:tcPr>
            <w:tcW w:type="dxa" w:w="3118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/>
                <w:color w:val="333333"/>
                <w:sz w:val="22"/>
              </w:rPr>
              <w:t>Featherless AI (API kosten)</w:t>
            </w:r>
          </w:p>
        </w:tc>
        <w:tc>
          <w:tcPr>
            <w:tcW w:type="dxa" w:w="1587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color w:val="333333"/>
                <w:sz w:val="22"/>
              </w:rPr>
              <w:t>€17-42</w:t>
            </w:r>
          </w:p>
        </w:tc>
        <w:tc>
          <w:tcPr>
            <w:tcW w:type="dxa" w:w="1587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color w:val="333333"/>
                <w:sz w:val="22"/>
              </w:rPr>
              <w:t>€200-500</w:t>
            </w:r>
          </w:p>
        </w:tc>
        <w:tc>
          <w:tcPr>
            <w:tcW w:type="dxa" w:w="1417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color w:val="333333"/>
                <w:sz w:val="22"/>
              </w:rPr>
              <w:t>100%</w:t>
            </w:r>
          </w:p>
        </w:tc>
        <w:tc>
          <w:tcPr>
            <w:tcW w:type="dxa" w:w="1701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color w:val="333333"/>
                <w:sz w:val="22"/>
              </w:rPr>
              <w:t>€200-500</w:t>
            </w:r>
          </w:p>
        </w:tc>
      </w:tr>
      <w:tr>
        <w:tc>
          <w:tcPr>
            <w:tcW w:type="dxa" w:w="3118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/>
                <w:color w:val="333333"/>
                <w:sz w:val="22"/>
              </w:rPr>
              <w:t>Totaal</w:t>
            </w:r>
          </w:p>
        </w:tc>
        <w:tc>
          <w:tcPr>
            <w:tcW w:type="dxa" w:w="1587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color w:val="333333"/>
                <w:sz w:val="22"/>
              </w:rPr>
            </w:r>
          </w:p>
        </w:tc>
        <w:tc>
          <w:tcPr>
            <w:tcW w:type="dxa" w:w="1587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color w:val="333333"/>
                <w:sz w:val="22"/>
              </w:rPr>
            </w:r>
          </w:p>
        </w:tc>
        <w:tc>
          <w:tcPr>
            <w:tcW w:type="dxa" w:w="1417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color w:val="333333"/>
                <w:sz w:val="22"/>
              </w:rPr>
            </w:r>
          </w:p>
        </w:tc>
        <w:tc>
          <w:tcPr>
            <w:tcW w:type="dxa" w:w="1701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color w:val="333333"/>
                <w:sz w:val="22"/>
              </w:rPr>
              <w:t>€1.160-2.060</w:t>
            </w:r>
          </w:p>
        </w:tc>
      </w:tr>
    </w:tbl>
    <w:p>
      <w:pPr>
        <w:spacing w:before="0" w:after="160"/>
      </w:pPr>
    </w:p>
    <w:p>
      <w:pPr>
        <w:pStyle w:val="Heading2"/>
        <w:spacing w:before="200" w:after="120" w:line="240" w:lineRule="auto"/>
      </w:pPr>
      <w:r>
        <w:rPr>
          <w:rFonts w:ascii="Calibri" w:hAnsi="Calibri"/>
          <w:b/>
          <w:color w:val="003366"/>
          <w:sz w:val="28"/>
        </w:rPr>
        <w:t>2.2 Voorwaarden voor Aftrek</w:t>
      </w:r>
    </w:p>
    <w:p>
      <w:pPr>
        <w:pStyle w:val="ListBullet"/>
        <w:spacing w:line="276" w:lineRule="auto" w:after="60"/>
      </w:pPr>
      <w:r>
        <w:rPr>
          <w:rFonts w:ascii="Calibri" w:hAnsi="Calibri"/>
          <w:color w:val="333333"/>
          <w:sz w:val="24"/>
        </w:rPr>
        <w:t>De uitgaven moeten direct samenhangen met de ondernemingsactiviteiten</w:t>
      </w:r>
    </w:p>
    <w:p>
      <w:pPr>
        <w:pStyle w:val="ListBullet"/>
        <w:spacing w:line="276" w:lineRule="auto" w:after="60"/>
      </w:pPr>
      <w:r>
        <w:rPr>
          <w:rFonts w:ascii="Calibri" w:hAnsi="Calibri"/>
          <w:color w:val="333333"/>
          <w:sz w:val="24"/>
        </w:rPr>
        <w:t>Gemengde kosten (zakelijk + privé) moeten pro rato worden verdeeld</w:t>
      </w:r>
    </w:p>
    <w:p>
      <w:pPr>
        <w:pStyle w:val="ListBullet"/>
        <w:spacing w:line="276" w:lineRule="auto" w:after="60"/>
      </w:pPr>
      <w:r>
        <w:rPr>
          <w:rFonts w:ascii="Calibri" w:hAnsi="Calibri"/>
          <w:color w:val="333333"/>
          <w:sz w:val="24"/>
        </w:rPr>
        <w:t>Bewijsvoering: facturen met bedrijfsnaam, bankafschriften, urenregistratie</w:t>
      </w:r>
    </w:p>
    <w:p>
      <w:pPr>
        <w:pStyle w:val="ListBullet"/>
        <w:spacing w:line="276" w:lineRule="auto" w:after="60"/>
      </w:pPr>
      <w:r>
        <w:rPr>
          <w:rFonts w:ascii="Calibri" w:hAnsi="Calibri"/>
          <w:color w:val="333333"/>
          <w:sz w:val="24"/>
        </w:rPr>
        <w:t>De posten moeten worden geboekt in de winst- en verliesrekening van de onderneming</w:t>
      </w:r>
    </w:p>
    <w:p>
      <w:pPr>
        <w:spacing w:before="0" w:after="120"/>
      </w:pPr>
    </w:p>
    <w:p>
      <w:pPr>
        <w:pStyle w:val="Heading2"/>
        <w:spacing w:before="200" w:after="120" w:line="240" w:lineRule="auto"/>
      </w:pPr>
      <w:r>
        <w:rPr>
          <w:rFonts w:ascii="Calibri" w:hAnsi="Calibri"/>
          <w:b/>
          <w:color w:val="003366"/>
          <w:sz w:val="28"/>
        </w:rPr>
        <w:t>2.3 Praktische Toelichting per Post</w:t>
      </w:r>
    </w:p>
    <w:p>
      <w:pPr>
        <w:spacing w:line="276" w:lineRule="auto" w:after="120"/>
      </w:pPr>
      <w:r>
        <w:rPr>
          <w:rFonts w:ascii="Calibri" w:hAnsi="Calibri"/>
          <w:b w:val="0"/>
          <w:i w:val="0"/>
          <w:color w:val="333333"/>
          <w:sz w:val="24"/>
        </w:rPr>
        <w:t>Ziggo (Internet/TV): Zakelijk internet is essentieel voor communicatie met opdrachtgevers, facturatie en administratie. Het zakelijke deel is volledig aftrekbaar indien er een apart zakelijk abonnement is, of pro rato (bijvoorbeeld 70% zakelijk bij gemengd gebruik).</w:t>
      </w:r>
    </w:p>
    <w:p>
      <w:pPr>
        <w:spacing w:line="276" w:lineRule="auto" w:after="120"/>
      </w:pPr>
      <w:r>
        <w:rPr>
          <w:rFonts w:ascii="Calibri" w:hAnsi="Calibri"/>
          <w:b w:val="0"/>
          <w:i w:val="0"/>
          <w:color w:val="333333"/>
          <w:sz w:val="24"/>
        </w:rPr>
        <w:t>Vodafone (Mobiel): Zakelijk mobiel gebruik voor opdrachtgevers. Bij een separaat zakelijk nummer: 100% aftrekbaar. Bij gemengd gebruik: schat 60-80% zakelijk.</w:t>
      </w:r>
    </w:p>
    <w:p>
      <w:pPr>
        <w:spacing w:line="276" w:lineRule="auto" w:after="120"/>
      </w:pPr>
      <w:r>
        <w:rPr>
          <w:rFonts w:ascii="Calibri" w:hAnsi="Calibri"/>
          <w:b w:val="0"/>
          <w:i w:val="0"/>
          <w:color w:val="333333"/>
          <w:sz w:val="24"/>
        </w:rPr>
        <w:t>Featherless AI: API-kosten voor AI-tools die worden ingezet voor bedrijfsvoering (analyse, automatisering, content productie). Volledig aftrekbaar als zakelijke kosten. Bewaar de maandelijkse facturen van Featherless.</w:t>
      </w:r>
    </w:p>
    <w:p>
      <w:pPr>
        <w:pStyle w:val="Heading1"/>
        <w:spacing w:before="280" w:after="120" w:line="240" w:lineRule="auto"/>
      </w:pPr>
      <w:r>
        <w:rPr>
          <w:rFonts w:ascii="Calibri" w:hAnsi="Calibri"/>
          <w:b/>
          <w:color w:val="003366"/>
          <w:sz w:val="32"/>
        </w:rPr>
        <w:t>3. Scenario-analyse — Stoppen vs. Behouden</w:t>
      </w:r>
    </w:p>
    <w:p>
      <w:pPr>
        <w:spacing w:before="0" w:after="8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3120"/>
        <w:gridCol w:w="3120"/>
        <w:gridCol w:w="3120"/>
      </w:tblGrid>
      <w:tr>
        <w:tc>
          <w:tcPr>
            <w:tcW w:type="dxa" w:w="2551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pPr>
              <w:spacing w:before="40" w:after="40"/>
              <w:jc w:val="center"/>
            </w:pPr>
            <w:r/>
            <w:r>
              <w:rPr>
                <w:rFonts w:ascii="Calibri" w:hAnsi="Calibri"/>
                <w:b/>
                <w:color w:val="FFFFFF"/>
                <w:sz w:val="22"/>
              </w:rPr>
              <w:t>Aspect</w:t>
            </w:r>
          </w:p>
        </w:tc>
        <w:tc>
          <w:tcPr>
            <w:tcW w:type="dxa" w:w="3118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pPr>
              <w:spacing w:before="40" w:after="40"/>
              <w:jc w:val="center"/>
            </w:pPr>
            <w:r/>
            <w:r>
              <w:rPr>
                <w:rFonts w:ascii="Calibri" w:hAnsi="Calibri"/>
                <w:b/>
                <w:color w:val="FFFFFF"/>
                <w:sz w:val="22"/>
              </w:rPr>
              <w:t>Optie A: Direct Stoppen</w:t>
            </w:r>
          </w:p>
        </w:tc>
        <w:tc>
          <w:tcPr>
            <w:tcW w:type="dxa" w:w="3685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pPr>
              <w:spacing w:before="40" w:after="40"/>
              <w:jc w:val="center"/>
            </w:pPr>
            <w:r/>
            <w:r>
              <w:rPr>
                <w:rFonts w:ascii="Calibri" w:hAnsi="Calibri"/>
                <w:b/>
                <w:color w:val="FFFFFF"/>
                <w:sz w:val="22"/>
              </w:rPr>
              <w:t>Optie B: 1 Dag/Week Behouden</w:t>
            </w:r>
          </w:p>
        </w:tc>
      </w:tr>
      <w:tr>
        <w:tc>
          <w:tcPr>
            <w:tcW w:type="dxa" w:w="2551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/>
                <w:color w:val="333333"/>
                <w:sz w:val="22"/>
              </w:rPr>
              <w:t>Inkomsten ZZP</w:t>
            </w:r>
          </w:p>
        </w:tc>
        <w:tc>
          <w:tcPr>
            <w:tcW w:type="dxa" w:w="3118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color w:val="333333"/>
                <w:sz w:val="22"/>
              </w:rPr>
              <w:t>€0</w:t>
            </w:r>
          </w:p>
        </w:tc>
        <w:tc>
          <w:tcPr>
            <w:tcW w:type="dxa" w:w="3685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color w:val="333333"/>
                <w:sz w:val="22"/>
              </w:rPr>
              <w:t>~€41.600/jaar bruto</w:t>
            </w:r>
          </w:p>
        </w:tc>
      </w:tr>
      <w:tr>
        <w:tc>
          <w:tcPr>
            <w:tcW w:type="dxa" w:w="2551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/>
                <w:color w:val="333333"/>
                <w:sz w:val="22"/>
              </w:rPr>
              <w:t>Zakelijke aftrekposten</w:t>
            </w:r>
          </w:p>
        </w:tc>
        <w:tc>
          <w:tcPr>
            <w:tcW w:type="dxa" w:w="3118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color w:val="333333"/>
                <w:sz w:val="22"/>
              </w:rPr>
              <w:t>€0 (vervalt)</w:t>
            </w:r>
          </w:p>
        </w:tc>
        <w:tc>
          <w:tcPr>
            <w:tcW w:type="dxa" w:w="3685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color w:val="333333"/>
                <w:sz w:val="22"/>
              </w:rPr>
              <w:t>~€260/jaar</w:t>
            </w:r>
          </w:p>
        </w:tc>
      </w:tr>
      <w:tr>
        <w:tc>
          <w:tcPr>
            <w:tcW w:type="dxa" w:w="2551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/>
                <w:color w:val="333333"/>
                <w:sz w:val="22"/>
              </w:rPr>
              <w:t>Administratieve last</w:t>
            </w:r>
          </w:p>
        </w:tc>
        <w:tc>
          <w:tcPr>
            <w:tcW w:type="dxa" w:w="3118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color w:val="333333"/>
                <w:sz w:val="22"/>
              </w:rPr>
              <w:t>Geen</w:t>
            </w:r>
          </w:p>
        </w:tc>
        <w:tc>
          <w:tcPr>
            <w:tcW w:type="dxa" w:w="3685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color w:val="333333"/>
                <w:sz w:val="22"/>
              </w:rPr>
              <w:t>Minimaal (1 opdrachtgever)</w:t>
            </w:r>
          </w:p>
        </w:tc>
      </w:tr>
      <w:tr>
        <w:tc>
          <w:tcPr>
            <w:tcW w:type="dxa" w:w="2551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/>
                <w:color w:val="333333"/>
                <w:sz w:val="22"/>
              </w:rPr>
              <w:t>Wet DBA risico</w:t>
            </w:r>
          </w:p>
        </w:tc>
        <w:tc>
          <w:tcPr>
            <w:tcW w:type="dxa" w:w="3118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color w:val="333333"/>
                <w:sz w:val="22"/>
              </w:rPr>
              <w:t>Geen</w:t>
            </w:r>
          </w:p>
        </w:tc>
        <w:tc>
          <w:tcPr>
            <w:tcW w:type="dxa" w:w="3685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color w:val="333333"/>
                <w:sz w:val="22"/>
              </w:rPr>
              <w:t>Laag (1 opdrachtgever)</w:t>
            </w:r>
          </w:p>
        </w:tc>
      </w:tr>
      <w:tr>
        <w:tc>
          <w:tcPr>
            <w:tcW w:type="dxa" w:w="2551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/>
                <w:color w:val="333333"/>
                <w:sz w:val="22"/>
              </w:rPr>
              <w:t>Flexibiliteit</w:t>
            </w:r>
          </w:p>
        </w:tc>
        <w:tc>
          <w:tcPr>
            <w:tcW w:type="dxa" w:w="3118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color w:val="333333"/>
                <w:sz w:val="22"/>
              </w:rPr>
              <w:t>Geen</w:t>
            </w:r>
          </w:p>
        </w:tc>
        <w:tc>
          <w:tcPr>
            <w:tcW w:type="dxa" w:w="3685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color w:val="333333"/>
                <w:sz w:val="22"/>
              </w:rPr>
              <w:t>Hoog — buffer voor fluctuaties</w:t>
            </w:r>
          </w:p>
        </w:tc>
      </w:tr>
      <w:tr>
        <w:tc>
          <w:tcPr>
            <w:tcW w:type="dxa" w:w="2551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/>
                <w:color w:val="333333"/>
                <w:sz w:val="22"/>
              </w:rPr>
              <w:t>Pensioenopbouw ZZP</w:t>
            </w:r>
          </w:p>
        </w:tc>
        <w:tc>
          <w:tcPr>
            <w:tcW w:type="dxa" w:w="3118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color w:val="333333"/>
                <w:sz w:val="22"/>
              </w:rPr>
              <w:t>Stopt</w:t>
            </w:r>
          </w:p>
        </w:tc>
        <w:tc>
          <w:tcPr>
            <w:tcW w:type="dxa" w:w="3685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color w:val="333333"/>
                <w:sz w:val="22"/>
              </w:rPr>
              <w:t>Doorlopend (jaarruimte)</w:t>
            </w:r>
          </w:p>
        </w:tc>
      </w:tr>
      <w:tr>
        <w:tc>
          <w:tcPr>
            <w:tcW w:type="dxa" w:w="2551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/>
                <w:color w:val="333333"/>
                <w:sz w:val="22"/>
              </w:rPr>
              <w:t>Ondernemingsstatus</w:t>
            </w:r>
          </w:p>
        </w:tc>
        <w:tc>
          <w:tcPr>
            <w:tcW w:type="dxa" w:w="3118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color w:val="333333"/>
                <w:sz w:val="22"/>
              </w:rPr>
              <w:t>Verval</w:t>
            </w:r>
          </w:p>
        </w:tc>
        <w:tc>
          <w:tcPr>
            <w:tcW w:type="dxa" w:w="3685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color w:val="333333"/>
                <w:sz w:val="22"/>
              </w:rPr>
              <w:t>Behouden (voorkeursrecht)</w:t>
            </w:r>
          </w:p>
        </w:tc>
      </w:tr>
      <w:tr>
        <w:tc>
          <w:tcPr>
            <w:tcW w:type="dxa" w:w="2551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/>
                <w:color w:val="333333"/>
                <w:sz w:val="22"/>
              </w:rPr>
              <w:t>MKB-winstvrijstelling</w:t>
            </w:r>
          </w:p>
        </w:tc>
        <w:tc>
          <w:tcPr>
            <w:tcW w:type="dxa" w:w="3118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color w:val="333333"/>
                <w:sz w:val="22"/>
              </w:rPr>
              <w:t>Verval</w:t>
            </w:r>
          </w:p>
        </w:tc>
        <w:tc>
          <w:tcPr>
            <w:tcW w:type="dxa" w:w="3685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color w:val="333333"/>
                <w:sz w:val="22"/>
              </w:rPr>
              <w:t>Behouden</w:t>
            </w:r>
          </w:p>
        </w:tc>
      </w:tr>
    </w:tbl>
    <w:p>
      <w:pPr>
        <w:spacing w:before="0" w:after="160"/>
      </w:pPr>
    </w:p>
    <w:p>
      <w:pPr>
        <w:pStyle w:val="Heading2"/>
        <w:spacing w:before="200" w:after="120" w:line="240" w:lineRule="auto"/>
      </w:pPr>
      <w:r>
        <w:rPr>
          <w:rFonts w:ascii="Calibri" w:hAnsi="Calibri"/>
          <w:b/>
          <w:color w:val="003366"/>
          <w:sz w:val="28"/>
        </w:rPr>
        <w:t>3.1 Advies: Optie B (AANBEVOLEN)</w:t>
      </w:r>
    </w:p>
    <w:p>
      <w:pPr>
        <w:spacing w:line="276" w:lineRule="auto" w:after="120"/>
      </w:pPr>
      <w:r>
        <w:rPr>
          <w:rFonts w:ascii="Calibri" w:hAnsi="Calibri"/>
          <w:b/>
          <w:i w:val="0"/>
          <w:color w:val="333333"/>
          <w:sz w:val="24"/>
        </w:rPr>
        <w:t>Aanbeveling: Behoud 1 dag/week ZZP-naast-loondienst na de 2-jarige periode.</w:t>
      </w:r>
    </w:p>
    <w:p>
      <w:pPr>
        <w:spacing w:line="276" w:lineRule="auto" w:after="60"/>
      </w:pPr>
      <w:r>
        <w:rPr>
          <w:rFonts w:ascii="Calibri" w:hAnsi="Calibri"/>
          <w:b/>
          <w:i w:val="0"/>
          <w:color w:val="333333"/>
          <w:sz w:val="24"/>
        </w:rPr>
        <w:t>Motivatie:</w:t>
      </w:r>
    </w:p>
    <w:p>
      <w:pPr>
        <w:pStyle w:val="ListBullet"/>
        <w:spacing w:line="276" w:lineRule="auto" w:after="60"/>
      </w:pPr>
      <w:r>
        <w:rPr>
          <w:rFonts w:ascii="Calibri" w:hAnsi="Calibri"/>
          <w:color w:val="333333"/>
          <w:sz w:val="24"/>
        </w:rPr>
        <w:t>1. Fiscaal voordeel: Behoud van zakelijke aftrekposten en MKB-winstvrijstelling</w:t>
      </w:r>
    </w:p>
    <w:p>
      <w:pPr>
        <w:pStyle w:val="ListBullet"/>
        <w:spacing w:line="276" w:lineRule="auto" w:after="60"/>
      </w:pPr>
      <w:r>
        <w:rPr>
          <w:rFonts w:ascii="Calibri" w:hAnsi="Calibri"/>
          <w:color w:val="333333"/>
          <w:sz w:val="24"/>
        </w:rPr>
        <w:t>2. Inkomstenbuffer: Aanvullend inkomen van ~€41.600/jaar bruto biedt financiële flexibiliteit</w:t>
      </w:r>
    </w:p>
    <w:p>
      <w:pPr>
        <w:pStyle w:val="ListBullet"/>
        <w:spacing w:line="276" w:lineRule="auto" w:after="60"/>
      </w:pPr>
      <w:r>
        <w:rPr>
          <w:rFonts w:ascii="Calibri" w:hAnsi="Calibri"/>
          <w:color w:val="333333"/>
          <w:sz w:val="24"/>
        </w:rPr>
        <w:t>3. Ondernemingsstatus: Behoud van fiscale voordelen die gepaard gaan met ondernemerschap</w:t>
      </w:r>
    </w:p>
    <w:p>
      <w:pPr>
        <w:pStyle w:val="ListBullet"/>
        <w:spacing w:line="276" w:lineRule="auto" w:after="60"/>
      </w:pPr>
      <w:r>
        <w:rPr>
          <w:rFonts w:ascii="Calibri" w:hAnsi="Calibri"/>
          <w:color w:val="333333"/>
          <w:sz w:val="24"/>
        </w:rPr>
        <w:t>4. Strategische positioning: Zichtbaarheid in de markt behouden voor toekomstige kansen</w:t>
      </w:r>
    </w:p>
    <w:p>
      <w:pPr>
        <w:pStyle w:val="ListBullet"/>
        <w:spacing w:line="276" w:lineRule="auto" w:after="60"/>
      </w:pPr>
      <w:r>
        <w:rPr>
          <w:rFonts w:ascii="Calibri" w:hAnsi="Calibri"/>
          <w:color w:val="333333"/>
          <w:sz w:val="24"/>
        </w:rPr>
        <w:t>5. Risicospreiding: Niet 100% afhankelijk van één inkomstenbron (Wintershall)</w:t>
      </w:r>
    </w:p>
    <w:p>
      <w:pPr>
        <w:spacing w:before="0" w:after="80"/>
      </w:pPr>
    </w:p>
    <w:p>
      <w:pPr>
        <w:spacing w:line="276" w:lineRule="auto" w:after="60"/>
      </w:pPr>
      <w:r>
        <w:rPr>
          <w:rFonts w:ascii="Calibri" w:hAnsi="Calibri"/>
          <w:b/>
          <w:i w:val="0"/>
          <w:color w:val="333333"/>
          <w:sz w:val="24"/>
        </w:rPr>
        <w:t>Randvoorwaarden:</w:t>
      </w:r>
    </w:p>
    <w:p>
      <w:pPr>
        <w:pStyle w:val="ListBullet"/>
        <w:spacing w:line="276" w:lineRule="auto" w:after="60"/>
      </w:pPr>
      <w:r>
        <w:rPr>
          <w:rFonts w:ascii="Calibri" w:hAnsi="Calibri"/>
          <w:color w:val="333333"/>
          <w:sz w:val="24"/>
        </w:rPr>
        <w:t>Behoud modelovereenkomst met minimaal één opdrachtgever</w:t>
      </w:r>
    </w:p>
    <w:p>
      <w:pPr>
        <w:pStyle w:val="ListBullet"/>
        <w:spacing w:line="276" w:lineRule="auto" w:after="60"/>
      </w:pPr>
      <w:r>
        <w:rPr>
          <w:rFonts w:ascii="Calibri" w:hAnsi="Calibri"/>
          <w:color w:val="333333"/>
          <w:sz w:val="24"/>
        </w:rPr>
        <w:t>Zorg dat de ZZP-activiteit voldoet aan het urencriterium (1.225 uur/jaar indelingsbeschikking — optioneel maar voordelig)</w:t>
      </w:r>
    </w:p>
    <w:p>
      <w:pPr>
        <w:pStyle w:val="ListBullet"/>
        <w:spacing w:line="276" w:lineRule="auto" w:after="60"/>
      </w:pPr>
      <w:r>
        <w:rPr>
          <w:rFonts w:ascii="Calibri" w:hAnsi="Calibri"/>
          <w:color w:val="333333"/>
          <w:sz w:val="24"/>
        </w:rPr>
        <w:t>Houd zakelijke administratie actueel (ook bij 1 dag/week)</w:t>
      </w:r>
    </w:p>
    <w:p>
      <w:pPr>
        <w:pStyle w:val="Heading1"/>
        <w:spacing w:before="280" w:after="120" w:line="240" w:lineRule="auto"/>
      </w:pPr>
      <w:r>
        <w:rPr>
          <w:rFonts w:ascii="Calibri" w:hAnsi="Calibri"/>
          <w:b/>
          <w:color w:val="003366"/>
          <w:sz w:val="32"/>
        </w:rPr>
        <w:t>4. Voorbeeldberekening — 1 Dag/Week</w:t>
      </w:r>
    </w:p>
    <w:p>
      <w:pPr>
        <w:spacing w:line="276" w:lineRule="auto" w:after="120"/>
      </w:pPr>
      <w:r>
        <w:rPr>
          <w:rFonts w:ascii="Calibri" w:hAnsi="Calibri"/>
          <w:b w:val="0"/>
          <w:i w:val="0"/>
          <w:color w:val="333333"/>
          <w:sz w:val="24"/>
        </w:rPr>
        <w:t>Onderstaande berekening toont het fiscale effect van reductie naar 1 dag/week ZZP-activiteit.</w:t>
      </w:r>
    </w:p>
    <w:p>
      <w:pPr>
        <w:spacing w:before="0" w:after="8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680"/>
        <w:gridCol w:w="4680"/>
      </w:tblGrid>
      <w:tr>
        <w:tc>
          <w:tcPr>
            <w:tcW w:type="dxa" w:w="6236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pPr>
              <w:spacing w:before="40" w:after="40"/>
              <w:jc w:val="center"/>
            </w:pPr>
            <w:r/>
            <w:r>
              <w:rPr>
                <w:rFonts w:ascii="Calibri" w:hAnsi="Calibri"/>
                <w:b/>
                <w:color w:val="FFFFFF"/>
                <w:sz w:val="22"/>
              </w:rPr>
              <w:t>Post</w:t>
            </w:r>
          </w:p>
        </w:tc>
        <w:tc>
          <w:tcPr>
            <w:tcW w:type="dxa" w:w="3118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pPr>
              <w:spacing w:before="40" w:after="40"/>
              <w:jc w:val="center"/>
            </w:pPr>
            <w:r/>
            <w:r>
              <w:rPr>
                <w:rFonts w:ascii="Calibri" w:hAnsi="Calibri"/>
                <w:b/>
                <w:color w:val="FFFFFF"/>
                <w:sz w:val="22"/>
              </w:rPr>
              <w:t>Bedrag</w:t>
            </w:r>
          </w:p>
        </w:tc>
      </w:tr>
      <w:tr>
        <w:tc>
          <w:tcPr>
            <w:tcW w:type="dxa" w:w="6236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color w:val="333333"/>
                <w:sz w:val="22"/>
              </w:rPr>
              <w:t>Bruto inkomen ZZP (1 dag/week × €100 × 8 uur × 45 weken)</w:t>
            </w:r>
          </w:p>
        </w:tc>
        <w:tc>
          <w:tcPr>
            <w:tcW w:type="dxa" w:w="3118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color w:val="333333"/>
                <w:sz w:val="22"/>
              </w:rPr>
              <w:t>€36.000</w:t>
            </w:r>
          </w:p>
        </w:tc>
      </w:tr>
      <w:tr>
        <w:tc>
          <w:tcPr>
            <w:tcW w:type="dxa" w:w="6236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color w:val="333333"/>
                <w:sz w:val="22"/>
              </w:rPr>
              <w:t>Ziggo zakelijk (pro rato 50%)</w:t>
            </w:r>
          </w:p>
        </w:tc>
        <w:tc>
          <w:tcPr>
            <w:tcW w:type="dxa" w:w="3118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color w:val="333333"/>
                <w:sz w:val="22"/>
              </w:rPr>
              <w:t>€300-480</w:t>
            </w:r>
          </w:p>
        </w:tc>
      </w:tr>
      <w:tr>
        <w:tc>
          <w:tcPr>
            <w:tcW w:type="dxa" w:w="6236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color w:val="333333"/>
                <w:sz w:val="22"/>
              </w:rPr>
              <w:t>Vodafone zakelijk (pro rato 50%)</w:t>
            </w:r>
          </w:p>
        </w:tc>
        <w:tc>
          <w:tcPr>
            <w:tcW w:type="dxa" w:w="3118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color w:val="333333"/>
                <w:sz w:val="22"/>
              </w:rPr>
              <w:t>€180-300</w:t>
            </w:r>
          </w:p>
        </w:tc>
      </w:tr>
      <w:tr>
        <w:tc>
          <w:tcPr>
            <w:tcW w:type="dxa" w:w="6236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color w:val="333333"/>
                <w:sz w:val="22"/>
              </w:rPr>
              <w:t>Featherless AI (pro rato 50%)</w:t>
            </w:r>
          </w:p>
        </w:tc>
        <w:tc>
          <w:tcPr>
            <w:tcW w:type="dxa" w:w="3118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color w:val="333333"/>
                <w:sz w:val="22"/>
              </w:rPr>
              <w:t>€100-250</w:t>
            </w:r>
          </w:p>
        </w:tc>
      </w:tr>
      <w:tr>
        <w:tc>
          <w:tcPr>
            <w:tcW w:type="dxa" w:w="6236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color w:val="333333"/>
                <w:sz w:val="22"/>
              </w:rPr>
              <w:t>Totale aftrekposten</w:t>
            </w:r>
          </w:p>
        </w:tc>
        <w:tc>
          <w:tcPr>
            <w:tcW w:type="dxa" w:w="3118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color w:val="333333"/>
                <w:sz w:val="22"/>
              </w:rPr>
              <w:t>€580-1.030</w:t>
            </w:r>
          </w:p>
        </w:tc>
      </w:tr>
      <w:tr>
        <w:tc>
          <w:tcPr>
            <w:tcW w:type="dxa" w:w="6236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color w:val="333333"/>
                <w:sz w:val="22"/>
              </w:rPr>
              <w:t>Belastbare winst</w:t>
            </w:r>
          </w:p>
        </w:tc>
        <w:tc>
          <w:tcPr>
            <w:tcW w:type="dxa" w:w="3118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color w:val="333333"/>
                <w:sz w:val="22"/>
              </w:rPr>
              <w:t>≈ €34.970-35.420</w:t>
            </w:r>
          </w:p>
        </w:tc>
      </w:tr>
      <w:tr>
        <w:tc>
          <w:tcPr>
            <w:tcW w:type="dxa" w:w="6236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color w:val="333333"/>
                <w:sz w:val="22"/>
              </w:rPr>
              <w:t>MKB-winstvrijstelling (13,5%)</w:t>
            </w:r>
          </w:p>
        </w:tc>
        <w:tc>
          <w:tcPr>
            <w:tcW w:type="dxa" w:w="3118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color w:val="333333"/>
                <w:sz w:val="22"/>
              </w:rPr>
              <w:t>≈ €4.721-4.782</w:t>
            </w:r>
          </w:p>
        </w:tc>
      </w:tr>
      <w:tr>
        <w:tc>
          <w:tcPr>
            <w:tcW w:type="dxa" w:w="6236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color w:val="333333"/>
                <w:sz w:val="22"/>
              </w:rPr>
              <w:t>Belastbare winst na vrijstelling</w:t>
            </w:r>
          </w:p>
        </w:tc>
        <w:tc>
          <w:tcPr>
            <w:tcW w:type="dxa" w:w="3118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color w:val="333333"/>
                <w:sz w:val="22"/>
              </w:rPr>
              <w:t>≈ €30.188-30.637</w:t>
            </w:r>
          </w:p>
        </w:tc>
      </w:tr>
    </w:tbl>
    <w:p>
      <w:pPr>
        <w:spacing w:before="0" w:after="160"/>
      </w:pPr>
    </w:p>
    <w:p>
      <w:pPr>
        <w:spacing w:line="276" w:lineRule="auto" w:after="120"/>
      </w:pPr>
      <w:r>
        <w:rPr>
          <w:rFonts w:ascii="Calibri" w:hAnsi="Calibri"/>
          <w:b w:val="0"/>
          <w:i/>
          <w:color w:val="333333"/>
          <w:sz w:val="24"/>
        </w:rPr>
        <w:t>Netto fiscus effect: De zakelijke aftrekposten leveren bij 1 dag/week een belastingbesparing van ongeveer €260 per jaar op (bij een marginaal tarief van 49,5% in de hoogste schijf).</w:t>
      </w:r>
    </w:p>
    <w:p>
      <w:pPr>
        <w:pStyle w:val="Heading1"/>
        <w:spacing w:before="280" w:after="120" w:line="240" w:lineRule="auto"/>
      </w:pPr>
      <w:r>
        <w:rPr>
          <w:rFonts w:ascii="Calibri" w:hAnsi="Calibri"/>
          <w:b/>
          <w:color w:val="003366"/>
          <w:sz w:val="32"/>
        </w:rPr>
        <w:t>5. Continuïteitsplan (Overgangsperiode)</w:t>
      </w:r>
    </w:p>
    <w:p>
      <w:pPr>
        <w:spacing w:before="0" w:after="8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2340"/>
        <w:gridCol w:w="2340"/>
        <w:gridCol w:w="2340"/>
        <w:gridCol w:w="2340"/>
      </w:tblGrid>
      <w:tr>
        <w:tc>
          <w:tcPr>
            <w:tcW w:type="dxa" w:w="2268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pPr>
              <w:spacing w:before="40" w:after="40"/>
              <w:jc w:val="center"/>
            </w:pPr>
            <w:r/>
            <w:r>
              <w:rPr>
                <w:rFonts w:ascii="Calibri" w:hAnsi="Calibri"/>
                <w:b/>
                <w:color w:val="FFFFFF"/>
                <w:sz w:val="22"/>
              </w:rPr>
              <w:t>Periode</w:t>
            </w:r>
          </w:p>
        </w:tc>
        <w:tc>
          <w:tcPr>
            <w:tcW w:type="dxa" w:w="2551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pPr>
              <w:spacing w:before="40" w:after="40"/>
              <w:jc w:val="center"/>
            </w:pPr>
            <w:r/>
            <w:r>
              <w:rPr>
                <w:rFonts w:ascii="Calibri" w:hAnsi="Calibri"/>
                <w:b/>
                <w:color w:val="FFFFFF"/>
                <w:sz w:val="22"/>
              </w:rPr>
              <w:t>Activiteit</w:t>
            </w:r>
          </w:p>
        </w:tc>
        <w:tc>
          <w:tcPr>
            <w:tcW w:type="dxa" w:w="1984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pPr>
              <w:spacing w:before="40" w:after="40"/>
              <w:jc w:val="center"/>
            </w:pPr>
            <w:r/>
            <w:r>
              <w:rPr>
                <w:rFonts w:ascii="Calibri" w:hAnsi="Calibri"/>
                <w:b/>
                <w:color w:val="FFFFFF"/>
                <w:sz w:val="22"/>
              </w:rPr>
              <w:t>Inkomsten ZZP</w:t>
            </w:r>
          </w:p>
        </w:tc>
        <w:tc>
          <w:tcPr>
            <w:tcW w:type="dxa" w:w="2551"/>
            <w:shd w:fill="003366" w:val="clear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pPr>
              <w:spacing w:before="40" w:after="40"/>
              <w:jc w:val="center"/>
            </w:pPr>
            <w:r/>
            <w:r>
              <w:rPr>
                <w:rFonts w:ascii="Calibri" w:hAnsi="Calibri"/>
                <w:b/>
                <w:color w:val="FFFFFF"/>
                <w:sz w:val="22"/>
              </w:rPr>
              <w:t>Fiscale Focus</w:t>
            </w:r>
          </w:p>
        </w:tc>
      </w:tr>
      <w:tr>
        <w:tc>
          <w:tcPr>
            <w:tcW w:type="dxa" w:w="2268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/>
                <w:color w:val="333333"/>
                <w:sz w:val="22"/>
              </w:rPr>
              <w:t>Jaar 1-2 (2026-2027)</w:t>
            </w:r>
          </w:p>
        </w:tc>
        <w:tc>
          <w:tcPr>
            <w:tcW w:type="dxa" w:w="2551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color w:val="333333"/>
                <w:sz w:val="22"/>
              </w:rPr>
              <w:t>Volledige ZZP: 2 dagen/week</w:t>
            </w:r>
          </w:p>
        </w:tc>
        <w:tc>
          <w:tcPr>
            <w:tcW w:type="dxa" w:w="1984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color w:val="333333"/>
                <w:sz w:val="22"/>
              </w:rPr>
              <w:t>~€72.000/jaar</w:t>
            </w:r>
          </w:p>
        </w:tc>
        <w:tc>
          <w:tcPr>
            <w:tcW w:type="dxa" w:w="2551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color w:val="333333"/>
                <w:sz w:val="22"/>
              </w:rPr>
              <w:t>Maximaliseer aftrekposten, bouw reserves op</w:t>
            </w:r>
          </w:p>
        </w:tc>
      </w:tr>
      <w:tr>
        <w:tc>
          <w:tcPr>
            <w:tcW w:type="dxa" w:w="2268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/>
                <w:color w:val="333333"/>
                <w:sz w:val="22"/>
              </w:rPr>
              <w:t>Jaar 3 (2028)</w:t>
            </w:r>
          </w:p>
        </w:tc>
        <w:tc>
          <w:tcPr>
            <w:tcW w:type="dxa" w:w="2551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color w:val="333333"/>
                <w:sz w:val="22"/>
              </w:rPr>
              <w:t>Reductie: 1 dag/week</w:t>
            </w:r>
          </w:p>
        </w:tc>
        <w:tc>
          <w:tcPr>
            <w:tcW w:type="dxa" w:w="1984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color w:val="333333"/>
                <w:sz w:val="22"/>
              </w:rPr>
              <w:t>~€36.000/jaar</w:t>
            </w:r>
          </w:p>
        </w:tc>
        <w:tc>
          <w:tcPr>
            <w:tcW w:type="dxa" w:w="2551"/>
            <w:shd w:fill="F8F9FA" w:val="clear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color w:val="333333"/>
                <w:sz w:val="22"/>
              </w:rPr>
              <w:t>Behoud structuur, evaluatie opdrachtgevers</w:t>
            </w:r>
          </w:p>
        </w:tc>
      </w:tr>
      <w:tr>
        <w:tc>
          <w:tcPr>
            <w:tcW w:type="dxa" w:w="2268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/>
                <w:color w:val="333333"/>
                <w:sz w:val="22"/>
              </w:rPr>
              <w:t>Jaar 4+ (2029+)</w:t>
            </w:r>
          </w:p>
        </w:tc>
        <w:tc>
          <w:tcPr>
            <w:tcW w:type="dxa" w:w="2551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color w:val="333333"/>
                <w:sz w:val="22"/>
              </w:rPr>
              <w:t>Evaluatie</w:t>
            </w:r>
          </w:p>
        </w:tc>
        <w:tc>
          <w:tcPr>
            <w:tcW w:type="dxa" w:w="1984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color w:val="333333"/>
                <w:sz w:val="22"/>
              </w:rPr>
              <w:t>Variabel</w:t>
            </w:r>
          </w:p>
        </w:tc>
        <w:tc>
          <w:tcPr>
            <w:tcW w:type="dxa" w:w="2551"/>
            <w:shd w:fill="FFFFFF" w:val="clear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color w:val="333333"/>
                <w:sz w:val="22"/>
              </w:rPr>
              <w:t>Beslissing: stoppen of behouden</w:t>
            </w:r>
          </w:p>
        </w:tc>
      </w:tr>
    </w:tbl>
    <w:p>
      <w:pPr>
        <w:spacing w:before="0" w:after="160"/>
      </w:pPr>
    </w:p>
    <w:p>
      <w:pPr>
        <w:pStyle w:val="Heading2"/>
        <w:spacing w:before="200" w:after="120" w:line="240" w:lineRule="auto"/>
      </w:pPr>
      <w:r>
        <w:rPr>
          <w:rFonts w:ascii="Calibri" w:hAnsi="Calibri"/>
          <w:b/>
          <w:color w:val="003366"/>
          <w:sz w:val="28"/>
        </w:rPr>
        <w:t>5.1 Actiepunten per Fase</w:t>
      </w:r>
    </w:p>
    <w:p>
      <w:pPr>
        <w:spacing w:line="276" w:lineRule="auto" w:after="60"/>
      </w:pPr>
      <w:r>
        <w:rPr>
          <w:rFonts w:ascii="Calibri" w:hAnsi="Calibri"/>
          <w:b/>
          <w:i w:val="0"/>
          <w:color w:val="003366"/>
          <w:sz w:val="24"/>
        </w:rPr>
        <w:t>Fase 1 (Jaar 1-2):</w:t>
      </w:r>
    </w:p>
    <w:p>
      <w:pPr>
        <w:pStyle w:val="ListBullet"/>
        <w:spacing w:line="276" w:lineRule="auto" w:after="60"/>
      </w:pPr>
      <w:r>
        <w:rPr>
          <w:rFonts w:ascii="Calibri" w:hAnsi="Calibri"/>
          <w:color w:val="333333"/>
          <w:sz w:val="24"/>
        </w:rPr>
        <w:t>Stuur facturen maandelijks</w:t>
      </w:r>
    </w:p>
    <w:p>
      <w:pPr>
        <w:pStyle w:val="ListBullet"/>
        <w:spacing w:line="276" w:lineRule="auto" w:after="60"/>
      </w:pPr>
      <w:r>
        <w:rPr>
          <w:rFonts w:ascii="Calibri" w:hAnsi="Calibri"/>
          <w:color w:val="333333"/>
          <w:sz w:val="24"/>
        </w:rPr>
        <w:t>Houd urenregistratie bij (voor urencriterium)</w:t>
      </w:r>
    </w:p>
    <w:p>
      <w:pPr>
        <w:pStyle w:val="ListBullet"/>
        <w:spacing w:line="276" w:lineRule="auto" w:after="60"/>
      </w:pPr>
      <w:r>
        <w:rPr>
          <w:rFonts w:ascii="Calibri" w:hAnsi="Calibri"/>
          <w:color w:val="333333"/>
          <w:sz w:val="24"/>
        </w:rPr>
        <w:t>Boek alle zakelijke kosten direct</w:t>
      </w:r>
    </w:p>
    <w:p>
      <w:pPr>
        <w:pStyle w:val="ListBullet"/>
        <w:spacing w:line="276" w:lineRule="auto" w:after="60"/>
      </w:pPr>
      <w:r>
        <w:rPr>
          <w:rFonts w:ascii="Calibri" w:hAnsi="Calibri"/>
          <w:color w:val="333333"/>
          <w:sz w:val="24"/>
        </w:rPr>
        <w:t>Bouw belastingreserve: 40-45% van ZZP-inkomsten</w:t>
      </w:r>
    </w:p>
    <w:p>
      <w:pPr>
        <w:spacing w:before="0" w:after="80"/>
      </w:pPr>
    </w:p>
    <w:p>
      <w:pPr>
        <w:spacing w:line="276" w:lineRule="auto" w:after="60"/>
      </w:pPr>
      <w:r>
        <w:rPr>
          <w:rFonts w:ascii="Calibri" w:hAnsi="Calibri"/>
          <w:b/>
          <w:i w:val="0"/>
          <w:color w:val="003366"/>
          <w:sz w:val="24"/>
        </w:rPr>
        <w:t>Fase 2 (Jaar 3):</w:t>
      </w:r>
    </w:p>
    <w:p>
      <w:pPr>
        <w:pStyle w:val="ListBullet"/>
        <w:spacing w:line="276" w:lineRule="auto" w:after="60"/>
      </w:pPr>
      <w:r>
        <w:rPr>
          <w:rFonts w:ascii="Calibri" w:hAnsi="Calibri"/>
          <w:color w:val="333333"/>
          <w:sz w:val="24"/>
        </w:rPr>
        <w:t>Herzie modelovereenkomsten bij gewijzigde inzet</w:t>
      </w:r>
    </w:p>
    <w:p>
      <w:pPr>
        <w:pStyle w:val="ListBullet"/>
        <w:spacing w:line="276" w:lineRule="auto" w:after="60"/>
      </w:pPr>
      <w:r>
        <w:rPr>
          <w:rFonts w:ascii="Calibri" w:hAnsi="Calibri"/>
          <w:color w:val="333333"/>
          <w:sz w:val="24"/>
        </w:rPr>
        <w:t>Evalueer welke opdrachtgever te behouden (Phoenix Metals of Club of Engineers)</w:t>
      </w:r>
    </w:p>
    <w:p>
      <w:pPr>
        <w:pStyle w:val="ListBullet"/>
        <w:spacing w:line="276" w:lineRule="auto" w:after="60"/>
      </w:pPr>
      <w:r>
        <w:rPr>
          <w:rFonts w:ascii="Calibri" w:hAnsi="Calibri"/>
          <w:color w:val="333333"/>
          <w:sz w:val="24"/>
        </w:rPr>
        <w:t>Pas boekhouding aan naar 1 dag/week verdeling</w:t>
      </w:r>
    </w:p>
    <w:p>
      <w:pPr>
        <w:pStyle w:val="ListBullet"/>
        <w:spacing w:line="276" w:lineRule="auto" w:after="60"/>
      </w:pPr>
      <w:r>
        <w:rPr>
          <w:rFonts w:ascii="Calibri" w:hAnsi="Calibri"/>
          <w:color w:val="333333"/>
          <w:sz w:val="24"/>
        </w:rPr>
        <w:t>Houd belastingreserve: 40-45% (gelijk, maar over minder omvang)</w:t>
      </w:r>
    </w:p>
    <w:p>
      <w:pPr>
        <w:spacing w:before="0" w:after="80"/>
      </w:pPr>
    </w:p>
    <w:p>
      <w:pPr>
        <w:spacing w:line="276" w:lineRule="auto" w:after="60"/>
      </w:pPr>
      <w:r>
        <w:rPr>
          <w:rFonts w:ascii="Calibri" w:hAnsi="Calibri"/>
          <w:b/>
          <w:i w:val="0"/>
          <w:color w:val="003366"/>
          <w:sz w:val="24"/>
        </w:rPr>
        <w:t>Fase 3 (Jaar 4+):</w:t>
      </w:r>
    </w:p>
    <w:p>
      <w:pPr>
        <w:pStyle w:val="ListBullet"/>
        <w:spacing w:line="276" w:lineRule="auto" w:after="60"/>
      </w:pPr>
      <w:r>
        <w:rPr>
          <w:rFonts w:ascii="Calibri" w:hAnsi="Calibri"/>
          <w:color w:val="333333"/>
          <w:sz w:val="24"/>
        </w:rPr>
        <w:t>Jaarlijkse evaluatie: levert de ZZP nog voldoende op?</w:t>
      </w:r>
    </w:p>
    <w:p>
      <w:pPr>
        <w:pStyle w:val="ListBullet"/>
        <w:spacing w:line="276" w:lineRule="auto" w:after="60"/>
      </w:pPr>
      <w:r>
        <w:rPr>
          <w:rFonts w:ascii="Calibri" w:hAnsi="Calibri"/>
          <w:color w:val="333333"/>
          <w:sz w:val="24"/>
        </w:rPr>
        <w:t>Bij stoppen: formele onderneming beëindigen bij KvK</w:t>
      </w:r>
    </w:p>
    <w:p>
      <w:pPr>
        <w:pStyle w:val="ListBullet"/>
        <w:spacing w:line="276" w:lineRule="auto" w:after="60"/>
      </w:pPr>
      <w:r>
        <w:rPr>
          <w:rFonts w:ascii="Calibri" w:hAnsi="Calibri"/>
          <w:color w:val="333333"/>
          <w:sz w:val="24"/>
        </w:rPr>
        <w:t>Zorg voor correcte afwikkeling (stakingsverlies, fiscale oudedagsreserve)</w:t>
      </w:r>
    </w:p>
    <w:p>
      <w:pPr>
        <w:pStyle w:val="Heading1"/>
        <w:spacing w:before="280" w:after="120" w:line="240" w:lineRule="auto"/>
      </w:pPr>
      <w:r>
        <w:rPr>
          <w:rFonts w:ascii="Calibri" w:hAnsi="Calibri"/>
          <w:b/>
          <w:color w:val="003366"/>
          <w:sz w:val="32"/>
        </w:rPr>
        <w:t>6. Compliance Checklist</w:t>
      </w:r>
    </w:p>
    <w:p>
      <w:pPr>
        <w:spacing w:before="0" w:after="80"/>
      </w:pPr>
    </w:p>
    <w:p>
      <w:pPr>
        <w:spacing w:line="276" w:lineRule="auto" w:after="80"/>
        <w:ind w:left="283"/>
      </w:pPr>
      <w:r>
        <w:rPr>
          <w:rFonts w:ascii="Calibri" w:hAnsi="Calibri"/>
          <w:color w:val="333333"/>
          <w:sz w:val="24"/>
        </w:rPr>
        <w:t>☐  Wet DBA: Modelovereenkomst met beide opdrachtgevers (actueel)</w:t>
      </w:r>
    </w:p>
    <w:p>
      <w:pPr>
        <w:spacing w:line="276" w:lineRule="auto" w:after="80"/>
        <w:ind w:left="283"/>
      </w:pPr>
      <w:r>
        <w:rPr>
          <w:rFonts w:ascii="Calibri" w:hAnsi="Calibri"/>
          <w:color w:val="333333"/>
          <w:sz w:val="24"/>
        </w:rPr>
        <w:t>☐  Urencriterium: 1.225 uur/jaar registreren (voorbelasting en voordeelsrechten)</w:t>
      </w:r>
    </w:p>
    <w:p>
      <w:pPr>
        <w:spacing w:line="276" w:lineRule="auto" w:after="80"/>
        <w:ind w:left="283"/>
      </w:pPr>
      <w:r>
        <w:rPr>
          <w:rFonts w:ascii="Calibri" w:hAnsi="Calibri"/>
          <w:color w:val="333333"/>
          <w:sz w:val="24"/>
        </w:rPr>
        <w:t>☐  Boekhouding: Facturen, bankafschriften, urenregistratie up-to-date</w:t>
      </w:r>
    </w:p>
    <w:p>
      <w:pPr>
        <w:spacing w:line="276" w:lineRule="auto" w:after="80"/>
        <w:ind w:left="283"/>
      </w:pPr>
      <w:r>
        <w:rPr>
          <w:rFonts w:ascii="Calibri" w:hAnsi="Calibri"/>
          <w:color w:val="333333"/>
          <w:sz w:val="24"/>
        </w:rPr>
        <w:t>☐  BTW aangifte: Per kwartaal (ook bij 1 dag/week)</w:t>
      </w:r>
    </w:p>
    <w:p>
      <w:pPr>
        <w:spacing w:line="276" w:lineRule="auto" w:after="80"/>
        <w:ind w:left="283"/>
      </w:pPr>
      <w:r>
        <w:rPr>
          <w:rFonts w:ascii="Calibri" w:hAnsi="Calibri"/>
          <w:color w:val="333333"/>
          <w:sz w:val="24"/>
        </w:rPr>
        <w:t>☐  Inkomstenbelasting: Jaarlijks aangifte met winst uit onderneming (Box 1)</w:t>
      </w:r>
    </w:p>
    <w:p>
      <w:pPr>
        <w:spacing w:line="276" w:lineRule="auto" w:after="80"/>
        <w:ind w:left="283"/>
      </w:pPr>
      <w:r>
        <w:rPr>
          <w:rFonts w:ascii="Calibri" w:hAnsi="Calibri"/>
          <w:color w:val="333333"/>
          <w:sz w:val="24"/>
        </w:rPr>
        <w:t>☐  Belastingreserve: 40-45% van ZZP-omzet opzij zetten</w:t>
      </w:r>
    </w:p>
    <w:p>
      <w:pPr>
        <w:spacing w:line="276" w:lineRule="auto" w:after="80"/>
        <w:ind w:left="283"/>
      </w:pPr>
      <w:r>
        <w:rPr>
          <w:rFonts w:ascii="Calibri" w:hAnsi="Calibri"/>
          <w:color w:val="333333"/>
          <w:sz w:val="24"/>
        </w:rPr>
        <w:t>☐  Verzekeringen: AVB (Algemene Voorwaarden Bewaarplicht), eventueel arbeidsongeschiktheid</w:t>
      </w:r>
    </w:p>
    <w:p>
      <w:pPr>
        <w:spacing w:line="276" w:lineRule="auto" w:after="80"/>
        <w:ind w:left="283"/>
      </w:pPr>
      <w:r>
        <w:rPr>
          <w:rFonts w:ascii="Calibri" w:hAnsi="Calibri"/>
          <w:color w:val="333333"/>
          <w:sz w:val="24"/>
        </w:rPr>
        <w:t>☐  KvK registratie: Actueel houden</w:t>
      </w:r>
    </w:p>
    <w:p>
      <w:pPr>
        <w:spacing w:line="276" w:lineRule="auto" w:after="80"/>
        <w:ind w:left="283"/>
      </w:pPr>
      <w:r>
        <w:rPr>
          <w:rFonts w:ascii="Calibri" w:hAnsi="Calibri"/>
          <w:color w:val="333333"/>
          <w:sz w:val="24"/>
        </w:rPr>
        <w:t>☐  Zakelijke bankrekening: Scheiding privé/zakelijk</w:t>
      </w:r>
    </w:p>
    <w:p>
      <w:pPr>
        <w:spacing w:line="276" w:lineRule="auto" w:after="80"/>
        <w:ind w:left="283"/>
      </w:pPr>
      <w:r>
        <w:rPr>
          <w:rFonts w:ascii="Calibri" w:hAnsi="Calibri"/>
          <w:color w:val="333333"/>
          <w:sz w:val="24"/>
        </w:rPr>
        <w:t>☐  Jaarrekening: Opstellen of laten opstellen door boekhouder</w:t>
      </w:r>
    </w:p>
    <w:p>
      <w:pPr>
        <w:pStyle w:val="Heading1"/>
        <w:spacing w:before="280" w:after="120" w:line="240" w:lineRule="auto"/>
      </w:pPr>
      <w:r>
        <w:rPr>
          <w:rFonts w:ascii="Calibri" w:hAnsi="Calibri"/>
          <w:b/>
          <w:color w:val="003366"/>
          <w:sz w:val="32"/>
        </w:rPr>
        <w:t>7. Bronnen en Verwijzingen</w:t>
      </w:r>
    </w:p>
    <w:p>
      <w:pPr>
        <w:spacing w:before="0" w:after="80"/>
      </w:pPr>
    </w:p>
    <w:p>
      <w:pPr>
        <w:spacing w:after="40" w:line="276" w:lineRule="auto"/>
      </w:pPr>
      <w:r>
        <w:rPr>
          <w:rFonts w:ascii="Calibri" w:hAnsi="Calibri"/>
          <w:color w:val="666666"/>
          <w:sz w:val="20"/>
        </w:rPr>
        <w:t>1. Belastingdienst — Ondernemers en belastingen (www.belastingdienst.nl)</w:t>
      </w:r>
    </w:p>
    <w:p>
      <w:pPr>
        <w:spacing w:after="40" w:line="276" w:lineRule="auto"/>
      </w:pPr>
      <w:r>
        <w:rPr>
          <w:rFonts w:ascii="Calibri" w:hAnsi="Calibri"/>
          <w:color w:val="666666"/>
          <w:sz w:val="20"/>
        </w:rPr>
        <w:t>2. Belastingdienst — Zakelijke kosten aftrekken</w:t>
      </w:r>
    </w:p>
    <w:p>
      <w:pPr>
        <w:spacing w:after="40" w:line="276" w:lineRule="auto"/>
      </w:pPr>
      <w:r>
        <w:rPr>
          <w:rFonts w:ascii="Calibri" w:hAnsi="Calibri"/>
          <w:color w:val="666666"/>
          <w:sz w:val="20"/>
        </w:rPr>
        <w:t>3. Wet DBA (Deregulering Beoordeling Arbeidsrelaties) — Rijksoverheid.nl</w:t>
      </w:r>
    </w:p>
    <w:p>
      <w:pPr>
        <w:spacing w:after="40" w:line="276" w:lineRule="auto"/>
      </w:pPr>
      <w:r>
        <w:rPr>
          <w:rFonts w:ascii="Calibri" w:hAnsi="Calibri"/>
          <w:color w:val="666666"/>
          <w:sz w:val="20"/>
        </w:rPr>
        <w:t>4. MKB-winstvrijstelling — Belastingdienst.nl</w:t>
      </w:r>
    </w:p>
    <w:p>
      <w:pPr>
        <w:spacing w:after="40" w:line="276" w:lineRule="auto"/>
      </w:pPr>
      <w:r>
        <w:rPr>
          <w:rFonts w:ascii="Calibri" w:hAnsi="Calibri"/>
          <w:color w:val="666666"/>
          <w:sz w:val="20"/>
        </w:rPr>
        <w:t>5. JvG Consultancy — ZZP Opstartplan v2.0 (intern document)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9360" w:val="right"/>
      </w:tabs>
      <w:jc w:val="left"/>
    </w:pPr>
    <w:r/>
    <w:r>
      <w:rPr>
        <w:rFonts w:ascii="Calibri" w:hAnsi="Calibri"/>
        <w:color w:val="666666"/>
        <w:sz w:val="18"/>
      </w:rPr>
      <w:t>JvG Consultancy | Safety • Governance • Advisory</w:t>
    </w:r>
    <w:r>
      <w:rPr>
        <w:sz w:val="18"/>
      </w:rPr>
      <w:tab/>
      <w:tab/>
    </w:r>
    <w:r>
      <w:rPr>
        <w:rFonts w:ascii="Calibri" w:hAnsi="Calibri"/>
        <w:color w:val="666666"/>
        <w:sz w:val="18"/>
      </w:rPr>
      <w:fldChar w:fldCharType="begin"/>
      <w:instrText xml:space="preserve"> PAGE </w:instrText>
      <w:fldChar w:fldCharType="end"/>
    </w:r>
  </w:p>
  <w:p>
    <w:pPr>
      <w:spacing w:before="0" w:after="0"/>
      <w:jc w:val="left"/>
    </w:pPr>
    <w:r>
      <w:rPr>
        <w:rFonts w:ascii="Calibri" w:hAnsi="Calibri"/>
        <w:color w:val="666666"/>
        <w:sz w:val="16"/>
      </w:rPr>
      <w:t>Orchestration Divisie | Fiscaal Advies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/>
    <w:r>
      <w:drawing>
        <wp:inline xmlns:a="http://schemas.openxmlformats.org/drawingml/2006/main" xmlns:pic="http://schemas.openxmlformats.org/drawingml/2006/picture">
          <wp:extent cx="720000" cy="6444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jvg-logo-white-medium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20000" cy="644400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 w:after="120"/>
    </w:pPr>
    <w:rPr>
      <w:rFonts w:ascii="Calibri" w:hAnsi="Calibri"/>
      <w:color w:val="333333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ZZP Fiscale Advisering v1.0</dc:title>
  <dc:subject/>
  <dc:creator>Business Analyst via Kas</dc:creator>
  <cp:keywords>ZZP; fiscaal; belastingaftrek; JvG Consultancy</cp:keywords>
  <dc:description>Project: HH&amp;C ZZP Opstartplan</dc:description>
  <cp:lastModifiedBy/>
  <cp:revision>1</cp:revision>
  <dcterms:created xsi:type="dcterms:W3CDTF">2013-12-23T23:15:00Z</dcterms:created>
  <dcterms:modified xsi:type="dcterms:W3CDTF">2013-12-23T23:15:00Z</dcterms:modified>
  <cp:category>Fiscaal Advies</cp:category>
</cp:coreProperties>
</file>