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003366"/>
          <w:sz w:val="56"/>
        </w:rPr>
        <w:t>ZZP OPSTARTPLAN</w:t>
      </w:r>
    </w:p>
    <w:p>
      <w:pPr>
        <w:jc w:val="center"/>
      </w:pPr>
      <w:r>
        <w:rPr>
          <w:color w:val="3B82F6"/>
          <w:sz w:val="32"/>
        </w:rPr>
        <w:t>HHC Interim Manager &amp; Consultancy</w:t>
      </w:r>
    </w:p>
    <w:p/>
    <w:p>
      <w:pPr>
        <w:jc w:val="center"/>
      </w:pPr>
      <w:r>
        <w:rPr>
          <w:i/>
          <w:color w:val="1F2F37"/>
          <w:sz w:val="24"/>
        </w:rPr>
        <w:t>Van HSEQ naar HHC — Strategisch Opstartplan</w:t>
        <w:br/>
        <w:t>voor Zelfstandig Ondernemerschap in de Zorgsector</w:t>
      </w:r>
    </w:p>
    <w:p/>
    <w:p/>
    <w:p/>
    <w:p/>
    <w:tbl>
      <w:tblPr>
        <w:tblStyle w:val="LightGrid-Accent1"/>
        <w:tblW w:type="auto" w:w="0"/>
        <w:jc w:val="center"/>
        <w:tblLook w:firstColumn="1" w:firstRow="1" w:lastColumn="0" w:lastRow="0" w:noHBand="0" w:noVBand="1" w:val="04A0"/>
      </w:tblPr>
      <w:tblGrid>
        <w:gridCol w:w="4703"/>
        <w:gridCol w:w="4703"/>
      </w:tblGrid>
      <w:tr>
        <w:tc>
          <w:tcPr>
            <w:tcW w:type="dxa" w:w="4703"/>
          </w:tcPr>
          <w:p>
            <w:pPr>
              <w:jc w:val="left"/>
            </w:pPr>
            <w:r>
              <w:rPr>
                <w:b/>
                <w:color w:val="003366"/>
                <w:sz w:val="20"/>
              </w:rPr>
              <w:t>Veld</w:t>
            </w:r>
          </w:p>
        </w:tc>
        <w:tc>
          <w:tcPr>
            <w:tcW w:type="dxa" w:w="4703"/>
          </w:tcPr>
          <w:p>
            <w:pPr>
              <w:jc w:val="left"/>
            </w:pPr>
            <w:r>
              <w:rPr>
                <w:b/>
                <w:color w:val="003366"/>
                <w:sz w:val="20"/>
              </w:rPr>
              <w:t>Waarde</w:t>
            </w:r>
          </w:p>
        </w:tc>
      </w:tr>
      <w:tr>
        <w:tc>
          <w:tcPr>
            <w:tcW w:type="dxa" w:w="4703"/>
          </w:tcPr>
          <w:p>
            <w:r>
              <w:rPr>
                <w:sz w:val="20"/>
              </w:rPr>
              <w:t>Project</w:t>
            </w:r>
          </w:p>
        </w:tc>
        <w:tc>
          <w:tcPr>
            <w:tcW w:type="dxa" w:w="4703"/>
          </w:tcPr>
          <w:p>
            <w:r>
              <w:rPr>
                <w:sz w:val="20"/>
              </w:rPr>
              <w:t>ZZP Opstart HHC Interim Manager</w:t>
            </w:r>
          </w:p>
        </w:tc>
      </w:tr>
      <w:tr>
        <w:tc>
          <w:tcPr>
            <w:tcW w:type="dxa" w:w="4703"/>
          </w:tcPr>
          <w:p>
            <w:r>
              <w:rPr>
                <w:sz w:val="20"/>
              </w:rPr>
              <w:t>Type</w:t>
            </w:r>
          </w:p>
        </w:tc>
        <w:tc>
          <w:tcPr>
            <w:tcW w:type="dxa" w:w="4703"/>
          </w:tcPr>
          <w:p>
            <w:r>
              <w:rPr>
                <w:sz w:val="20"/>
              </w:rPr>
              <w:t>Strategisch Opstartplan</w:t>
            </w:r>
          </w:p>
        </w:tc>
      </w:tr>
      <w:tr>
        <w:tc>
          <w:tcPr>
            <w:tcW w:type="dxa" w:w="4703"/>
          </w:tcPr>
          <w:p>
            <w:r>
              <w:rPr>
                <w:sz w:val="20"/>
              </w:rPr>
              <w:t>Auteur</w:t>
            </w:r>
          </w:p>
        </w:tc>
        <w:tc>
          <w:tcPr>
            <w:tcW w:type="dxa" w:w="4703"/>
          </w:tcPr>
          <w:p>
            <w:r>
              <w:rPr>
                <w:sz w:val="20"/>
              </w:rPr>
              <w:t>Kas — Director of Operations</w:t>
            </w:r>
          </w:p>
        </w:tc>
      </w:tr>
      <w:tr>
        <w:tc>
          <w:tcPr>
            <w:tcW w:type="dxa" w:w="4703"/>
          </w:tcPr>
          <w:p>
            <w:r>
              <w:rPr>
                <w:sz w:val="20"/>
              </w:rPr>
              <w:t>Opdrachtgever</w:t>
            </w:r>
          </w:p>
        </w:tc>
        <w:tc>
          <w:tcPr>
            <w:tcW w:type="dxa" w:w="4703"/>
          </w:tcPr>
          <w:p>
            <w:r>
              <w:rPr>
                <w:sz w:val="20"/>
              </w:rPr>
              <w:t>Jorick Gemert</w:t>
            </w:r>
          </w:p>
        </w:tc>
      </w:tr>
      <w:tr>
        <w:tc>
          <w:tcPr>
            <w:tcW w:type="dxa" w:w="4703"/>
          </w:tcPr>
          <w:p>
            <w:r>
              <w:rPr>
                <w:sz w:val="20"/>
              </w:rPr>
              <w:t>Versie</w:t>
            </w:r>
          </w:p>
        </w:tc>
        <w:tc>
          <w:tcPr>
            <w:tcW w:type="dxa" w:w="4703"/>
          </w:tcPr>
          <w:p>
            <w:r>
              <w:rPr>
                <w:sz w:val="20"/>
              </w:rPr>
              <w:t>1.0</w:t>
            </w:r>
          </w:p>
        </w:tc>
      </w:tr>
      <w:tr>
        <w:tc>
          <w:tcPr>
            <w:tcW w:type="dxa" w:w="4703"/>
          </w:tcPr>
          <w:p>
            <w:r>
              <w:rPr>
                <w:sz w:val="20"/>
              </w:rPr>
              <w:t>Datum</w:t>
            </w:r>
          </w:p>
        </w:tc>
        <w:tc>
          <w:tcPr>
            <w:tcW w:type="dxa" w:w="4703"/>
          </w:tcPr>
          <w:p>
            <w:r>
              <w:rPr>
                <w:sz w:val="20"/>
              </w:rPr>
              <w:t>30 april 2026</w:t>
            </w:r>
          </w:p>
        </w:tc>
      </w:tr>
      <w:tr>
        <w:tc>
          <w:tcPr>
            <w:tcW w:type="dxa" w:w="4703"/>
          </w:tcPr>
          <w:p>
            <w:r>
              <w:rPr>
                <w:sz w:val="20"/>
              </w:rPr>
              <w:t>Status</w:t>
            </w:r>
          </w:p>
        </w:tc>
        <w:tc>
          <w:tcPr>
            <w:tcW w:type="dxa" w:w="4703"/>
          </w:tcPr>
          <w:p>
            <w:r>
              <w:rPr>
                <w:sz w:val="20"/>
              </w:rPr>
              <w:t>DEFINITIEF</w:t>
            </w:r>
          </w:p>
        </w:tc>
      </w:tr>
      <w:tr>
        <w:tc>
          <w:tcPr>
            <w:tcW w:type="dxa" w:w="4703"/>
          </w:tcPr>
          <w:p>
            <w:r>
              <w:rPr>
                <w:sz w:val="20"/>
              </w:rPr>
              <w:t>Classificatie</w:t>
            </w:r>
          </w:p>
        </w:tc>
        <w:tc>
          <w:tcPr>
            <w:tcW w:type="dxa" w:w="4703"/>
          </w:tcPr>
          <w:p>
            <w:r>
              <w:rPr>
                <w:sz w:val="20"/>
              </w:rPr>
              <w:t>Vertrouwelijk — JvG Consultancy</w:t>
            </w:r>
          </w:p>
        </w:tc>
      </w:tr>
    </w:tbl>
    <w:p>
      <w:r>
        <w:br w:type="page"/>
      </w:r>
    </w:p>
    <w:p>
      <w:pPr>
        <w:pStyle w:val="Heading1"/>
      </w:pPr>
      <w:r>
        <w:t>1. Introductie &amp; Doel</w:t>
      </w:r>
    </w:p>
    <w:p>
      <w:r>
        <w:t>Dit document is het strategisch opstartplan voor Jorick Gemert, die per mei/juni 2026 start als zelfstandig ondernemer (ZZP'er) in de rol van HHC-deskundige en HHC Interim Manager. Het plan deckt alle juridische, fiscale, administratieve en commerciële aspecten van het oprichten en exploiteren van een eenmanszaak in de zorg- en healthconsultancy sector.</w:t>
      </w:r>
    </w:p>
    <w:p>
      <w:pPr>
        <w:pStyle w:val="Heading2"/>
      </w:pPr>
      <w:r>
        <w:t>1.1 Achtergrond</w:t>
      </w:r>
    </w:p>
    <w:p>
      <w:r>
        <w:t>Jorick Gemert is een ervaren HSEQ-professional met expertise in veiligheidsmanagement, compliance, en governance binnen de olie-, gas-, petrochemie- en offshore sector. Met deze brede basis in risicomanagement en kwaliteitszaken, verbreedt hij zijn werkveld naar de Hygiëne, Health &amp; Care (HHC) sector — waar vergelijkbare competentiegebieden (veiligheid, kwaliteit, compliance, risicobeheersing) direct toepasbaar zijn.</w:t>
      </w:r>
    </w:p>
    <w:p>
      <w:pPr>
        <w:pStyle w:val="Heading2"/>
      </w:pPr>
      <w:r>
        <w:t>1.2 Doelstelling</w:t>
      </w:r>
    </w:p>
    <w:p>
      <w:r>
        <w:t>Binnen 8 weken een volledig operationele ZZP-onderneming oprichten, inclusief:</w:t>
      </w:r>
    </w:p>
    <w:p>
      <w:pPr>
        <w:pStyle w:val="ListBullet"/>
      </w:pPr>
      <w:r>
        <w:rPr>
          <w:sz w:val="22"/>
        </w:rPr>
        <w:t>KvK-inschrijving en rechtsvorm vaststelling</w:t>
      </w:r>
    </w:p>
    <w:p>
      <w:pPr>
        <w:pStyle w:val="ListBullet"/>
      </w:pPr>
      <w:r>
        <w:rPr>
          <w:sz w:val="22"/>
        </w:rPr>
        <w:t>Fiscale structuur en belastingregelingen optimaliseren</w:t>
      </w:r>
    </w:p>
    <w:p>
      <w:pPr>
        <w:pStyle w:val="ListBullet"/>
      </w:pPr>
      <w:r>
        <w:rPr>
          <w:sz w:val="22"/>
        </w:rPr>
        <w:t>Verzekeringen afsluiten (AVB, Beroepsaansprakelijkheid, AOV)</w:t>
      </w:r>
    </w:p>
    <w:p>
      <w:pPr>
        <w:pStyle w:val="ListBullet"/>
      </w:pPr>
      <w:r>
        <w:rPr>
          <w:sz w:val="22"/>
        </w:rPr>
        <w:t>Administratie en boekhoudsystematiek inrichten</w:t>
      </w:r>
    </w:p>
    <w:p>
      <w:pPr>
        <w:pStyle w:val="ListBullet"/>
      </w:pPr>
      <w:r>
        <w:rPr>
          <w:sz w:val="22"/>
        </w:rPr>
        <w:t>Contracten, voorwaarden en modelovereenkomsten opstellen</w:t>
      </w:r>
    </w:p>
    <w:p>
      <w:pPr>
        <w:pStyle w:val="ListBullet"/>
      </w:pPr>
      <w:r>
        <w:rPr>
          <w:sz w:val="22"/>
        </w:rPr>
        <w:t>Acquisitie starten en eerste opdrachten binnenhalen</w:t>
      </w:r>
    </w:p>
    <w:p>
      <w:pPr>
        <w:pStyle w:val="ListBullet"/>
      </w:pPr>
      <w:r>
        <w:rPr>
          <w:sz w:val="22"/>
        </w:rPr>
        <w:t>Volledige compliance met Wet DBA, AVG, Arbowet, en Wkkgv</w:t>
      </w:r>
    </w:p>
    <w:p>
      <w:pPr>
        <w:pStyle w:val="Heading2"/>
      </w:pPr>
      <w:r>
        <w:t>1.3 Scope</w:t>
      </w:r>
    </w:p>
    <w:p>
      <w:r>
        <w:t>Dit plan is specifiek gericht op de Nederlandse situatie 2026. De inhoud is gebaseerd op actuele wetgeving en fiscale regelingen. Raadpleeg altijd een belastingadviseur of boekhouder voor jouw specifieke situatie [1].</w:t>
      </w:r>
    </w:p>
    <w:p>
      <w:pPr>
        <w:pStyle w:val="Heading1"/>
      </w:pPr>
      <w:r>
        <w:t>2. Rechtsvorm &amp; KvK-Inschrijving</w:t>
      </w:r>
    </w:p>
    <w:p>
      <w:pPr>
        <w:pStyle w:val="Heading2"/>
      </w:pPr>
      <w:r>
        <w:t>2.1 Rechtsvormkeuze: Eenmanszaak vs. BV</w:t>
      </w:r>
    </w:p>
    <w:p>
      <w:r>
        <w:t>Voor een startende ZZP'er in de consultancy zijn er twee relevante rechtsvormen. De eenmanszaak is veruit de meest gekozen vorm vanwege eenvoud en lage kosten.</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jc w:val="left"/>
            </w:pPr>
            <w:r>
              <w:rPr>
                <w:b/>
                <w:color w:val="003366"/>
                <w:sz w:val="20"/>
              </w:rPr>
              <w:t>Aspect</w:t>
            </w:r>
          </w:p>
        </w:tc>
        <w:tc>
          <w:tcPr>
            <w:tcW w:type="dxa" w:w="3135"/>
          </w:tcPr>
          <w:p>
            <w:pPr>
              <w:jc w:val="left"/>
            </w:pPr>
            <w:r>
              <w:rPr>
                <w:b/>
                <w:color w:val="003366"/>
                <w:sz w:val="20"/>
              </w:rPr>
              <w:t>Eenmanszaak</w:t>
            </w:r>
          </w:p>
        </w:tc>
        <w:tc>
          <w:tcPr>
            <w:tcW w:type="dxa" w:w="3135"/>
          </w:tcPr>
          <w:p>
            <w:pPr>
              <w:jc w:val="left"/>
            </w:pPr>
            <w:r>
              <w:rPr>
                <w:b/>
                <w:color w:val="003366"/>
                <w:sz w:val="20"/>
              </w:rPr>
              <w:t>BV</w:t>
            </w:r>
          </w:p>
        </w:tc>
      </w:tr>
      <w:tr>
        <w:tc>
          <w:tcPr>
            <w:tcW w:type="dxa" w:w="3135"/>
          </w:tcPr>
          <w:p>
            <w:r>
              <w:rPr>
                <w:sz w:val="20"/>
              </w:rPr>
              <w:t>Oprichtingskosten</w:t>
            </w:r>
          </w:p>
        </w:tc>
        <w:tc>
          <w:tcPr>
            <w:tcW w:type="dxa" w:w="3135"/>
          </w:tcPr>
          <w:p>
            <w:r>
              <w:rPr>
                <w:sz w:val="20"/>
              </w:rPr>
              <w:t>€50 (KvK)</w:t>
            </w:r>
          </w:p>
        </w:tc>
        <w:tc>
          <w:tcPr>
            <w:tcW w:type="dxa" w:w="3135"/>
          </w:tcPr>
          <w:p>
            <w:r>
              <w:rPr>
                <w:sz w:val="20"/>
              </w:rPr>
              <w:t>€750–€1.500 (notaris + KvK)</w:t>
            </w:r>
          </w:p>
        </w:tc>
      </w:tr>
      <w:tr>
        <w:tc>
          <w:tcPr>
            <w:tcW w:type="dxa" w:w="3135"/>
          </w:tcPr>
          <w:p>
            <w:r>
              <w:rPr>
                <w:sz w:val="20"/>
              </w:rPr>
              <w:t>Aansprakelijkheid</w:t>
            </w:r>
          </w:p>
        </w:tc>
        <w:tc>
          <w:tcPr>
            <w:tcW w:type="dxa" w:w="3135"/>
          </w:tcPr>
          <w:p>
            <w:r>
              <w:rPr>
                <w:sz w:val="20"/>
              </w:rPr>
              <w:t>Persoonlijk (volledig)</w:t>
            </w:r>
          </w:p>
        </w:tc>
        <w:tc>
          <w:tcPr>
            <w:tcW w:type="dxa" w:w="3135"/>
          </w:tcPr>
          <w:p>
            <w:r>
              <w:rPr>
                <w:sz w:val="20"/>
              </w:rPr>
              <w:t>Beperkt tot bedrijfsvermogen</w:t>
            </w:r>
          </w:p>
        </w:tc>
      </w:tr>
      <w:tr>
        <w:tc>
          <w:tcPr>
            <w:tcW w:type="dxa" w:w="3135"/>
          </w:tcPr>
          <w:p>
            <w:r>
              <w:rPr>
                <w:sz w:val="20"/>
              </w:rPr>
              <w:t>Belasting</w:t>
            </w:r>
          </w:p>
        </w:tc>
        <w:tc>
          <w:tcPr>
            <w:tcW w:type="dxa" w:w="3135"/>
          </w:tcPr>
          <w:p>
            <w:r>
              <w:rPr>
                <w:sz w:val="20"/>
              </w:rPr>
              <w:t>Inkomstenbelasting (Box 1)</w:t>
            </w:r>
          </w:p>
        </w:tc>
        <w:tc>
          <w:tcPr>
            <w:tcW w:type="dxa" w:w="3135"/>
          </w:tcPr>
          <w:p>
            <w:r>
              <w:rPr>
                <w:sz w:val="20"/>
              </w:rPr>
              <w:t>Vennootschapsbelasting (15–25,8%)</w:t>
            </w:r>
          </w:p>
        </w:tc>
      </w:tr>
      <w:tr>
        <w:tc>
          <w:tcPr>
            <w:tcW w:type="dxa" w:w="3135"/>
          </w:tcPr>
          <w:p>
            <w:r>
              <w:rPr>
                <w:sz w:val="20"/>
              </w:rPr>
              <w:t>Zelfstandigenaftrek</w:t>
            </w:r>
          </w:p>
        </w:tc>
        <w:tc>
          <w:tcPr>
            <w:tcW w:type="dxa" w:w="3135"/>
          </w:tcPr>
          <w:p>
            <w:r>
              <w:rPr>
                <w:sz w:val="20"/>
              </w:rPr>
              <w:t>✅ Ja</w:t>
            </w:r>
          </w:p>
        </w:tc>
        <w:tc>
          <w:tcPr>
            <w:tcW w:type="dxa" w:w="3135"/>
          </w:tcPr>
          <w:p>
            <w:r>
              <w:rPr>
                <w:sz w:val="20"/>
              </w:rPr>
              <w:t>❌ Nee</w:t>
            </w:r>
          </w:p>
        </w:tc>
      </w:tr>
      <w:tr>
        <w:tc>
          <w:tcPr>
            <w:tcW w:type="dxa" w:w="3135"/>
          </w:tcPr>
          <w:p>
            <w:r>
              <w:rPr>
                <w:sz w:val="20"/>
              </w:rPr>
              <w:t>Startersaftrek</w:t>
            </w:r>
          </w:p>
        </w:tc>
        <w:tc>
          <w:tcPr>
            <w:tcW w:type="dxa" w:w="3135"/>
          </w:tcPr>
          <w:p>
            <w:r>
              <w:rPr>
                <w:sz w:val="20"/>
              </w:rPr>
              <w:t>✅ Ja (eerste 3 jaar)</w:t>
            </w:r>
          </w:p>
        </w:tc>
        <w:tc>
          <w:tcPr>
            <w:tcW w:type="dxa" w:w="3135"/>
          </w:tcPr>
          <w:p>
            <w:r>
              <w:rPr>
                <w:sz w:val="20"/>
              </w:rPr>
              <w:t>❌ Nee</w:t>
            </w:r>
          </w:p>
        </w:tc>
      </w:tr>
      <w:tr>
        <w:tc>
          <w:tcPr>
            <w:tcW w:type="dxa" w:w="3135"/>
          </w:tcPr>
          <w:p>
            <w:r>
              <w:rPr>
                <w:sz w:val="20"/>
              </w:rPr>
              <w:t>MKB-winstvrijstelling</w:t>
            </w:r>
          </w:p>
        </w:tc>
        <w:tc>
          <w:tcPr>
            <w:tcW w:type="dxa" w:w="3135"/>
          </w:tcPr>
          <w:p>
            <w:r>
              <w:rPr>
                <w:sz w:val="20"/>
              </w:rPr>
              <w:t>✅ Ja</w:t>
            </w:r>
          </w:p>
        </w:tc>
        <w:tc>
          <w:tcPr>
            <w:tcW w:type="dxa" w:w="3135"/>
          </w:tcPr>
          <w:p>
            <w:r>
              <w:rPr>
                <w:sz w:val="20"/>
              </w:rPr>
              <w:t>❌ Nee</w:t>
            </w:r>
          </w:p>
        </w:tc>
      </w:tr>
      <w:tr>
        <w:tc>
          <w:tcPr>
            <w:tcW w:type="dxa" w:w="3135"/>
          </w:tcPr>
          <w:p>
            <w:r>
              <w:rPr>
                <w:sz w:val="20"/>
              </w:rPr>
              <w:t>Administratie</w:t>
            </w:r>
          </w:p>
        </w:tc>
        <w:tc>
          <w:tcPr>
            <w:tcW w:type="dxa" w:w="3135"/>
          </w:tcPr>
          <w:p>
            <w:r>
              <w:rPr>
                <w:sz w:val="20"/>
              </w:rPr>
              <w:t>Eenvoudig</w:t>
            </w:r>
          </w:p>
        </w:tc>
        <w:tc>
          <w:tcPr>
            <w:tcW w:type="dxa" w:w="3135"/>
          </w:tcPr>
          <w:p>
            <w:r>
              <w:rPr>
                <w:sz w:val="20"/>
              </w:rPr>
              <w:t>Compleet (jaarrekening, DGA)</w:t>
            </w:r>
          </w:p>
        </w:tc>
      </w:tr>
      <w:tr>
        <w:tc>
          <w:tcPr>
            <w:tcW w:type="dxa" w:w="3135"/>
          </w:tcPr>
          <w:p>
            <w:r>
              <w:rPr>
                <w:sz w:val="20"/>
              </w:rPr>
              <w:t>Bestuur</w:t>
            </w:r>
          </w:p>
        </w:tc>
        <w:tc>
          <w:tcPr>
            <w:tcW w:type="dxa" w:w="3135"/>
          </w:tcPr>
          <w:p>
            <w:r>
              <w:rPr>
                <w:sz w:val="20"/>
              </w:rPr>
              <w:t>Eigenaar = bestuurder</w:t>
            </w:r>
          </w:p>
        </w:tc>
        <w:tc>
          <w:tcPr>
            <w:tcW w:type="dxa" w:w="3135"/>
          </w:tcPr>
          <w:p>
            <w:r>
              <w:rPr>
                <w:sz w:val="20"/>
              </w:rPr>
              <w:t>Aandeelhouders + bestuur</w:t>
            </w:r>
          </w:p>
        </w:tc>
      </w:tr>
      <w:tr>
        <w:tc>
          <w:tcPr>
            <w:tcW w:type="dxa" w:w="3135"/>
          </w:tcPr>
          <w:p>
            <w:r>
              <w:rPr>
                <w:sz w:val="20"/>
              </w:rPr>
              <w:t>Flexibiliteit</w:t>
            </w:r>
          </w:p>
        </w:tc>
        <w:tc>
          <w:tcPr>
            <w:tcW w:type="dxa" w:w="3135"/>
          </w:tcPr>
          <w:p>
            <w:r>
              <w:rPr>
                <w:sz w:val="20"/>
              </w:rPr>
              <w:t>Hoog</w:t>
            </w:r>
          </w:p>
        </w:tc>
        <w:tc>
          <w:tcPr>
            <w:tcW w:type="dxa" w:w="3135"/>
          </w:tcPr>
          <w:p>
            <w:r>
              <w:rPr>
                <w:sz w:val="20"/>
              </w:rPr>
              <w:t>Minder flexibel</w:t>
            </w:r>
          </w:p>
        </w:tc>
      </w:tr>
      <w:tr>
        <w:tc>
          <w:tcPr>
            <w:tcW w:type="dxa" w:w="3135"/>
          </w:tcPr>
          <w:p>
            <w:r>
              <w:rPr>
                <w:sz w:val="20"/>
              </w:rPr>
              <w:t>Advies</w:t>
            </w:r>
          </w:p>
        </w:tc>
        <w:tc>
          <w:tcPr>
            <w:tcW w:type="dxa" w:w="3135"/>
          </w:tcPr>
          <w:p>
            <w:r>
              <w:rPr>
                <w:sz w:val="20"/>
              </w:rPr>
              <w:t>✅ AANBEVOLEN voor start</w:t>
            </w:r>
          </w:p>
        </w:tc>
        <w:tc>
          <w:tcPr>
            <w:tcW w:type="dxa" w:w="3135"/>
          </w:tcPr>
          <w:p>
            <w:r>
              <w:rPr>
                <w:sz w:val="20"/>
              </w:rPr>
              <w:t>Overwegen bij &gt;€150.000 winst</w:t>
            </w:r>
          </w:p>
        </w:tc>
      </w:tr>
    </w:tbl>
    <w:p/>
    <w:p>
      <w:r>
        <w:t>ADVIES: Start als eenmanszaak. De fiscale voordelen (zelfstandigenaftrek, startersaftrek, MKB-winstvrijstelling) compenseren ruim de persoonlijke aansprakelijkheid, zeker in de startfase. Bij structureel hoge winsten (&gt;€150.000/jaar) kan conversie naar BV overwogen worden [2].</w:t>
      </w:r>
    </w:p>
    <w:p>
      <w:pPr>
        <w:pStyle w:val="Heading2"/>
      </w:pPr>
      <w:r>
        <w:t>2.2 Stappenplan KvK-Inschrijving</w:t>
      </w:r>
    </w:p>
    <w:p>
      <w:r>
        <w:t>1. Controleer handelsnaam beschikbaarheid via kvk.nl/handelsregister</w:t>
      </w:r>
    </w:p>
    <w:p>
      <w:r>
        <w:t>2. Bereid voor: geldig ID (paspoort/rijbewijs + IDINbankrekening)</w:t>
      </w:r>
    </w:p>
    <w:p>
      <w:r>
        <w:t>3. Inschrijving via kvk.nl (digitaal met IDIN) of fysiek bij Kvk-kantoor</w:t>
      </w:r>
    </w:p>
    <w:p>
      <w:r>
        <w:t>4. Kosten: €50 eenmalig (inschrijfgeld Handelsregister)</w:t>
      </w:r>
    </w:p>
    <w:p>
      <w:r>
        <w:t>5. KvK-nummer ontvangen (direct beschikbaar na inschrijving)</w:t>
      </w:r>
    </w:p>
    <w:p>
      <w:r>
        <w:t>6. Ontvangst Uittreksel Handelsregister (per post, ~5 werkdagen)</w:t>
      </w:r>
    </w:p>
    <w:p>
      <w:r>
        <w:t>7. Melding aan Belastingdienst volgt automatisch via KvK</w:t>
      </w:r>
    </w:p>
    <w:p>
      <w:pPr>
        <w:pStyle w:val="Heading2"/>
      </w:pPr>
      <w:r>
        <w:t>2.3 SBI-Codes</w:t>
      </w:r>
    </w:p>
    <w:p>
      <w:r>
        <w:t>Selecteer de volgende SBI-codes (Standaard Bedrijfsindeling) bij inschrijving:</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jc w:val="left"/>
            </w:pPr>
            <w:r>
              <w:rPr>
                <w:b/>
                <w:color w:val="003366"/>
                <w:sz w:val="20"/>
              </w:rPr>
              <w:t>SBI-code</w:t>
            </w:r>
          </w:p>
        </w:tc>
        <w:tc>
          <w:tcPr>
            <w:tcW w:type="dxa" w:w="3135"/>
          </w:tcPr>
          <w:p>
            <w:pPr>
              <w:jc w:val="left"/>
            </w:pPr>
            <w:r>
              <w:rPr>
                <w:b/>
                <w:color w:val="003366"/>
                <w:sz w:val="20"/>
              </w:rPr>
              <w:t>Omschrijving</w:t>
            </w:r>
          </w:p>
        </w:tc>
        <w:tc>
          <w:tcPr>
            <w:tcW w:type="dxa" w:w="3135"/>
          </w:tcPr>
          <w:p>
            <w:pPr>
              <w:jc w:val="left"/>
            </w:pPr>
            <w:r>
              <w:rPr>
                <w:b/>
                <w:color w:val="003366"/>
                <w:sz w:val="20"/>
              </w:rPr>
              <w:t>Relevantie</w:t>
            </w:r>
          </w:p>
        </w:tc>
      </w:tr>
      <w:tr>
        <w:tc>
          <w:tcPr>
            <w:tcW w:type="dxa" w:w="3135"/>
          </w:tcPr>
          <w:p>
            <w:r>
              <w:rPr>
                <w:sz w:val="20"/>
              </w:rPr>
              <w:t>70221</w:t>
            </w:r>
          </w:p>
        </w:tc>
        <w:tc>
          <w:tcPr>
            <w:tcW w:type="dxa" w:w="3135"/>
          </w:tcPr>
          <w:p>
            <w:r>
              <w:rPr>
                <w:sz w:val="20"/>
              </w:rPr>
              <w:t>Adviesbureaus op het gebied van management, bedrijfsvoering en techniek</w:t>
            </w:r>
          </w:p>
        </w:tc>
        <w:tc>
          <w:tcPr>
            <w:tcW w:type="dxa" w:w="3135"/>
          </w:tcPr>
          <w:p>
            <w:r>
              <w:rPr>
                <w:sz w:val="20"/>
              </w:rPr>
              <w:t>Primaire activiteit</w:t>
            </w:r>
          </w:p>
        </w:tc>
      </w:tr>
      <w:tr>
        <w:tc>
          <w:tcPr>
            <w:tcW w:type="dxa" w:w="3135"/>
          </w:tcPr>
          <w:p>
            <w:r>
              <w:rPr>
                <w:sz w:val="20"/>
              </w:rPr>
              <w:t>74901</w:t>
            </w:r>
          </w:p>
        </w:tc>
        <w:tc>
          <w:tcPr>
            <w:tcW w:type="dxa" w:w="3135"/>
          </w:tcPr>
          <w:p>
            <w:r>
              <w:rPr>
                <w:sz w:val="20"/>
              </w:rPr>
              <w:t>Advies- en ingenieursbureaus (overig)</w:t>
            </w:r>
          </w:p>
        </w:tc>
        <w:tc>
          <w:tcPr>
            <w:tcW w:type="dxa" w:w="3135"/>
          </w:tcPr>
          <w:p>
            <w:r>
              <w:rPr>
                <w:sz w:val="20"/>
              </w:rPr>
              <w:t>HSEQ / HHC consultancy</w:t>
            </w:r>
          </w:p>
        </w:tc>
      </w:tr>
      <w:tr>
        <w:tc>
          <w:tcPr>
            <w:tcW w:type="dxa" w:w="3135"/>
          </w:tcPr>
          <w:p>
            <w:r>
              <w:rPr>
                <w:sz w:val="20"/>
              </w:rPr>
              <w:t>78200</w:t>
            </w:r>
          </w:p>
        </w:tc>
        <w:tc>
          <w:tcPr>
            <w:tcW w:type="dxa" w:w="3135"/>
          </w:tcPr>
          <w:p>
            <w:r>
              <w:rPr>
                <w:sz w:val="20"/>
              </w:rPr>
              <w:t>Uitzendbureaus en intermediairs voor tijdelijk werk</w:t>
            </w:r>
          </w:p>
        </w:tc>
        <w:tc>
          <w:tcPr>
            <w:tcW w:type="dxa" w:w="3135"/>
          </w:tcPr>
          <w:p>
            <w:r>
              <w:rPr>
                <w:sz w:val="20"/>
              </w:rPr>
              <w:t>Interim management</w:t>
            </w:r>
          </w:p>
        </w:tc>
      </w:tr>
      <w:tr>
        <w:tc>
          <w:tcPr>
            <w:tcW w:type="dxa" w:w="3135"/>
          </w:tcPr>
          <w:p>
            <w:r>
              <w:rPr>
                <w:sz w:val="20"/>
              </w:rPr>
              <w:t>86901</w:t>
            </w:r>
          </w:p>
        </w:tc>
        <w:tc>
          <w:tcPr>
            <w:tcW w:type="dxa" w:w="3135"/>
          </w:tcPr>
          <w:p>
            <w:r>
              <w:rPr>
                <w:sz w:val="20"/>
              </w:rPr>
              <w:t>Paramedische praktijken en overige gezondheidszorg</w:t>
            </w:r>
          </w:p>
        </w:tc>
        <w:tc>
          <w:tcPr>
            <w:tcW w:type="dxa" w:w="3135"/>
          </w:tcPr>
          <w:p>
            <w:r>
              <w:rPr>
                <w:sz w:val="20"/>
              </w:rPr>
              <w:t>HHC gezondheidsadvies</w:t>
            </w:r>
          </w:p>
        </w:tc>
      </w:tr>
    </w:tbl>
    <w:p>
      <w:pPr>
        <w:pStyle w:val="Heading2"/>
      </w:pPr>
      <w:r>
        <w:t>2.4 Handelsnaam &amp; Bescherming</w:t>
      </w:r>
    </w:p>
    <w:p>
      <w:r>
        <w:t>Kies een handelsnaam die uniek is en niet inbreuk maakt op bestaande merknamen. Controleer via: KvK Handelsregister, Benelux-Bureau voor de Intellectuele Eigendom (BOIP), en domeinnaam beschikbaarheid. Overweeg 'JvG Consultancy' of 'Jorick van Gemert HHC Consultancy' [3].</w:t>
      </w:r>
    </w:p>
    <w:p>
      <w:pPr>
        <w:pStyle w:val="Heading1"/>
      </w:pPr>
      <w:r>
        <w:t>3. Belasting &amp; Fiscale Zaken</w:t>
      </w:r>
    </w:p>
    <w:p>
      <w:pPr>
        <w:pStyle w:val="Heading2"/>
      </w:pPr>
      <w:r>
        <w:t>3.1 Inkomstenbelasting (Box 1)</w:t>
      </w:r>
    </w:p>
    <w:p>
      <w:r>
        <w:t>Als eenmanszaak wordt de winst belast in Box 1 van de inkomstenbelasting. De tarieven voor 2026 zijn (indicatief, controleer belastingdienst.nl):</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jc w:val="left"/>
            </w:pPr>
            <w:r>
              <w:rPr>
                <w:b/>
                <w:color w:val="003366"/>
                <w:sz w:val="20"/>
              </w:rPr>
              <w:t>Schaal</w:t>
            </w:r>
          </w:p>
        </w:tc>
        <w:tc>
          <w:tcPr>
            <w:tcW w:type="dxa" w:w="3135"/>
          </w:tcPr>
          <w:p>
            <w:pPr>
              <w:jc w:val="left"/>
            </w:pPr>
            <w:r>
              <w:rPr>
                <w:b/>
                <w:color w:val="003366"/>
                <w:sz w:val="20"/>
              </w:rPr>
              <w:t>Belastbaar inkomen</w:t>
            </w:r>
          </w:p>
        </w:tc>
        <w:tc>
          <w:tcPr>
            <w:tcW w:type="dxa" w:w="3135"/>
          </w:tcPr>
          <w:p>
            <w:pPr>
              <w:jc w:val="left"/>
            </w:pPr>
            <w:r>
              <w:rPr>
                <w:b/>
                <w:color w:val="003366"/>
                <w:sz w:val="20"/>
              </w:rPr>
              <w:t>Tarief</w:t>
            </w:r>
          </w:p>
        </w:tc>
      </w:tr>
      <w:tr>
        <w:tc>
          <w:tcPr>
            <w:tcW w:type="dxa" w:w="3135"/>
          </w:tcPr>
          <w:p>
            <w:r>
              <w:rPr>
                <w:sz w:val="20"/>
              </w:rPr>
              <w:t>Schijf 1</w:t>
            </w:r>
          </w:p>
        </w:tc>
        <w:tc>
          <w:tcPr>
            <w:tcW w:type="dxa" w:w="3135"/>
          </w:tcPr>
          <w:p>
            <w:r>
              <w:rPr>
                <w:sz w:val="20"/>
              </w:rPr>
              <w:t>0 – €75.518</w:t>
            </w:r>
          </w:p>
        </w:tc>
        <w:tc>
          <w:tcPr>
            <w:tcW w:type="dxa" w:w="3135"/>
          </w:tcPr>
          <w:p>
            <w:r>
              <w:rPr>
                <w:sz w:val="20"/>
              </w:rPr>
              <w:t>36,97%</w:t>
            </w:r>
          </w:p>
        </w:tc>
      </w:tr>
      <w:tr>
        <w:tc>
          <w:tcPr>
            <w:tcW w:type="dxa" w:w="3135"/>
          </w:tcPr>
          <w:p>
            <w:r>
              <w:rPr>
                <w:sz w:val="20"/>
              </w:rPr>
              <w:t>Schijf 2</w:t>
            </w:r>
          </w:p>
        </w:tc>
        <w:tc>
          <w:tcPr>
            <w:tcW w:type="dxa" w:w="3135"/>
          </w:tcPr>
          <w:p>
            <w:r>
              <w:rPr>
                <w:sz w:val="20"/>
              </w:rPr>
              <w:t>Boven €75.518</w:t>
            </w:r>
          </w:p>
        </w:tc>
        <w:tc>
          <w:tcPr>
            <w:tcW w:type="dxa" w:w="3135"/>
          </w:tcPr>
          <w:p>
            <w:r>
              <w:rPr>
                <w:sz w:val="20"/>
              </w:rPr>
              <w:t>49,50%</w:t>
            </w:r>
          </w:p>
        </w:tc>
      </w:tr>
    </w:tbl>
    <w:p>
      <w:pPr>
        <w:pStyle w:val="Heading2"/>
      </w:pPr>
      <w:r>
        <w:t>3.2 Zelfstandigenaftrek 2026</w:t>
      </w:r>
    </w:p>
    <w:p>
      <w:r>
        <w:t>Voorwaarden voor zelfstandigenaftrek:</w:t>
      </w:r>
    </w:p>
    <w:p>
      <w:pPr>
        <w:pStyle w:val="ListBullet"/>
      </w:pPr>
      <w:r>
        <w:t>Minimaal 1.225 uren per jaar besteed aan het ondernemen (urencriterium)</w:t>
      </w:r>
    </w:p>
    <w:p>
      <w:pPr>
        <w:pStyle w:val="ListBullet"/>
      </w:pPr>
      <w:r>
        <w:t>In de startfase: minimaal 800 uren, waarvan 575 uren in het nieuwe bedrijf</w:t>
      </w:r>
    </w:p>
    <w:p>
      <w:pPr>
        <w:pStyle w:val="ListBullet"/>
      </w:pPr>
      <w:r>
        <w:t>Meer dan één opdrachtgever (voorkomt schijnzelfstandigheid)</w:t>
      </w:r>
    </w:p>
    <w:p>
      <w:pPr>
        <w:pStyle w:val="ListBullet"/>
      </w:pPr>
      <w:r>
        <w:t>Je voert het bedrijf zelfstandig (geen dienstbetrekking)</w:t>
      </w:r>
    </w:p>
    <w:p>
      <w:r>
        <w:t>De zelfstandigenaftrek bedraagt in 2026 naar verwachting circa €12.420 (controleer belastingdienst.nl voor het exacte bedrag). Dit bedrag wordt van de winst afgetrokken [4].</w:t>
      </w:r>
    </w:p>
    <w:p>
      <w:pPr>
        <w:pStyle w:val="Heading2"/>
      </w:pPr>
      <w:r>
        <w:t>3.3 Startersaftrek</w:t>
      </w:r>
    </w:p>
    <w:p>
      <w:r>
        <w:t>In de eerste drie jaar van je onderneming kom je in aanmerking voor een extra aftrekpost: de startersaftrek. In 2025 bedroeg deze €2.119; het bedrag voor 2026 wordt in het voorjaar vastgesteld (verwacht vergelijkbaar). Dit bedrag komt bovenop de reguliere zelfstandigenaftrek [4].</w:t>
      </w:r>
    </w:p>
    <w:p>
      <w:pPr>
        <w:pStyle w:val="Heading2"/>
      </w:pPr>
      <w:r>
        <w:t>3.4 MKB-winstvrijstelling</w:t>
      </w:r>
    </w:p>
    <w:p>
      <w:r>
        <w:t>Na toepassing van de zelfstandigenaftrek en startersaftrek mag je nog eens 14,19% (2025-bedrag; 2026 wordt bevestigd) van de resterende winst vrijstellen. Dit is de MKB-winstvrijstelling (ook wel ondernemersaftrek genoemd) [4].</w:t>
      </w:r>
    </w:p>
    <w:p>
      <w:pPr>
        <w:pStyle w:val="Heading2"/>
      </w:pPr>
      <w:r>
        <w:t>3.5 Kleineondernemersregeling (KOR) voor BTW</w:t>
      </w:r>
    </w:p>
    <w:p>
      <w:r>
        <w:t>Als je omzet (exclusief btw) per jaar onder de €20.000 blijft, mag je de Kleineondernemersregeling toepassen. Je hoeft dan geen btw in rekening te brengen en aan te geven. Nadeel: je kunt ook geen btw terugvragen op inkoopkosten. Voor een HHC-consultancy met verwachte omzet &gt;€50.000 is de KOR NIET relevant — je valt er buiten en moet regulier btw-aangifte doen [5].</w:t>
      </w:r>
    </w:p>
    <w:p>
      <w:pPr>
        <w:pStyle w:val="Heading2"/>
      </w:pPr>
      <w:r>
        <w:t>3.6 BTW-aangifte</w:t>
      </w:r>
    </w:p>
    <w:tbl>
      <w:tblPr>
        <w:tblStyle w:val="LightGrid-Accent1"/>
        <w:tblW w:type="auto" w:w="0"/>
        <w:jc w:val="center"/>
        <w:tblLook w:firstColumn="1" w:firstRow="1" w:lastColumn="0" w:lastRow="0" w:noHBand="0" w:noVBand="1" w:val="04A0"/>
      </w:tblPr>
      <w:tblGrid>
        <w:gridCol w:w="4703"/>
        <w:gridCol w:w="4703"/>
      </w:tblGrid>
      <w:tr>
        <w:tc>
          <w:tcPr>
            <w:tcW w:type="dxa" w:w="4703"/>
          </w:tcPr>
          <w:p>
            <w:pPr>
              <w:jc w:val="left"/>
            </w:pPr>
            <w:r>
              <w:rPr>
                <w:b/>
                <w:color w:val="003366"/>
                <w:sz w:val="20"/>
              </w:rPr>
              <w:t>Aspect</w:t>
            </w:r>
          </w:p>
        </w:tc>
        <w:tc>
          <w:tcPr>
            <w:tcW w:type="dxa" w:w="4703"/>
          </w:tcPr>
          <w:p>
            <w:pPr>
              <w:jc w:val="left"/>
            </w:pPr>
            <w:r>
              <w:rPr>
                <w:b/>
                <w:color w:val="003366"/>
                <w:sz w:val="20"/>
              </w:rPr>
              <w:t>Details</w:t>
            </w:r>
          </w:p>
        </w:tc>
      </w:tr>
      <w:tr>
        <w:tc>
          <w:tcPr>
            <w:tcW w:type="dxa" w:w="4703"/>
          </w:tcPr>
          <w:p>
            <w:r>
              <w:rPr>
                <w:sz w:val="20"/>
              </w:rPr>
              <w:t>Frequentie</w:t>
            </w:r>
          </w:p>
        </w:tc>
        <w:tc>
          <w:tcPr>
            <w:tcW w:type="dxa" w:w="4703"/>
          </w:tcPr>
          <w:p>
            <w:r>
              <w:rPr>
                <w:sz w:val="20"/>
              </w:rPr>
              <w:t>Per kwartaal (standaard)</w:t>
            </w:r>
          </w:p>
        </w:tc>
      </w:tr>
      <w:tr>
        <w:tc>
          <w:tcPr>
            <w:tcW w:type="dxa" w:w="4703"/>
          </w:tcPr>
          <w:p>
            <w:r>
              <w:rPr>
                <w:sz w:val="20"/>
              </w:rPr>
              <w:t>Tarief</w:t>
            </w:r>
          </w:p>
        </w:tc>
        <w:tc>
          <w:tcPr>
            <w:tcW w:type="dxa" w:w="4703"/>
          </w:tcPr>
          <w:p>
            <w:r>
              <w:rPr>
                <w:sz w:val="20"/>
              </w:rPr>
              <w:t>21% (standaard) op consultancy-diensten</w:t>
            </w:r>
          </w:p>
        </w:tc>
      </w:tr>
      <w:tr>
        <w:tc>
          <w:tcPr>
            <w:tcW w:type="dxa" w:w="4703"/>
          </w:tcPr>
          <w:p>
            <w:r>
              <w:rPr>
                <w:sz w:val="20"/>
              </w:rPr>
              <w:t>Deadline</w:t>
            </w:r>
          </w:p>
        </w:tc>
        <w:tc>
          <w:tcPr>
            <w:tcW w:type="dxa" w:w="4703"/>
          </w:tcPr>
          <w:p>
            <w:r>
              <w:rPr>
                <w:sz w:val="20"/>
              </w:rPr>
              <w:t>Uiterlijk de laatste dag van de maand volgend op het kwartaal</w:t>
            </w:r>
          </w:p>
        </w:tc>
      </w:tr>
      <w:tr>
        <w:tc>
          <w:tcPr>
            <w:tcW w:type="dxa" w:w="4703"/>
          </w:tcPr>
          <w:p>
            <w:r>
              <w:rPr>
                <w:sz w:val="20"/>
              </w:rPr>
              <w:t>Instorting</w:t>
            </w:r>
          </w:p>
        </w:tc>
        <w:tc>
          <w:tcPr>
            <w:tcW w:type="dxa" w:w="4703"/>
          </w:tcPr>
          <w:p>
            <w:r>
              <w:rPr>
                <w:sz w:val="20"/>
              </w:rPr>
              <w:t>Via Mijn Belastingdienst voor Ondernemers</w:t>
            </w:r>
          </w:p>
        </w:tc>
      </w:tr>
      <w:tr>
        <w:tc>
          <w:tcPr>
            <w:tcW w:type="dxa" w:w="4703"/>
          </w:tcPr>
          <w:p>
            <w:r>
              <w:rPr>
                <w:sz w:val="20"/>
              </w:rPr>
              <w:t>Betaling</w:t>
            </w:r>
          </w:p>
        </w:tc>
        <w:tc>
          <w:tcPr>
            <w:tcW w:type="dxa" w:w="4703"/>
          </w:tcPr>
          <w:p>
            <w:r>
              <w:rPr>
                <w:sz w:val="20"/>
              </w:rPr>
              <w:t>Binnen 1 maand na aangifte (automatische incasso mogelijk)</w:t>
            </w:r>
          </w:p>
        </w:tc>
      </w:tr>
      <w:tr>
        <w:tc>
          <w:tcPr>
            <w:tcW w:type="dxa" w:w="4703"/>
          </w:tcPr>
          <w:p>
            <w:r>
              <w:rPr>
                <w:sz w:val="20"/>
              </w:rPr>
              <w:t>Voorlopige teruggaaf</w:t>
            </w:r>
          </w:p>
        </w:tc>
        <w:tc>
          <w:tcPr>
            <w:tcW w:type="dxa" w:w="4703"/>
          </w:tcPr>
          <w:p>
            <w:r>
              <w:rPr>
                <w:sz w:val="20"/>
              </w:rPr>
              <w:t>Ja, bij reguliere btw-aangifte</w:t>
            </w:r>
          </w:p>
        </w:tc>
      </w:tr>
    </w:tbl>
    <w:p>
      <w:pPr>
        <w:pStyle w:val="Heading2"/>
      </w:pPr>
      <w:r>
        <w:t>3.7 Voorlopige Aanslag &amp; Jaaraangifte</w:t>
      </w:r>
    </w:p>
    <w:p>
      <w:r>
        <w:t>Na inschrijving bij de KvK stuurt de Belastingdienst automatisch een uitnodiging voor de voorlopige aanslag inkomstenbelasting. Dit is een schatting op basis van je verwachte winst. Na afloop van het boekjaar doe je de definitieve jaaraangifte. Eventuele meebetaalde belasting wordt verrekend of terugbetaald [6].</w:t>
      </w:r>
    </w:p>
    <w:p>
      <w:pPr>
        <w:pStyle w:val="Heading2"/>
      </w:pPr>
      <w:r>
        <w:t>3.8 Voorbeeldberekening — Bruto naar Netto</w:t>
      </w:r>
    </w:p>
    <w:p>
      <w:r>
        <w:t>Scenario: Jaaromzet €80.000 als startende HHC-consultancy in 2026:</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jc w:val="left"/>
            </w:pPr>
            <w:r>
              <w:rPr>
                <w:b/>
                <w:color w:val="003366"/>
                <w:sz w:val="20"/>
              </w:rPr>
              <w:t>Post</w:t>
            </w:r>
          </w:p>
        </w:tc>
        <w:tc>
          <w:tcPr>
            <w:tcW w:type="dxa" w:w="3135"/>
          </w:tcPr>
          <w:p>
            <w:pPr>
              <w:jc w:val="left"/>
            </w:pPr>
            <w:r>
              <w:rPr>
                <w:b/>
                <w:color w:val="003366"/>
                <w:sz w:val="20"/>
              </w:rPr>
              <w:t>Bedrag</w:t>
            </w:r>
          </w:p>
        </w:tc>
        <w:tc>
          <w:tcPr>
            <w:tcW w:type="dxa" w:w="3135"/>
          </w:tcPr>
          <w:p>
            <w:pPr>
              <w:jc w:val="left"/>
            </w:pPr>
            <w:r>
              <w:rPr>
                <w:b/>
                <w:color w:val="003366"/>
                <w:sz w:val="20"/>
              </w:rPr>
              <w:t>Toelichting</w:t>
            </w:r>
          </w:p>
        </w:tc>
      </w:tr>
      <w:tr>
        <w:tc>
          <w:tcPr>
            <w:tcW w:type="dxa" w:w="3135"/>
          </w:tcPr>
          <w:p>
            <w:r>
              <w:rPr>
                <w:sz w:val="20"/>
              </w:rPr>
              <w:t>Bruto omzet</w:t>
            </w:r>
          </w:p>
        </w:tc>
        <w:tc>
          <w:tcPr>
            <w:tcW w:type="dxa" w:w="3135"/>
          </w:tcPr>
          <w:p>
            <w:r>
              <w:rPr>
                <w:sz w:val="20"/>
              </w:rPr>
              <w:t>€80.000</w:t>
            </w:r>
          </w:p>
        </w:tc>
        <w:tc>
          <w:tcPr>
            <w:tcW w:type="dxa" w:w="3135"/>
          </w:tcPr>
          <w:p>
            <w:r>
              <w:rPr>
                <w:sz w:val="20"/>
              </w:rPr>
              <w:t>Facturatie exclusief btw</w:t>
            </w:r>
          </w:p>
        </w:tc>
      </w:tr>
      <w:tr>
        <w:tc>
          <w:tcPr>
            <w:tcW w:type="dxa" w:w="3135"/>
          </w:tcPr>
          <w:p>
            <w:r>
              <w:rPr>
                <w:sz w:val="20"/>
              </w:rPr>
              <w:t>Zakelijke kosten</w:t>
            </w:r>
          </w:p>
        </w:tc>
        <w:tc>
          <w:tcPr>
            <w:tcW w:type="dxa" w:w="3135"/>
          </w:tcPr>
          <w:p>
            <w:r>
              <w:rPr>
                <w:sz w:val="20"/>
              </w:rPr>
              <w:t>–€12.000</w:t>
            </w:r>
          </w:p>
        </w:tc>
        <w:tc>
          <w:tcPr>
            <w:tcW w:type="dxa" w:w="3135"/>
          </w:tcPr>
          <w:p>
            <w:r>
              <w:rPr>
                <w:sz w:val="20"/>
              </w:rPr>
              <w:t>Boekhouder, verzekeringen, auto, kantoor, software</w:t>
            </w:r>
          </w:p>
        </w:tc>
      </w:tr>
      <w:tr>
        <w:tc>
          <w:tcPr>
            <w:tcW w:type="dxa" w:w="3135"/>
          </w:tcPr>
          <w:p>
            <w:r>
              <w:rPr>
                <w:sz w:val="20"/>
              </w:rPr>
              <w:t>Winst vóór aftrek</w:t>
            </w:r>
          </w:p>
        </w:tc>
        <w:tc>
          <w:tcPr>
            <w:tcW w:type="dxa" w:w="3135"/>
          </w:tcPr>
          <w:p>
            <w:r>
              <w:rPr>
                <w:sz w:val="20"/>
              </w:rPr>
              <w:t>€68.000</w:t>
            </w:r>
          </w:p>
        </w:tc>
        <w:tc>
          <w:tcPr>
            <w:tcW w:type="dxa" w:w="3135"/>
          </w:tcPr>
          <w:p>
            <w:r>
              <w:rPr>
                <w:sz w:val="20"/>
              </w:rPr>
            </w:r>
          </w:p>
        </w:tc>
      </w:tr>
      <w:tr>
        <w:tc>
          <w:tcPr>
            <w:tcW w:type="dxa" w:w="3135"/>
          </w:tcPr>
          <w:p>
            <w:r>
              <w:rPr>
                <w:sz w:val="20"/>
              </w:rPr>
              <w:t>Zelfstandigenaftrek</w:t>
            </w:r>
          </w:p>
        </w:tc>
        <w:tc>
          <w:tcPr>
            <w:tcW w:type="dxa" w:w="3135"/>
          </w:tcPr>
          <w:p>
            <w:r>
              <w:rPr>
                <w:sz w:val="20"/>
              </w:rPr>
              <w:t>–€12.420</w:t>
            </w:r>
          </w:p>
        </w:tc>
        <w:tc>
          <w:tcPr>
            <w:tcW w:type="dxa" w:w="3135"/>
          </w:tcPr>
          <w:p>
            <w:r>
              <w:rPr>
                <w:sz w:val="20"/>
              </w:rPr>
              <w:t>Urencriterium gehaald</w:t>
            </w:r>
          </w:p>
        </w:tc>
      </w:tr>
      <w:tr>
        <w:tc>
          <w:tcPr>
            <w:tcW w:type="dxa" w:w="3135"/>
          </w:tcPr>
          <w:p>
            <w:r>
              <w:rPr>
                <w:sz w:val="20"/>
              </w:rPr>
              <w:t>Startersaftrek</w:t>
            </w:r>
          </w:p>
        </w:tc>
        <w:tc>
          <w:tcPr>
            <w:tcW w:type="dxa" w:w="3135"/>
          </w:tcPr>
          <w:p>
            <w:r>
              <w:rPr>
                <w:sz w:val="20"/>
              </w:rPr>
              <w:t>–€2.119</w:t>
            </w:r>
          </w:p>
        </w:tc>
        <w:tc>
          <w:tcPr>
            <w:tcW w:type="dxa" w:w="3135"/>
          </w:tcPr>
          <w:p>
            <w:r>
              <w:rPr>
                <w:sz w:val="20"/>
              </w:rPr>
              <w:t>Eerste 3 jaar</w:t>
            </w:r>
          </w:p>
        </w:tc>
      </w:tr>
      <w:tr>
        <w:tc>
          <w:tcPr>
            <w:tcW w:type="dxa" w:w="3135"/>
          </w:tcPr>
          <w:p>
            <w:r>
              <w:rPr>
                <w:sz w:val="20"/>
              </w:rPr>
              <w:t>Winst na aftrek</w:t>
            </w:r>
          </w:p>
        </w:tc>
        <w:tc>
          <w:tcPr>
            <w:tcW w:type="dxa" w:w="3135"/>
          </w:tcPr>
          <w:p>
            <w:r>
              <w:rPr>
                <w:sz w:val="20"/>
              </w:rPr>
              <w:t>€53.461</w:t>
            </w:r>
          </w:p>
        </w:tc>
        <w:tc>
          <w:tcPr>
            <w:tcW w:type="dxa" w:w="3135"/>
          </w:tcPr>
          <w:p>
            <w:r>
              <w:rPr>
                <w:sz w:val="20"/>
              </w:rPr>
            </w:r>
          </w:p>
        </w:tc>
      </w:tr>
      <w:tr>
        <w:tc>
          <w:tcPr>
            <w:tcW w:type="dxa" w:w="3135"/>
          </w:tcPr>
          <w:p>
            <w:r>
              <w:rPr>
                <w:sz w:val="20"/>
              </w:rPr>
              <w:t>MKB-winstvrijstelling (14,19%)</w:t>
            </w:r>
          </w:p>
        </w:tc>
        <w:tc>
          <w:tcPr>
            <w:tcW w:type="dxa" w:w="3135"/>
          </w:tcPr>
          <w:p>
            <w:r>
              <w:rPr>
                <w:sz w:val="20"/>
              </w:rPr>
              <w:t>–€7.586</w:t>
            </w:r>
          </w:p>
        </w:tc>
        <w:tc>
          <w:tcPr>
            <w:tcW w:type="dxa" w:w="3135"/>
          </w:tcPr>
          <w:p>
            <w:r>
              <w:rPr>
                <w:sz w:val="20"/>
              </w:rPr>
              <w:t>14,19% van €53.461</w:t>
            </w:r>
          </w:p>
        </w:tc>
      </w:tr>
      <w:tr>
        <w:tc>
          <w:tcPr>
            <w:tcW w:type="dxa" w:w="3135"/>
          </w:tcPr>
          <w:p>
            <w:r>
              <w:rPr>
                <w:sz w:val="20"/>
              </w:rPr>
              <w:t>Belastbaar inkomen</w:t>
            </w:r>
          </w:p>
        </w:tc>
        <w:tc>
          <w:tcPr>
            <w:tcW w:type="dxa" w:w="3135"/>
          </w:tcPr>
          <w:p>
            <w:r>
              <w:rPr>
                <w:sz w:val="20"/>
              </w:rPr>
              <w:t>€45.875</w:t>
            </w:r>
          </w:p>
        </w:tc>
        <w:tc>
          <w:tcPr>
            <w:tcW w:type="dxa" w:w="3135"/>
          </w:tcPr>
          <w:p>
            <w:r>
              <w:rPr>
                <w:sz w:val="20"/>
              </w:rPr>
            </w:r>
          </w:p>
        </w:tc>
      </w:tr>
      <w:tr>
        <w:tc>
          <w:tcPr>
            <w:tcW w:type="dxa" w:w="3135"/>
          </w:tcPr>
          <w:p>
            <w:r>
              <w:rPr>
                <w:sz w:val="20"/>
              </w:rPr>
              <w:t>Belasting (schaal 1: 36,97%)</w:t>
            </w:r>
          </w:p>
        </w:tc>
        <w:tc>
          <w:tcPr>
            <w:tcW w:type="dxa" w:w="3135"/>
          </w:tcPr>
          <w:p>
            <w:r>
              <w:rPr>
                <w:sz w:val="20"/>
              </w:rPr>
              <w:t>€16.962</w:t>
            </w:r>
          </w:p>
        </w:tc>
        <w:tc>
          <w:tcPr>
            <w:tcW w:type="dxa" w:w="3135"/>
          </w:tcPr>
          <w:p>
            <w:r>
              <w:rPr>
                <w:sz w:val="20"/>
              </w:rPr>
              <w:t>Effectief tarief ~25% van winst</w:t>
            </w:r>
          </w:p>
        </w:tc>
      </w:tr>
      <w:tr>
        <w:tc>
          <w:tcPr>
            <w:tcW w:type="dxa" w:w="3135"/>
          </w:tcPr>
          <w:p>
            <w:r>
              <w:rPr>
                <w:sz w:val="20"/>
              </w:rPr>
              <w:t>Netto inkomen (indicatief)</w:t>
            </w:r>
          </w:p>
        </w:tc>
        <w:tc>
          <w:tcPr>
            <w:tcW w:type="dxa" w:w="3135"/>
          </w:tcPr>
          <w:p>
            <w:r>
              <w:rPr>
                <w:sz w:val="20"/>
              </w:rPr>
              <w:t>€51.038</w:t>
            </w:r>
          </w:p>
        </w:tc>
        <w:tc>
          <w:tcPr>
            <w:tcW w:type="dxa" w:w="3135"/>
          </w:tcPr>
          <w:p>
            <w:r>
              <w:rPr>
                <w:sz w:val="20"/>
              </w:rPr>
              <w:t>Winst – belasting = besteedbaar</w:t>
            </w:r>
          </w:p>
        </w:tc>
      </w:tr>
    </w:tbl>
    <w:p/>
    <w:p>
      <w:r>
        <w:rPr>
          <w:b/>
          <w:color w:val="003366"/>
        </w:rPr>
        <w:t>Effectief belastingtarief: ~25% van de winst (dankzij aftrekposten)</w:t>
      </w:r>
    </w:p>
    <w:p>
      <w:r>
        <w:t>Let op: Dit is een indicatieve berekening. Raadpleeg een boekhouder voor jouw exacte situatie. Heffingskorting en algemene heffingskorting zijn hierin niet meegenomen.</w:t>
      </w:r>
    </w:p>
    <w:p>
      <w:pPr>
        <w:pStyle w:val="Heading1"/>
      </w:pPr>
      <w:r>
        <w:t>4. Verzekeringen</w:t>
      </w:r>
    </w:p>
    <w:p>
      <w:pPr>
        <w:pStyle w:val="Heading2"/>
      </w:pPr>
      <w:r>
        <w:t>4.1 Overzicht Verplichte en Aanbevolen Verzekeringen</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pPr>
              <w:jc w:val="left"/>
            </w:pPr>
            <w:r>
              <w:rPr>
                <w:b/>
                <w:color w:val="003366"/>
                <w:sz w:val="20"/>
              </w:rPr>
              <w:t>Verzekering</w:t>
            </w:r>
          </w:p>
        </w:tc>
        <w:tc>
          <w:tcPr>
            <w:tcW w:type="dxa" w:w="2351"/>
          </w:tcPr>
          <w:p>
            <w:pPr>
              <w:jc w:val="left"/>
            </w:pPr>
            <w:r>
              <w:rPr>
                <w:b/>
                <w:color w:val="003366"/>
                <w:sz w:val="20"/>
              </w:rPr>
              <w:t>Status</w:t>
            </w:r>
          </w:p>
        </w:tc>
        <w:tc>
          <w:tcPr>
            <w:tcW w:type="dxa" w:w="2351"/>
          </w:tcPr>
          <w:p>
            <w:pPr>
              <w:jc w:val="left"/>
            </w:pPr>
            <w:r>
              <w:rPr>
                <w:b/>
                <w:color w:val="003366"/>
                <w:sz w:val="20"/>
              </w:rPr>
              <w:t>Kosten/jaar (indicatief)</w:t>
            </w:r>
          </w:p>
        </w:tc>
        <w:tc>
          <w:tcPr>
            <w:tcW w:type="dxa" w:w="2351"/>
          </w:tcPr>
          <w:p>
            <w:pPr>
              <w:jc w:val="left"/>
            </w:pPr>
            <w:r>
              <w:rPr>
                <w:b/>
                <w:color w:val="003366"/>
                <w:sz w:val="20"/>
              </w:rPr>
              <w:t>Toelichting</w:t>
            </w:r>
          </w:p>
        </w:tc>
      </w:tr>
      <w:tr>
        <w:tc>
          <w:tcPr>
            <w:tcW w:type="dxa" w:w="2351"/>
          </w:tcPr>
          <w:p>
            <w:r>
              <w:rPr>
                <w:sz w:val="20"/>
              </w:rPr>
              <w:t>Zorgverzekering (basis)</w:t>
            </w:r>
          </w:p>
        </w:tc>
        <w:tc>
          <w:tcPr>
            <w:tcW w:type="dxa" w:w="2351"/>
          </w:tcPr>
          <w:p>
            <w:r>
              <w:rPr>
                <w:sz w:val="20"/>
              </w:rPr>
              <w:t>VERPLICHT</w:t>
            </w:r>
          </w:p>
        </w:tc>
        <w:tc>
          <w:tcPr>
            <w:tcW w:type="dxa" w:w="2351"/>
          </w:tcPr>
          <w:p>
            <w:r>
              <w:rPr>
                <w:sz w:val="20"/>
              </w:rPr>
              <w:t>€1.500–€2.000</w:t>
            </w:r>
          </w:p>
        </w:tc>
        <w:tc>
          <w:tcPr>
            <w:tcW w:type="dxa" w:w="2351"/>
          </w:tcPr>
          <w:p>
            <w:r>
              <w:rPr>
                <w:sz w:val="20"/>
              </w:rPr>
              <w:t>Algemeen Verplichte Zorgverzekering</w:t>
            </w:r>
          </w:p>
        </w:tc>
      </w:tr>
      <w:tr>
        <w:tc>
          <w:tcPr>
            <w:tcW w:type="dxa" w:w="2351"/>
          </w:tcPr>
          <w:p>
            <w:r>
              <w:rPr>
                <w:sz w:val="20"/>
              </w:rPr>
              <w:t>Aansprakelijkheid (AVB)</w:t>
            </w:r>
          </w:p>
        </w:tc>
        <w:tc>
          <w:tcPr>
            <w:tcW w:type="dxa" w:w="2351"/>
          </w:tcPr>
          <w:p>
            <w:r>
              <w:rPr>
                <w:sz w:val="20"/>
              </w:rPr>
              <w:t>Sterk aanbevolen</w:t>
            </w:r>
          </w:p>
        </w:tc>
        <w:tc>
          <w:tcPr>
            <w:tcW w:type="dxa" w:w="2351"/>
          </w:tcPr>
          <w:p>
            <w:r>
              <w:rPr>
                <w:sz w:val="20"/>
              </w:rPr>
              <w:t>€150–€350</w:t>
            </w:r>
          </w:p>
        </w:tc>
        <w:tc>
          <w:tcPr>
            <w:tcW w:type="dxa" w:w="2351"/>
          </w:tcPr>
          <w:p>
            <w:r>
              <w:rPr>
                <w:sz w:val="20"/>
              </w:rPr>
              <w:t>Schade aan derden of eigendommen</w:t>
            </w:r>
          </w:p>
        </w:tc>
      </w:tr>
      <w:tr>
        <w:tc>
          <w:tcPr>
            <w:tcW w:type="dxa" w:w="2351"/>
          </w:tcPr>
          <w:p>
            <w:r>
              <w:rPr>
                <w:sz w:val="20"/>
              </w:rPr>
              <w:t>Beroepsaansprakelijkheid</w:t>
            </w:r>
          </w:p>
        </w:tc>
        <w:tc>
          <w:tcPr>
            <w:tcW w:type="dxa" w:w="2351"/>
          </w:tcPr>
          <w:p>
            <w:r>
              <w:rPr>
                <w:sz w:val="20"/>
              </w:rPr>
              <w:t>Sterk aanbevolen</w:t>
            </w:r>
          </w:p>
        </w:tc>
        <w:tc>
          <w:tcPr>
            <w:tcW w:type="dxa" w:w="2351"/>
          </w:tcPr>
          <w:p>
            <w:r>
              <w:rPr>
                <w:sz w:val="20"/>
              </w:rPr>
              <w:t>€300–€800</w:t>
            </w:r>
          </w:p>
        </w:tc>
        <w:tc>
          <w:tcPr>
            <w:tcW w:type="dxa" w:w="2351"/>
          </w:tcPr>
          <w:p>
            <w:r>
              <w:rPr>
                <w:sz w:val="20"/>
              </w:rPr>
              <w:t>Adviesfouten, verkeerd advies</w:t>
            </w:r>
          </w:p>
        </w:tc>
      </w:tr>
      <w:tr>
        <w:tc>
          <w:tcPr>
            <w:tcW w:type="dxa" w:w="2351"/>
          </w:tcPr>
          <w:p>
            <w:r>
              <w:rPr>
                <w:sz w:val="20"/>
              </w:rPr>
              <w:t>AOV (Arbeidsongeschiktheid)</w:t>
            </w:r>
          </w:p>
        </w:tc>
        <w:tc>
          <w:tcPr>
            <w:tcW w:type="dxa" w:w="2351"/>
          </w:tcPr>
          <w:p>
            <w:r>
              <w:rPr>
                <w:sz w:val="20"/>
              </w:rPr>
              <w:t>Aanbevolen (verplicht 2030)</w:t>
            </w:r>
          </w:p>
        </w:tc>
        <w:tc>
          <w:tcPr>
            <w:tcW w:type="dxa" w:w="2351"/>
          </w:tcPr>
          <w:p>
            <w:r>
              <w:rPr>
                <w:sz w:val="20"/>
              </w:rPr>
              <w:t>€1.200–€3.000</w:t>
            </w:r>
          </w:p>
        </w:tc>
        <w:tc>
          <w:tcPr>
            <w:tcW w:type="dxa" w:w="2351"/>
          </w:tcPr>
          <w:p>
            <w:r>
              <w:rPr>
                <w:sz w:val="20"/>
              </w:rPr>
              <w:t>Inkomensbescherming bij ziekte</w:t>
            </w:r>
          </w:p>
        </w:tc>
      </w:tr>
      <w:tr>
        <w:tc>
          <w:tcPr>
            <w:tcW w:type="dxa" w:w="2351"/>
          </w:tcPr>
          <w:p>
            <w:r>
              <w:rPr>
                <w:sz w:val="20"/>
              </w:rPr>
              <w:t>Rechtsbijstand</w:t>
            </w:r>
          </w:p>
        </w:tc>
        <w:tc>
          <w:tcPr>
            <w:tcW w:type="dxa" w:w="2351"/>
          </w:tcPr>
          <w:p>
            <w:r>
              <w:rPr>
                <w:sz w:val="20"/>
              </w:rPr>
              <w:t>Aanbevolen</w:t>
            </w:r>
          </w:p>
        </w:tc>
        <w:tc>
          <w:tcPr>
            <w:tcW w:type="dxa" w:w="2351"/>
          </w:tcPr>
          <w:p>
            <w:r>
              <w:rPr>
                <w:sz w:val="20"/>
              </w:rPr>
              <w:t>€200–€400</w:t>
            </w:r>
          </w:p>
        </w:tc>
        <w:tc>
          <w:tcPr>
            <w:tcW w:type="dxa" w:w="2351"/>
          </w:tcPr>
          <w:p>
            <w:r>
              <w:rPr>
                <w:sz w:val="20"/>
              </w:rPr>
              <w:t>Juridische geschillen</w:t>
            </w:r>
          </w:p>
        </w:tc>
      </w:tr>
      <w:tr>
        <w:tc>
          <w:tcPr>
            <w:tcW w:type="dxa" w:w="2351"/>
          </w:tcPr>
          <w:p>
            <w:r>
              <w:rPr>
                <w:sz w:val="20"/>
              </w:rPr>
              <w:t>Aanvullende zorgverzekering</w:t>
            </w:r>
          </w:p>
        </w:tc>
        <w:tc>
          <w:tcPr>
            <w:tcW w:type="dxa" w:w="2351"/>
          </w:tcPr>
          <w:p>
            <w:r>
              <w:rPr>
                <w:sz w:val="20"/>
              </w:rPr>
              <w:t>Optioneel</w:t>
            </w:r>
          </w:p>
        </w:tc>
        <w:tc>
          <w:tcPr>
            <w:tcW w:type="dxa" w:w="2351"/>
          </w:tcPr>
          <w:p>
            <w:r>
              <w:rPr>
                <w:sz w:val="20"/>
              </w:rPr>
              <w:t>€300–€800</w:t>
            </w:r>
          </w:p>
        </w:tc>
        <w:tc>
          <w:tcPr>
            <w:tcW w:type="dxa" w:w="2351"/>
          </w:tcPr>
          <w:p>
            <w:r>
              <w:rPr>
                <w:sz w:val="20"/>
              </w:rPr>
              <w:t>Fysiotherapie, alternatieve geneeswijzen</w:t>
            </w:r>
          </w:p>
        </w:tc>
      </w:tr>
    </w:tbl>
    <w:p>
      <w:pPr>
        <w:pStyle w:val="Heading2"/>
      </w:pPr>
      <w:r>
        <w:t>4.2 AOV — Arbeidsongeschiktheidsverzekering</w:t>
      </w:r>
    </w:p>
    <w:p>
      <w:r>
        <w:t>De verplichte AOV voor ZZP'ers is uitgesteld tot 2030. Desondanks is het sterk aanbevolen om nu al een AOV af te sluiten. Als zelfstandige heb je geen vangnet bij ziekte — geen ZW-uitkering, geen doorbetaling. Een AOV voorziet in maandelijkse uitkering (tot 80% van je inkomen) bij arbeidsongeschiktheid. Premie is aftrekbaar als zakelijke kosten [7].</w:t>
      </w:r>
    </w:p>
    <w:p>
      <w:pPr>
        <w:pStyle w:val="Heading2"/>
      </w:pPr>
      <w:r>
        <w:t>4.3 Kostenoverzicht Verzekeringen</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jc w:val="left"/>
            </w:pPr>
            <w:r>
              <w:rPr>
                <w:b/>
                <w:color w:val="003366"/>
                <w:sz w:val="20"/>
              </w:rPr>
              <w:t>Maandelijks</w:t>
            </w:r>
          </w:p>
        </w:tc>
        <w:tc>
          <w:tcPr>
            <w:tcW w:type="dxa" w:w="3135"/>
          </w:tcPr>
          <w:p>
            <w:pPr>
              <w:jc w:val="left"/>
            </w:pPr>
            <w:r>
              <w:rPr>
                <w:b/>
                <w:color w:val="003366"/>
                <w:sz w:val="20"/>
              </w:rPr>
              <w:t>Minimaal</w:t>
            </w:r>
          </w:p>
        </w:tc>
        <w:tc>
          <w:tcPr>
            <w:tcW w:type="dxa" w:w="3135"/>
          </w:tcPr>
          <w:p>
            <w:pPr>
              <w:jc w:val="left"/>
            </w:pPr>
            <w:r>
              <w:rPr>
                <w:b/>
                <w:color w:val="003366"/>
                <w:sz w:val="20"/>
              </w:rPr>
              <w:t>Optimaal</w:t>
            </w:r>
          </w:p>
        </w:tc>
      </w:tr>
      <w:tr>
        <w:tc>
          <w:tcPr>
            <w:tcW w:type="dxa" w:w="3135"/>
          </w:tcPr>
          <w:p>
            <w:r>
              <w:rPr>
                <w:sz w:val="20"/>
              </w:rPr>
              <w:t>Basisverplicht</w:t>
            </w:r>
          </w:p>
        </w:tc>
        <w:tc>
          <w:tcPr>
            <w:tcW w:type="dxa" w:w="3135"/>
          </w:tcPr>
          <w:p>
            <w:r>
              <w:rPr>
                <w:sz w:val="20"/>
              </w:rPr>
              <w:t>€125–€167</w:t>
            </w:r>
          </w:p>
        </w:tc>
        <w:tc>
          <w:tcPr>
            <w:tcW w:type="dxa" w:w="3135"/>
          </w:tcPr>
          <w:p>
            <w:r>
              <w:rPr>
                <w:sz w:val="20"/>
              </w:rPr>
              <w:t>€125–€167</w:t>
            </w:r>
          </w:p>
        </w:tc>
      </w:tr>
      <w:tr>
        <w:tc>
          <w:tcPr>
            <w:tcW w:type="dxa" w:w="3135"/>
          </w:tcPr>
          <w:p>
            <w:r>
              <w:rPr>
                <w:sz w:val="20"/>
              </w:rPr>
              <w:t>AVB + Beroeps</w:t>
            </w:r>
          </w:p>
        </w:tc>
        <w:tc>
          <w:tcPr>
            <w:tcW w:type="dxa" w:w="3135"/>
          </w:tcPr>
          <w:p>
            <w:r>
              <w:rPr>
                <w:sz w:val="20"/>
              </w:rPr>
              <w:t>€38–€96</w:t>
            </w:r>
          </w:p>
        </w:tc>
        <w:tc>
          <w:tcPr>
            <w:tcW w:type="dxa" w:w="3135"/>
          </w:tcPr>
          <w:p>
            <w:r>
              <w:rPr>
                <w:sz w:val="20"/>
              </w:rPr>
              <w:t>€38–€96</w:t>
            </w:r>
          </w:p>
        </w:tc>
      </w:tr>
      <w:tr>
        <w:tc>
          <w:tcPr>
            <w:tcW w:type="dxa" w:w="3135"/>
          </w:tcPr>
          <w:p>
            <w:r>
              <w:rPr>
                <w:sz w:val="20"/>
              </w:rPr>
              <w:t>AOV</w:t>
            </w:r>
          </w:p>
        </w:tc>
        <w:tc>
          <w:tcPr>
            <w:tcW w:type="dxa" w:w="3135"/>
          </w:tcPr>
          <w:p>
            <w:r>
              <w:rPr>
                <w:sz w:val="20"/>
              </w:rPr>
              <w:t>—</w:t>
            </w:r>
          </w:p>
        </w:tc>
        <w:tc>
          <w:tcPr>
            <w:tcW w:type="dxa" w:w="3135"/>
          </w:tcPr>
          <w:p>
            <w:r>
              <w:rPr>
                <w:sz w:val="20"/>
              </w:rPr>
              <w:t>€100–€250</w:t>
            </w:r>
          </w:p>
        </w:tc>
      </w:tr>
      <w:tr>
        <w:tc>
          <w:tcPr>
            <w:tcW w:type="dxa" w:w="3135"/>
          </w:tcPr>
          <w:p>
            <w:r>
              <w:rPr>
                <w:sz w:val="20"/>
              </w:rPr>
              <w:t>Rechtsbijstand</w:t>
            </w:r>
          </w:p>
        </w:tc>
        <w:tc>
          <w:tcPr>
            <w:tcW w:type="dxa" w:w="3135"/>
          </w:tcPr>
          <w:p>
            <w:r>
              <w:rPr>
                <w:sz w:val="20"/>
              </w:rPr>
              <w:t>—</w:t>
            </w:r>
          </w:p>
        </w:tc>
        <w:tc>
          <w:tcPr>
            <w:tcW w:type="dxa" w:w="3135"/>
          </w:tcPr>
          <w:p>
            <w:r>
              <w:rPr>
                <w:sz w:val="20"/>
              </w:rPr>
              <w:t>€17–€33</w:t>
            </w:r>
          </w:p>
        </w:tc>
      </w:tr>
      <w:tr>
        <w:tc>
          <w:tcPr>
            <w:tcW w:type="dxa" w:w="3135"/>
          </w:tcPr>
          <w:p>
            <w:r>
              <w:rPr>
                <w:sz w:val="20"/>
              </w:rPr>
              <w:t>Totaal minimaal</w:t>
            </w:r>
          </w:p>
        </w:tc>
        <w:tc>
          <w:tcPr>
            <w:tcW w:type="dxa" w:w="3135"/>
          </w:tcPr>
          <w:p>
            <w:r>
              <w:rPr>
                <w:sz w:val="20"/>
              </w:rPr>
              <w:t>€163–€263</w:t>
            </w:r>
          </w:p>
        </w:tc>
        <w:tc>
          <w:tcPr>
            <w:tcW w:type="dxa" w:w="3135"/>
          </w:tcPr>
          <w:p>
            <w:r>
              <w:rPr>
                <w:sz w:val="20"/>
              </w:rPr>
            </w:r>
          </w:p>
        </w:tc>
      </w:tr>
      <w:tr>
        <w:tc>
          <w:tcPr>
            <w:tcW w:type="dxa" w:w="3135"/>
          </w:tcPr>
          <w:p>
            <w:r>
              <w:rPr>
                <w:sz w:val="20"/>
              </w:rPr>
              <w:t>Totaal optimaal</w:t>
            </w:r>
          </w:p>
        </w:tc>
        <w:tc>
          <w:tcPr>
            <w:tcW w:type="dxa" w:w="3135"/>
          </w:tcPr>
          <w:p>
            <w:r>
              <w:rPr>
                <w:sz w:val="20"/>
              </w:rPr>
            </w:r>
          </w:p>
        </w:tc>
        <w:tc>
          <w:tcPr>
            <w:tcW w:type="dxa" w:w="3135"/>
          </w:tcPr>
          <w:p>
            <w:r>
              <w:rPr>
                <w:sz w:val="20"/>
              </w:rPr>
              <w:t>€280–€546</w:t>
            </w:r>
          </w:p>
        </w:tc>
      </w:tr>
    </w:tbl>
    <w:p>
      <w:pPr>
        <w:pStyle w:val="Heading1"/>
      </w:pPr>
      <w:r>
        <w:t>5. Bank &amp; Financiën</w:t>
      </w:r>
    </w:p>
    <w:p>
      <w:pPr>
        <w:pStyle w:val="Heading2"/>
      </w:pPr>
      <w:r>
        <w:t>5.1 Zakelijke Betaalrekening</w:t>
      </w:r>
    </w:p>
    <w:p>
      <w:r>
        <w:t>Hoewel een eenmanszaak geen wettelijke verplichting heeft tot een zakelijke rekening, is dit sterk aanbevolen voor:</w:t>
      </w:r>
    </w:p>
    <w:p>
      <w:pPr>
        <w:pStyle w:val="ListBullet"/>
      </w:pPr>
      <w:r>
        <w:t>Scheiding privé- en zakelijk verkeer (Belastingdienst eist duidelijkheid)</w:t>
      </w:r>
    </w:p>
    <w:p>
      <w:pPr>
        <w:pStyle w:val="ListBullet"/>
      </w:pPr>
      <w:r>
        <w:t>Professionele uitstraling (bedrijfsnaam op factuur)</w:t>
      </w:r>
    </w:p>
    <w:p>
      <w:pPr>
        <w:pStyle w:val="ListBullet"/>
      </w:pPr>
      <w:r>
        <w:t>Boekhoudkundige overzichtelijkheid</w:t>
      </w:r>
    </w:p>
    <w:p>
      <w:pPr>
        <w:pStyle w:val="ListBullet"/>
      </w:pPr>
      <w:r>
        <w:t>Mogelijkheid tot zakelijk sparen en krediet</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jc w:val="left"/>
            </w:pPr>
            <w:r>
              <w:rPr>
                <w:b/>
                <w:color w:val="003366"/>
                <w:sz w:val="20"/>
              </w:rPr>
              <w:t>Bank</w:t>
            </w:r>
          </w:p>
        </w:tc>
        <w:tc>
          <w:tcPr>
            <w:tcW w:type="dxa" w:w="3135"/>
          </w:tcPr>
          <w:p>
            <w:pPr>
              <w:jc w:val="left"/>
            </w:pPr>
            <w:r>
              <w:rPr>
                <w:b/>
                <w:color w:val="003366"/>
                <w:sz w:val="20"/>
              </w:rPr>
              <w:t>Kosten/maand</w:t>
            </w:r>
          </w:p>
        </w:tc>
        <w:tc>
          <w:tcPr>
            <w:tcW w:type="dxa" w:w="3135"/>
          </w:tcPr>
          <w:p>
            <w:pPr>
              <w:jc w:val="left"/>
            </w:pPr>
            <w:r>
              <w:rPr>
                <w:b/>
                <w:color w:val="003366"/>
                <w:sz w:val="20"/>
              </w:rPr>
              <w:t>Voordeel</w:t>
            </w:r>
          </w:p>
        </w:tc>
      </w:tr>
      <w:tr>
        <w:tc>
          <w:tcPr>
            <w:tcW w:type="dxa" w:w="3135"/>
          </w:tcPr>
          <w:p>
            <w:r>
              <w:rPr>
                <w:sz w:val="20"/>
              </w:rPr>
              <w:t>ING Zakelijk</w:t>
            </w:r>
          </w:p>
        </w:tc>
        <w:tc>
          <w:tcPr>
            <w:tcW w:type="dxa" w:w="3135"/>
          </w:tcPr>
          <w:p>
            <w:r>
              <w:rPr>
                <w:sz w:val="20"/>
              </w:rPr>
              <w:t>€9–€15</w:t>
            </w:r>
          </w:p>
        </w:tc>
        <w:tc>
          <w:tcPr>
            <w:tcW w:type="dxa" w:w="3135"/>
          </w:tcPr>
          <w:p>
            <w:r>
              <w:rPr>
                <w:sz w:val="20"/>
              </w:rPr>
              <w:t>Dekking heel NL, ING-app</w:t>
            </w:r>
          </w:p>
        </w:tc>
      </w:tr>
      <w:tr>
        <w:tc>
          <w:tcPr>
            <w:tcW w:type="dxa" w:w="3135"/>
          </w:tcPr>
          <w:p>
            <w:r>
              <w:rPr>
                <w:sz w:val="20"/>
              </w:rPr>
              <w:t>Rabobank Zakelijk</w:t>
            </w:r>
          </w:p>
        </w:tc>
        <w:tc>
          <w:tcPr>
            <w:tcW w:type="dxa" w:w="3135"/>
          </w:tcPr>
          <w:p>
            <w:r>
              <w:rPr>
                <w:sz w:val="20"/>
              </w:rPr>
              <w:t>€8–€12</w:t>
            </w:r>
          </w:p>
        </w:tc>
        <w:tc>
          <w:tcPr>
            <w:tcW w:type="dxa" w:w="3135"/>
          </w:tcPr>
          <w:p>
            <w:r>
              <w:rPr>
                <w:sz w:val="20"/>
              </w:rPr>
              <w:t>Sterke agrarische/zorg sector</w:t>
            </w:r>
          </w:p>
        </w:tc>
      </w:tr>
      <w:tr>
        <w:tc>
          <w:tcPr>
            <w:tcW w:type="dxa" w:w="3135"/>
          </w:tcPr>
          <w:p>
            <w:r>
              <w:rPr>
                <w:sz w:val="20"/>
              </w:rPr>
              <w:t>ABN AMRO</w:t>
            </w:r>
          </w:p>
        </w:tc>
        <w:tc>
          <w:tcPr>
            <w:tcW w:type="dxa" w:w="3135"/>
          </w:tcPr>
          <w:p>
            <w:r>
              <w:rPr>
                <w:sz w:val="20"/>
              </w:rPr>
              <w:t>€9–€15</w:t>
            </w:r>
          </w:p>
        </w:tc>
        <w:tc>
          <w:tcPr>
            <w:tcW w:type="dxa" w:w="3135"/>
          </w:tcPr>
          <w:p>
            <w:r>
              <w:rPr>
                <w:sz w:val="20"/>
              </w:rPr>
              <w:t>Good app, integratie boekhoudpakketten</w:t>
            </w:r>
          </w:p>
        </w:tc>
      </w:tr>
      <w:tr>
        <w:tc>
          <w:tcPr>
            <w:tcW w:type="dxa" w:w="3135"/>
          </w:tcPr>
          <w:p>
            <w:r>
              <w:rPr>
                <w:sz w:val="20"/>
              </w:rPr>
              <w:t>Knab Zakelijk</w:t>
            </w:r>
          </w:p>
        </w:tc>
        <w:tc>
          <w:tcPr>
            <w:tcW w:type="dxa" w:w="3135"/>
          </w:tcPr>
          <w:p>
            <w:r>
              <w:rPr>
                <w:sz w:val="20"/>
              </w:rPr>
              <w:t>€7–€10</w:t>
            </w:r>
          </w:p>
        </w:tc>
        <w:tc>
          <w:tcPr>
            <w:tcW w:type="dxa" w:w="3135"/>
          </w:tcPr>
          <w:p>
            <w:r>
              <w:rPr>
                <w:sz w:val="20"/>
              </w:rPr>
              <w:t>Goedkoop, online-first</w:t>
            </w:r>
          </w:p>
        </w:tc>
      </w:tr>
      <w:tr>
        <w:tc>
          <w:tcPr>
            <w:tcW w:type="dxa" w:w="3135"/>
          </w:tcPr>
          <w:p>
            <w:r>
              <w:rPr>
                <w:sz w:val="20"/>
              </w:rPr>
              <w:t>Bunq</w:t>
            </w:r>
          </w:p>
        </w:tc>
        <w:tc>
          <w:tcPr>
            <w:tcW w:type="dxa" w:w="3135"/>
          </w:tcPr>
          <w:p>
            <w:r>
              <w:rPr>
                <w:sz w:val="20"/>
              </w:rPr>
              <w:t>€0–€9</w:t>
            </w:r>
          </w:p>
        </w:tc>
        <w:tc>
          <w:tcPr>
            <w:tcW w:type="dxa" w:w="3135"/>
          </w:tcPr>
          <w:p>
            <w:r>
              <w:rPr>
                <w:sz w:val="20"/>
              </w:rPr>
              <w:t>Volledig digitaal, geen papieren post</w:t>
            </w:r>
          </w:p>
        </w:tc>
      </w:tr>
      <w:tr>
        <w:tc>
          <w:tcPr>
            <w:tcW w:type="dxa" w:w="3135"/>
          </w:tcPr>
          <w:p>
            <w:r>
              <w:rPr>
                <w:sz w:val="20"/>
              </w:rPr>
              <w:t>Triodos</w:t>
            </w:r>
          </w:p>
        </w:tc>
        <w:tc>
          <w:tcPr>
            <w:tcW w:type="dxa" w:w="3135"/>
          </w:tcPr>
          <w:p>
            <w:r>
              <w:rPr>
                <w:sz w:val="20"/>
              </w:rPr>
              <w:t>€8–€12</w:t>
            </w:r>
          </w:p>
        </w:tc>
        <w:tc>
          <w:tcPr>
            <w:tcW w:type="dxa" w:w="3135"/>
          </w:tcPr>
          <w:p>
            <w:r>
              <w:rPr>
                <w:sz w:val="20"/>
              </w:rPr>
              <w:t>Duurzaam, ethisch bankieren</w:t>
            </w:r>
          </w:p>
        </w:tc>
      </w:tr>
    </w:tbl>
    <w:p>
      <w:pPr>
        <w:pStyle w:val="Heading2"/>
      </w:pPr>
      <w:r>
        <w:t>5.2 Facturatie — Wettelijke Eisen</w:t>
      </w:r>
    </w:p>
    <w:p>
      <w:r>
        <w:t>Een factuur MOET bevatten (art. 35a Wet OB 1968):</w:t>
      </w:r>
    </w:p>
    <w:p>
      <w:r>
        <w:t>1. Naam en adres van jouw onderneming</w:t>
      </w:r>
    </w:p>
    <w:p>
      <w:r>
        <w:t>2. KvK-nummer</w:t>
      </w:r>
    </w:p>
    <w:p>
      <w:r>
        <w:t>3. BTW-nummer (ontvang je automatisch na KvK-inschrijving)</w:t>
      </w:r>
    </w:p>
    <w:p>
      <w:r>
        <w:t>4. Factuurnummer (opeenvolgend, zonder gaten)</w:t>
      </w:r>
    </w:p>
    <w:p>
      <w:r>
        <w:t>5. Factuurdatum</w:t>
      </w:r>
    </w:p>
    <w:p>
      <w:r>
        <w:t>6. Naam en adres van de opdrachtgever</w:t>
      </w:r>
    </w:p>
    <w:p>
      <w:r>
        <w:t>7. Omschrijving van de geleverde diensten</w:t>
      </w:r>
    </w:p>
    <w:p>
      <w:r>
        <w:t>8. Datum of periode van levering</w:t>
      </w:r>
    </w:p>
    <w:p>
      <w:r>
        <w:t>9. BTW-tarief (21%) en BTW-bedrag</w:t>
      </w:r>
    </w:p>
    <w:p>
      <w:r>
        <w:t>10. Totaalbedrag (inclusief en exclusief BTW)</w:t>
      </w:r>
    </w:p>
    <w:p>
      <w:r>
        <w:t>11. Betalingsvoorwaarden en uiterste betaldatum</w:t>
      </w:r>
    </w:p>
    <w:p>
      <w:pPr>
        <w:pStyle w:val="Heading2"/>
      </w:pPr>
      <w:r>
        <w:t>5.3 Liquiditeitsbuffer</w:t>
      </w:r>
    </w:p>
    <w:p>
      <w:r>
        <w:t>Bouw een buffer op van minimaal 3–6 maanden vaste lasten voordat je fulltime ZZP gaat. Dit dekt: zorgverzekering, huur/hypotheek, auto, verzekeringen, belasting-aanslagen. Richtlijn: minimaal €10.000–€15.000 bij aanvang [8].</w:t>
      </w:r>
    </w:p>
    <w:p>
      <w:pPr>
        <w:pStyle w:val="Heading2"/>
      </w:pPr>
      <w:r>
        <w:t>5.4 Boekhoudsoftware</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jc w:val="left"/>
            </w:pPr>
            <w:r>
              <w:rPr>
                <w:b/>
                <w:color w:val="003366"/>
                <w:sz w:val="20"/>
              </w:rPr>
              <w:t>Software</w:t>
            </w:r>
          </w:p>
        </w:tc>
        <w:tc>
          <w:tcPr>
            <w:tcW w:type="dxa" w:w="3135"/>
          </w:tcPr>
          <w:p>
            <w:pPr>
              <w:jc w:val="left"/>
            </w:pPr>
            <w:r>
              <w:rPr>
                <w:b/>
                <w:color w:val="003366"/>
                <w:sz w:val="20"/>
              </w:rPr>
              <w:t>Kosten/maand</w:t>
            </w:r>
          </w:p>
        </w:tc>
        <w:tc>
          <w:tcPr>
            <w:tcW w:type="dxa" w:w="3135"/>
          </w:tcPr>
          <w:p>
            <w:pPr>
              <w:jc w:val="left"/>
            </w:pPr>
            <w:r>
              <w:rPr>
                <w:b/>
                <w:color w:val="003366"/>
                <w:sz w:val="20"/>
              </w:rPr>
              <w:t>Geschikt voor</w:t>
            </w:r>
          </w:p>
        </w:tc>
      </w:tr>
      <w:tr>
        <w:tc>
          <w:tcPr>
            <w:tcW w:type="dxa" w:w="3135"/>
          </w:tcPr>
          <w:p>
            <w:r>
              <w:rPr>
                <w:sz w:val="20"/>
              </w:rPr>
              <w:t>MoneyMonk</w:t>
            </w:r>
          </w:p>
        </w:tc>
        <w:tc>
          <w:tcPr>
            <w:tcW w:type="dxa" w:w="3135"/>
          </w:tcPr>
          <w:p>
            <w:r>
              <w:rPr>
                <w:sz w:val="20"/>
              </w:rPr>
              <w:t>€15–€25</w:t>
            </w:r>
          </w:p>
        </w:tc>
        <w:tc>
          <w:tcPr>
            <w:tcW w:type="dxa" w:w="3135"/>
          </w:tcPr>
          <w:p>
            <w:r>
              <w:rPr>
                <w:sz w:val="20"/>
              </w:rPr>
              <w:t>ZZP starters, eenvoudig, inclusief btw-aangifte</w:t>
            </w:r>
          </w:p>
        </w:tc>
      </w:tr>
      <w:tr>
        <w:tc>
          <w:tcPr>
            <w:tcW w:type="dxa" w:w="3135"/>
          </w:tcPr>
          <w:p>
            <w:r>
              <w:rPr>
                <w:sz w:val="20"/>
              </w:rPr>
              <w:t>e-Boekhouden</w:t>
            </w:r>
          </w:p>
        </w:tc>
        <w:tc>
          <w:tcPr>
            <w:tcW w:type="dxa" w:w="3135"/>
          </w:tcPr>
          <w:p>
            <w:r>
              <w:rPr>
                <w:sz w:val="20"/>
              </w:rPr>
              <w:t>€12–€20</w:t>
            </w:r>
          </w:p>
        </w:tc>
        <w:tc>
          <w:tcPr>
            <w:tcW w:type="dxa" w:w="3135"/>
          </w:tcPr>
          <w:p>
            <w:r>
              <w:rPr>
                <w:sz w:val="20"/>
              </w:rPr>
              <w:t>Klein budget, btw-aangifte, facturatie</w:t>
            </w:r>
          </w:p>
        </w:tc>
      </w:tr>
      <w:tr>
        <w:tc>
          <w:tcPr>
            <w:tcW w:type="dxa" w:w="3135"/>
          </w:tcPr>
          <w:p>
            <w:r>
              <w:rPr>
                <w:sz w:val="20"/>
              </w:rPr>
              <w:t>Exact Online</w:t>
            </w:r>
          </w:p>
        </w:tc>
        <w:tc>
          <w:tcPr>
            <w:tcW w:type="dxa" w:w="3135"/>
          </w:tcPr>
          <w:p>
            <w:r>
              <w:rPr>
                <w:sz w:val="20"/>
              </w:rPr>
              <w:t>€30–€60</w:t>
            </w:r>
          </w:p>
        </w:tc>
        <w:tc>
          <w:tcPr>
            <w:tcW w:type="dxa" w:w="3135"/>
          </w:tcPr>
          <w:p>
            <w:r>
              <w:rPr>
                <w:sz w:val="20"/>
              </w:rPr>
              <w:t>Professioneel, uitgebreid, koppelingen</w:t>
            </w:r>
          </w:p>
        </w:tc>
      </w:tr>
      <w:tr>
        <w:tc>
          <w:tcPr>
            <w:tcW w:type="dxa" w:w="3135"/>
          </w:tcPr>
          <w:p>
            <w:r>
              <w:rPr>
                <w:sz w:val="20"/>
              </w:rPr>
              <w:t>WeFact</w:t>
            </w:r>
          </w:p>
        </w:tc>
        <w:tc>
          <w:tcPr>
            <w:tcW w:type="dxa" w:w="3135"/>
          </w:tcPr>
          <w:p>
            <w:r>
              <w:rPr>
                <w:sz w:val="20"/>
              </w:rPr>
              <w:t>€15–€25</w:t>
            </w:r>
          </w:p>
        </w:tc>
        <w:tc>
          <w:tcPr>
            <w:tcW w:type="dxa" w:w="3135"/>
          </w:tcPr>
          <w:p>
            <w:r>
              <w:rPr>
                <w:sz w:val="20"/>
              </w:rPr>
              <w:t>Facturatie en btw-aangifte</w:t>
            </w:r>
          </w:p>
        </w:tc>
      </w:tr>
      <w:tr>
        <w:tc>
          <w:tcPr>
            <w:tcW w:type="dxa" w:w="3135"/>
          </w:tcPr>
          <w:p>
            <w:r>
              <w:rPr>
                <w:sz w:val="20"/>
              </w:rPr>
              <w:t>Twinfield</w:t>
            </w:r>
          </w:p>
        </w:tc>
        <w:tc>
          <w:tcPr>
            <w:tcW w:type="dxa" w:w="3135"/>
          </w:tcPr>
          <w:p>
            <w:r>
              <w:rPr>
                <w:sz w:val="20"/>
              </w:rPr>
              <w:t>€25–€40</w:t>
            </w:r>
          </w:p>
        </w:tc>
        <w:tc>
          <w:tcPr>
            <w:tcW w:type="dxa" w:w="3135"/>
          </w:tcPr>
          <w:p>
            <w:r>
              <w:rPr>
                <w:sz w:val="20"/>
              </w:rPr>
              <w:t>Uitgebreide boekhouding</w:t>
            </w:r>
          </w:p>
        </w:tc>
      </w:tr>
    </w:tbl>
    <w:p/>
    <w:p>
      <w:r>
        <w:t>ADVIES: Start met MoneyMonk of e-Boekhouden. Laagdrempelig, inclusief btw-aangifte-koppeling met Belastingdienst, en voldoende voor een eenmanszaak [9].</w:t>
      </w:r>
    </w:p>
    <w:p>
      <w:pPr>
        <w:pStyle w:val="Heading2"/>
      </w:pPr>
      <w:r>
        <w:t>5.5 HERKOMSTcheck (Wwft)</w:t>
      </w:r>
    </w:p>
    <w:p>
      <w:r>
        <w:t>Banken zijn verplicht een HERKOMSTcheck uit te voeren onder de Wet ter voorkoming van witwassen en financieren van terrorisme (Wwft). Houd ready: KvK-uittreksel, geldig ID, eventueel een korte beschrijving van je bedrijfsactiviteiten [10].</w:t>
      </w:r>
    </w:p>
    <w:p>
      <w:pPr>
        <w:pStyle w:val="Heading1"/>
      </w:pPr>
      <w:r>
        <w:t>6. Wet- en Regelgeving voor ZZP'ers</w:t>
      </w:r>
    </w:p>
    <w:p>
      <w:pPr>
        <w:pStyle w:val="Heading2"/>
      </w:pPr>
      <w:r>
        <w:t>6.1 Wet DBA — Deregulering Beoordeling Arbeidsrelaties</w:t>
      </w:r>
    </w:p>
    <w:p>
      <w:r>
        <w:t>De Wet DBA regelt of een opdrachtgever loonheffing moet inhouden. Als jij als ZZP'er werkzaamheden verricht die in wezen een dienstbetrekking zijn, riskeert de opdrachtgever nakoming aansprakelijkheid. Om dit risico uit te sluiten: gebruik altijd een modelovereenkomst die is goedgekeurd door de Belastingdienst [11].</w:t>
      </w:r>
    </w:p>
    <w:p>
      <w:r>
        <w:t>Belangrijk: De Wet DBA is in 2026 onderwerp van politieke discussie. Hanteer ALTIJD een modelovereenkomst en zorg voor voldoende ondernemerskenmerken (meerdere opdrachtgevers, eigen materiaal, vervanging mogelijk, eigen tarief) [11].</w:t>
      </w:r>
    </w:p>
    <w:p>
      <w:pPr>
        <w:pStyle w:val="Heading2"/>
      </w:pPr>
      <w:r>
        <w:t>6.2 9 Criteria voor Ondernemerschap (Belastingdienst)</w:t>
      </w:r>
    </w:p>
    <w:p>
      <w:r>
        <w:t>De Belastingdienst hanteert 9 criteria om te bepalen of je echt ondernemer bent:</w:t>
      </w:r>
    </w:p>
    <w:p>
      <w:r>
        <w:t>1. Aantal opdrachtgevers — meer dan 1 is beter</w:t>
      </w:r>
    </w:p>
    <w:p>
      <w:r>
        <w:t>2. Omzet en winst — structureel voldoende om van te leven</w:t>
      </w:r>
    </w:p>
    <w:p>
      <w:r>
        <w:t>3. Aanwezigheid van concurrentie — kun je door anderen vervangen worden</w:t>
      </w:r>
    </w:p>
    <w:p>
      <w:r>
        <w:t>4. Arbeidsuren — minimaal 1.225 uur per jaar</w:t>
      </w:r>
    </w:p>
    <w:p>
      <w:r>
        <w:t>5. Investeringen — in bedrijfsmiddelen, opleiding, marketing</w:t>
      </w:r>
    </w:p>
    <w:p>
      <w:r>
        <w:t>6. Reclame en acquisitie — actief klanten werven</w:t>
      </w:r>
    </w:p>
    <w:p>
      <w:r>
        <w:t>7. Zakelijke risico's — eigen verantwoordelijkheid voor winst/verlies</w:t>
      </w:r>
    </w:p>
    <w:p>
      <w:r>
        <w:t>8. Zakelijke organisatie — eigen administratie, boekhouding, correspondentie</w:t>
      </w:r>
    </w:p>
    <w:p>
      <w:r>
        <w:t>9. Onafhankelijkheid — geen gezagsverhouding met opdrachtgever</w:t>
      </w:r>
    </w:p>
    <w:p>
      <w:pPr>
        <w:pStyle w:val="Heading2"/>
      </w:pPr>
      <w:r>
        <w:t>6.3 Wkkgv — Wet Kwaliteitsregeling Zorg</w:t>
      </w:r>
    </w:p>
    <w:p>
      <w:r>
        <w:t>De Wet kwaliteit, klachten en geschillen zorg (Wkkgv) stelt kwaliteitseisen aan zorgverleners en zorginstellingen. Als HHC-interim manager werk je mogelijk binnen zorginstellingen. Hoewel je als adviseur/manager geen directe patiëntenzorg verleent, moet je wel voldoen aan de kwaliteitsnormen van de instelling waar je werkt. Verzeker je ervan dat je opdrachtgever de Wkkgv-verantwoordelijkheid draagt [12].</w:t>
      </w:r>
    </w:p>
    <w:p>
      <w:pPr>
        <w:pStyle w:val="Heading2"/>
      </w:pPr>
      <w:r>
        <w:t>6.4 AVG/GDPR</w:t>
      </w:r>
    </w:p>
    <w:p>
      <w:r>
        <w:t>Als ZZP'er verwerk je mogelijk persoonsgegevens (van opdrachtgevers, collega's, patiëntdata in zorgcontext). Je moet voldoen aan de Algemene Verordening Gegevensbescherming (AVG): verwerkingsgrondslag, verwerkersovereenkomst met opdrachtgever, beveiligingsmaatregelen, bewaartermijnen, en meldplicht bij datalekken (binnen 72 uur bij Autoriteit Persoonsgegevens) [13].</w:t>
      </w:r>
    </w:p>
    <w:p>
      <w:pPr>
        <w:pStyle w:val="Heading2"/>
      </w:pPr>
      <w:r>
        <w:t>6.5 Arbowet</w:t>
      </w:r>
    </w:p>
    <w:p>
      <w:r>
        <w:t>Als ZZP'er ben je zelf verantwoordelijk voor je eigen arbeidsomstandigheden. De opdrachtgever moet een veilige werkplek bieden (Arbowet art. 3). Als je op locatie werkt (zorginstelling, kantoor), moet de opdrachtgever een RI&amp;E hebben en je instructeren over lokale risico's. Voor jezelf: zorg voor een ergonomische werkplek, beheer werkdruk, en registreer incidenten [14].</w:t>
      </w:r>
    </w:p>
    <w:p>
      <w:pPr>
        <w:pStyle w:val="Heading1"/>
      </w:pPr>
      <w:r>
        <w:t>7. Contracten &amp; Opdrachtgevers</w:t>
      </w:r>
    </w:p>
    <w:p>
      <w:pPr>
        <w:pStyle w:val="Heading2"/>
      </w:pPr>
      <w:r>
        <w:t>7.1 Modelovereenkomst</w:t>
      </w:r>
    </w:p>
    <w:p>
      <w:r>
        <w:t>Download een modelovereenkomst van belastingdienst.nl/modelovereenkomsten. Kies een model dat past bij jouw situatie (advies/consultancy). Laat de opdrachtgever deze vooraf tekenen. Dit beschermt jou en de opdrachtgever tegen Wet DBA-risico's [11].</w:t>
      </w:r>
    </w:p>
    <w:p>
      <w:pPr>
        <w:pStyle w:val="Heading2"/>
      </w:pPr>
      <w:r>
        <w:t>7.2 Algemene Voorwaarden</w:t>
      </w:r>
    </w:p>
    <w:p>
      <w:r>
        <w:t>Stel algemene voorwaarden op en depot deze bij de KvK (kosten: circa €25). Deze voorwaarden regelen: betalingsvoorwaarden, aansprakelijkheidsbeperking, intellectueel eigendom, geheimhouding, ontbindingsgronden, en geschillenbeslechting [3].</w:t>
      </w:r>
    </w:p>
    <w:p>
      <w:pPr>
        <w:pStyle w:val="Heading2"/>
      </w:pPr>
      <w:r>
        <w:t>7.3 Tariefstelling — HHC Consultancy 2026</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pPr>
              <w:jc w:val="left"/>
            </w:pPr>
            <w:r>
              <w:rPr>
                <w:b/>
                <w:color w:val="003366"/>
                <w:sz w:val="20"/>
              </w:rPr>
              <w:t>Type</w:t>
            </w:r>
          </w:p>
        </w:tc>
        <w:tc>
          <w:tcPr>
            <w:tcW w:type="dxa" w:w="2351"/>
          </w:tcPr>
          <w:p>
            <w:pPr>
              <w:jc w:val="left"/>
            </w:pPr>
            <w:r>
              <w:rPr>
                <w:b/>
                <w:color w:val="003366"/>
                <w:sz w:val="20"/>
              </w:rPr>
              <w:t>Range 2026</w:t>
            </w:r>
          </w:p>
        </w:tc>
        <w:tc>
          <w:tcPr>
            <w:tcW w:type="dxa" w:w="2351"/>
          </w:tcPr>
          <w:p>
            <w:pPr>
              <w:jc w:val="left"/>
            </w:pPr>
            <w:r>
              <w:rPr>
                <w:b/>
                <w:color w:val="003366"/>
                <w:sz w:val="20"/>
              </w:rPr>
              <w:t>Gemiddeld</w:t>
            </w:r>
          </w:p>
        </w:tc>
        <w:tc>
          <w:tcPr>
            <w:tcW w:type="dxa" w:w="2351"/>
          </w:tcPr>
          <w:p>
            <w:pPr>
              <w:jc w:val="left"/>
            </w:pPr>
            <w:r>
              <w:rPr>
                <w:b/>
                <w:color w:val="003366"/>
                <w:sz w:val="20"/>
              </w:rPr>
              <w:t>Toelichting</w:t>
            </w:r>
          </w:p>
        </w:tc>
      </w:tr>
      <w:tr>
        <w:tc>
          <w:tcPr>
            <w:tcW w:type="dxa" w:w="2351"/>
          </w:tcPr>
          <w:p>
            <w:r>
              <w:rPr>
                <w:sz w:val="20"/>
              </w:rPr>
              <w:t>Uurtarief</w:t>
            </w:r>
          </w:p>
        </w:tc>
        <w:tc>
          <w:tcPr>
            <w:tcW w:type="dxa" w:w="2351"/>
          </w:tcPr>
          <w:p>
            <w:r>
              <w:rPr>
                <w:sz w:val="20"/>
              </w:rPr>
              <w:t>€75–€150</w:t>
            </w:r>
          </w:p>
        </w:tc>
        <w:tc>
          <w:tcPr>
            <w:tcW w:type="dxa" w:w="2351"/>
          </w:tcPr>
          <w:p>
            <w:r>
              <w:rPr>
                <w:sz w:val="20"/>
              </w:rPr>
              <w:t>€100</w:t>
            </w:r>
          </w:p>
        </w:tc>
        <w:tc>
          <w:tcPr>
            <w:tcW w:type="dxa" w:w="2351"/>
          </w:tcPr>
          <w:p>
            <w:r>
              <w:rPr>
                <w:sz w:val="20"/>
              </w:rPr>
              <w:t>Afhankelijk ervaring en sector</w:t>
            </w:r>
          </w:p>
        </w:tc>
      </w:tr>
      <w:tr>
        <w:tc>
          <w:tcPr>
            <w:tcW w:type="dxa" w:w="2351"/>
          </w:tcPr>
          <w:p>
            <w:r>
              <w:rPr>
                <w:sz w:val="20"/>
              </w:rPr>
              <w:t>Dagtarief</w:t>
            </w:r>
          </w:p>
        </w:tc>
        <w:tc>
          <w:tcPr>
            <w:tcW w:type="dxa" w:w="2351"/>
          </w:tcPr>
          <w:p>
            <w:r>
              <w:rPr>
                <w:sz w:val="20"/>
              </w:rPr>
              <w:t>€600–€1.200</w:t>
            </w:r>
          </w:p>
        </w:tc>
        <w:tc>
          <w:tcPr>
            <w:tcW w:type="dxa" w:w="2351"/>
          </w:tcPr>
          <w:p>
            <w:r>
              <w:rPr>
                <w:sz w:val="20"/>
              </w:rPr>
              <w:t>€850</w:t>
            </w:r>
          </w:p>
        </w:tc>
        <w:tc>
          <w:tcPr>
            <w:tcW w:type="dxa" w:w="2351"/>
          </w:tcPr>
          <w:p>
            <w:r>
              <w:rPr>
                <w:sz w:val="20"/>
              </w:rPr>
              <w:t>8 uur incl. pauze</w:t>
            </w:r>
          </w:p>
        </w:tc>
      </w:tr>
      <w:tr>
        <w:tc>
          <w:tcPr>
            <w:tcW w:type="dxa" w:w="2351"/>
          </w:tcPr>
          <w:p>
            <w:r>
              <w:rPr>
                <w:sz w:val="20"/>
              </w:rPr>
              <w:t>Weektarief interim</w:t>
            </w:r>
          </w:p>
        </w:tc>
        <w:tc>
          <w:tcPr>
            <w:tcW w:type="dxa" w:w="2351"/>
          </w:tcPr>
          <w:p>
            <w:r>
              <w:rPr>
                <w:sz w:val="20"/>
              </w:rPr>
              <w:t>€2.500–€4.500</w:t>
            </w:r>
          </w:p>
        </w:tc>
        <w:tc>
          <w:tcPr>
            <w:tcW w:type="dxa" w:w="2351"/>
          </w:tcPr>
          <w:p>
            <w:r>
              <w:rPr>
                <w:sz w:val="20"/>
              </w:rPr>
              <w:t>€3.500</w:t>
            </w:r>
          </w:p>
        </w:tc>
        <w:tc>
          <w:tcPr>
            <w:tcW w:type="dxa" w:w="2351"/>
          </w:tcPr>
          <w:p>
            <w:r>
              <w:rPr>
                <w:sz w:val="20"/>
              </w:rPr>
              <w:t>Fulltime interim opdracht</w:t>
            </w:r>
          </w:p>
        </w:tc>
      </w:tr>
      <w:tr>
        <w:tc>
          <w:tcPr>
            <w:tcW w:type="dxa" w:w="2351"/>
          </w:tcPr>
          <w:p>
            <w:r>
              <w:rPr>
                <w:sz w:val="20"/>
              </w:rPr>
              <w:t>Projecttarief</w:t>
            </w:r>
          </w:p>
        </w:tc>
        <w:tc>
          <w:tcPr>
            <w:tcW w:type="dxa" w:w="2351"/>
          </w:tcPr>
          <w:p>
            <w:r>
              <w:rPr>
                <w:sz w:val="20"/>
              </w:rPr>
              <w:t>Op offerte</w:t>
            </w:r>
          </w:p>
        </w:tc>
        <w:tc>
          <w:tcPr>
            <w:tcW w:type="dxa" w:w="2351"/>
          </w:tcPr>
          <w:p>
            <w:r>
              <w:rPr>
                <w:sz w:val="20"/>
              </w:rPr>
              <w:t>Varieert</w:t>
            </w:r>
          </w:p>
        </w:tc>
        <w:tc>
          <w:tcPr>
            <w:tcW w:type="dxa" w:w="2351"/>
          </w:tcPr>
          <w:p>
            <w:r>
              <w:rPr>
                <w:sz w:val="20"/>
              </w:rPr>
              <w:t>Vast bedrag per project/deliverable</w:t>
            </w:r>
          </w:p>
        </w:tc>
      </w:tr>
    </w:tbl>
    <w:p/>
    <w:p>
      <w:r>
        <w:t>ADVIES: Start met €95–€110 per uur (onderkant markt, gezien jouw ruime ervaring in HSEQ). Na 2-3 succesvolle opdrachten kun je tarief verhogen. Bereken backwards: gewenst jaarinkomen ÷ factureerbare uren (circa 1.200–1.400 per jaar na vrijwilligerswerk, ziekte, vakantie) [15].</w:t>
      </w:r>
    </w:p>
    <w:p>
      <w:pPr>
        <w:pStyle w:val="Heading2"/>
      </w:pPr>
      <w:r>
        <w:t>7.4 Betalingsvoorwaarden</w:t>
      </w:r>
    </w:p>
    <w:p>
      <w:r>
        <w:t>• Betalingstermijn: 14 of 30 dagen na factuurdatum</w:t>
      </w:r>
    </w:p>
    <w:p>
      <w:r>
        <w:t>• Herinnering na 7 dagen na vervaldatum (gratis)</w:t>
      </w:r>
    </w:p>
    <w:p>
      <w:r>
        <w:t>• Aanmaning na 14 dagen (met incassokosten: wettelijk vastgesteld)</w:t>
      </w:r>
    </w:p>
    <w:p>
      <w:r>
        <w:t>• Incassokosten: 15% over eerste €2.500, 10% over volgende €2.500, etc. (Wet incassokosten)</w:t>
      </w:r>
    </w:p>
    <w:p>
      <w:r>
        <w:t>• Handelsrente: 8% + ECB-rente (Wet handelsrente bij B2B)</w:t>
      </w:r>
    </w:p>
    <w:p>
      <w:r>
        <w:t>• Overweeg een factoring-constructie bij structureel late betalers</w:t>
      </w:r>
    </w:p>
    <w:p>
      <w:pPr>
        <w:pStyle w:val="Heading2"/>
      </w:pPr>
      <w:r>
        <w:t>7.5 NDA — Geheimhoudingsovereenkomst</w:t>
      </w:r>
    </w:p>
    <w:p>
      <w:r>
        <w:t>Gebruik altijd een NDA bij opdrachten waarbij je toegang krijgt tot vertrouwelijke informatie (patiëntdata, bedrijfsprocessen, strategie). Standaard NDA-templates zijn beschikbaar via de KvK of juridische uitgevers. Eenzijdige NDA (jij houdt hun gegevens geheim) is meestal voldoende [16].</w:t>
      </w:r>
    </w:p>
    <w:p>
      <w:pPr>
        <w:pStyle w:val="Heading1"/>
      </w:pPr>
      <w:r>
        <w:t>8. Subsidies, Voordelen &amp; Regelingen</w:t>
      </w:r>
    </w:p>
    <w:p>
      <w:pPr>
        <w:pStyle w:val="Heading2"/>
      </w:pPr>
      <w:r>
        <w:t>8.1 Fiscale Voordelen Samengevat</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jc w:val="left"/>
            </w:pPr>
            <w:r>
              <w:rPr>
                <w:b/>
                <w:color w:val="003366"/>
                <w:sz w:val="20"/>
              </w:rPr>
              <w:t>Voordeel</w:t>
            </w:r>
          </w:p>
        </w:tc>
        <w:tc>
          <w:tcPr>
            <w:tcW w:type="dxa" w:w="3135"/>
          </w:tcPr>
          <w:p>
            <w:pPr>
              <w:jc w:val="left"/>
            </w:pPr>
            <w:r>
              <w:rPr>
                <w:b/>
                <w:color w:val="003366"/>
                <w:sz w:val="20"/>
              </w:rPr>
              <w:t>Bedrag/percentage</w:t>
            </w:r>
          </w:p>
        </w:tc>
        <w:tc>
          <w:tcPr>
            <w:tcW w:type="dxa" w:w="3135"/>
          </w:tcPr>
          <w:p>
            <w:pPr>
              <w:jc w:val="left"/>
            </w:pPr>
            <w:r>
              <w:rPr>
                <w:b/>
                <w:color w:val="003366"/>
                <w:sz w:val="20"/>
              </w:rPr>
              <w:t>Voorwaarde</w:t>
            </w:r>
          </w:p>
        </w:tc>
      </w:tr>
      <w:tr>
        <w:tc>
          <w:tcPr>
            <w:tcW w:type="dxa" w:w="3135"/>
          </w:tcPr>
          <w:p>
            <w:r>
              <w:rPr>
                <w:sz w:val="20"/>
              </w:rPr>
              <w:t>Zelfstandigenaftrek</w:t>
            </w:r>
          </w:p>
        </w:tc>
        <w:tc>
          <w:tcPr>
            <w:tcW w:type="dxa" w:w="3135"/>
          </w:tcPr>
          <w:p>
            <w:r>
              <w:rPr>
                <w:sz w:val="20"/>
              </w:rPr>
              <w:t>~€12.420/jaar</w:t>
            </w:r>
          </w:p>
        </w:tc>
        <w:tc>
          <w:tcPr>
            <w:tcW w:type="dxa" w:w="3135"/>
          </w:tcPr>
          <w:p>
            <w:r>
              <w:rPr>
                <w:sz w:val="20"/>
              </w:rPr>
              <w:t>1.225 uren criterium</w:t>
            </w:r>
          </w:p>
        </w:tc>
      </w:tr>
      <w:tr>
        <w:tc>
          <w:tcPr>
            <w:tcW w:type="dxa" w:w="3135"/>
          </w:tcPr>
          <w:p>
            <w:r>
              <w:rPr>
                <w:sz w:val="20"/>
              </w:rPr>
              <w:t>Startersaftrek</w:t>
            </w:r>
          </w:p>
        </w:tc>
        <w:tc>
          <w:tcPr>
            <w:tcW w:type="dxa" w:w="3135"/>
          </w:tcPr>
          <w:p>
            <w:r>
              <w:rPr>
                <w:sz w:val="20"/>
              </w:rPr>
              <w:t>~€2.119/jaar</w:t>
            </w:r>
          </w:p>
        </w:tc>
        <w:tc>
          <w:tcPr>
            <w:tcW w:type="dxa" w:w="3135"/>
          </w:tcPr>
          <w:p>
            <w:r>
              <w:rPr>
                <w:sz w:val="20"/>
              </w:rPr>
              <w:t>Eerste 3 jaar ondernemerschap</w:t>
            </w:r>
          </w:p>
        </w:tc>
      </w:tr>
      <w:tr>
        <w:tc>
          <w:tcPr>
            <w:tcW w:type="dxa" w:w="3135"/>
          </w:tcPr>
          <w:p>
            <w:r>
              <w:rPr>
                <w:sz w:val="20"/>
              </w:rPr>
              <w:t>MKB-winstvrijstelling</w:t>
            </w:r>
          </w:p>
        </w:tc>
        <w:tc>
          <w:tcPr>
            <w:tcW w:type="dxa" w:w="3135"/>
          </w:tcPr>
          <w:p>
            <w:r>
              <w:rPr>
                <w:sz w:val="20"/>
              </w:rPr>
              <w:t>14,19% van winst</w:t>
            </w:r>
          </w:p>
        </w:tc>
        <w:tc>
          <w:tcPr>
            <w:tcW w:type="dxa" w:w="3135"/>
          </w:tcPr>
          <w:p>
            <w:r>
              <w:rPr>
                <w:sz w:val="20"/>
              </w:rPr>
              <w:t>Na zelfstandigenaftrek</w:t>
            </w:r>
          </w:p>
        </w:tc>
      </w:tr>
      <w:tr>
        <w:tc>
          <w:tcPr>
            <w:tcW w:type="dxa" w:w="3135"/>
          </w:tcPr>
          <w:p>
            <w:r>
              <w:rPr>
                <w:sz w:val="20"/>
              </w:rPr>
              <w:t>KOR (btw)</w:t>
            </w:r>
          </w:p>
        </w:tc>
        <w:tc>
          <w:tcPr>
            <w:tcW w:type="dxa" w:w="3135"/>
          </w:tcPr>
          <w:p>
            <w:r>
              <w:rPr>
                <w:sz w:val="20"/>
              </w:rPr>
              <w:t>Geen btw-heffing</w:t>
            </w:r>
          </w:p>
        </w:tc>
        <w:tc>
          <w:tcPr>
            <w:tcW w:type="dxa" w:w="3135"/>
          </w:tcPr>
          <w:p>
            <w:r>
              <w:rPr>
                <w:sz w:val="20"/>
              </w:rPr>
              <w:t>Omzet &lt;€20.000 (niet relevant)</w:t>
            </w:r>
          </w:p>
        </w:tc>
      </w:tr>
      <w:tr>
        <w:tc>
          <w:tcPr>
            <w:tcW w:type="dxa" w:w="3135"/>
          </w:tcPr>
          <w:p>
            <w:r>
              <w:rPr>
                <w:sz w:val="20"/>
              </w:rPr>
              <w:t>Investeringsaftrek</w:t>
            </w:r>
          </w:p>
        </w:tc>
        <w:tc>
          <w:tcPr>
            <w:tcW w:type="dxa" w:w="3135"/>
          </w:tcPr>
          <w:p>
            <w:r>
              <w:rPr>
                <w:sz w:val="20"/>
              </w:rPr>
              <w:t>Variabel</w:t>
            </w:r>
          </w:p>
        </w:tc>
        <w:tc>
          <w:tcPr>
            <w:tcW w:type="dxa" w:w="3135"/>
          </w:tcPr>
          <w:p>
            <w:r>
              <w:rPr>
                <w:sz w:val="20"/>
              </w:rPr>
              <w:t>Bedrijfsmiddelen &gt;€450</w:t>
            </w:r>
          </w:p>
        </w:tc>
      </w:tr>
      <w:tr>
        <w:tc>
          <w:tcPr>
            <w:tcW w:type="dxa" w:w="3135"/>
          </w:tcPr>
          <w:p>
            <w:r>
              <w:rPr>
                <w:sz w:val="20"/>
              </w:rPr>
              <w:t>Opleidingsaftrek</w:t>
            </w:r>
          </w:p>
        </w:tc>
        <w:tc>
          <w:tcPr>
            <w:tcW w:type="dxa" w:w="3135"/>
          </w:tcPr>
          <w:p>
            <w:r>
              <w:rPr>
                <w:sz w:val="20"/>
              </w:rPr>
              <w:t>Werkelijke kosten</w:t>
            </w:r>
          </w:p>
        </w:tc>
        <w:tc>
          <w:tcPr>
            <w:tcW w:type="dxa" w:w="3135"/>
          </w:tcPr>
          <w:p>
            <w:r>
              <w:rPr>
                <w:sz w:val="20"/>
              </w:rPr>
              <w:t>Schriftelijk leerovereenkomst</w:t>
            </w:r>
          </w:p>
        </w:tc>
      </w:tr>
    </w:tbl>
    <w:p>
      <w:pPr>
        <w:pStyle w:val="Heading2"/>
      </w:pPr>
      <w:r>
        <w:t>8.2 Gemeentelijke Startersregelingen</w:t>
      </w:r>
    </w:p>
    <w:p>
      <w:r>
        <w:t>Veel gemeenten hebben specifieke ondersteuning voor startende ondernemers. Voor Heiloo en omgeving (gemeente Heiloo, regio Alkmaar):</w:t>
      </w:r>
    </w:p>
    <w:p>
      <w:r>
        <w:t>• Starterslening: via de gemeente (tot €50.000, gunstige voorwaarden)</w:t>
      </w:r>
    </w:p>
    <w:p>
      <w:r>
        <w:t>• Borgstelling MKB (BMKB): overheid staat borg voor 50% van de lening bij een bank</w:t>
      </w:r>
    </w:p>
    <w:p>
      <w:r>
        <w:t>• Gratis adviesgesprek via KVK Ondernemersplein</w:t>
      </w:r>
    </w:p>
    <w:p>
      <w:r>
        <w:t>• Regionale economische initiatieven via de provincie Noord-Holland</w:t>
      </w:r>
    </w:p>
    <w:p>
      <w:r>
        <w:t>• Check: Heiloo.nl/ondernemen en Noord-Holland.nl/subsidies</w:t>
      </w:r>
    </w:p>
    <w:p>
      <w:pPr>
        <w:pStyle w:val="Heading2"/>
      </w:pPr>
      <w:r>
        <w:t>8.3 RVO Regelingen</w:t>
      </w:r>
    </w:p>
    <w:p>
      <w:r>
        <w:t>Rijksdienst voor Ondernemend Nederland (RVO) biedt diverse regelingen. Relevant voor ZZP consultancy:</w:t>
      </w:r>
    </w:p>
    <w:p>
      <w:r>
        <w:t>• Innovatiebox (bij BV met winst uit innovatie — niet direct relevant als eenmanszaak)</w:t>
      </w:r>
    </w:p>
    <w:p>
      <w:r>
        <w:t>• MIA (Milieu-investeringsaftrek) — bij duurzame investeringen</w:t>
      </w:r>
    </w:p>
    <w:p>
      <w:r>
        <w:t>• Vamil (Willekeurige afschrijving milieu-investeringen)</w:t>
      </w:r>
    </w:p>
    <w:p>
      <w:r>
        <w:t>• EIA (Energie-investeringsaftrek) — bij energiezuinige bedrijfsmiddelen</w:t>
      </w:r>
    </w:p>
    <w:p>
      <w:r>
        <w:t>• Check rvo.nl/subsidies-regelingen voor actuele regelingen [17]</w:t>
      </w:r>
    </w:p>
    <w:p>
      <w:pPr>
        <w:pStyle w:val="Heading2"/>
      </w:pPr>
      <w:r>
        <w:t>8.4 TOZO</w:t>
      </w:r>
    </w:p>
    <w:p>
      <w:r>
        <w:t>De Tijdelijke Overbruggingsregeling Zelfstandig Ondernemers (TOZO) was een coronamaatregel en is inmiddels beëindigd. Er is geen vergelijkbare regeling actief in 2026. De verwachte verplichte AOV per 2030 zal deels een vangnet bieden, maar dit is nog toekomstmuziek [18].</w:t>
      </w:r>
    </w:p>
    <w:p>
      <w:pPr>
        <w:pStyle w:val="Heading1"/>
      </w:pPr>
      <w:r>
        <w:t>9. Marketing &amp; Acquisitie</w:t>
      </w:r>
    </w:p>
    <w:p>
      <w:pPr>
        <w:pStyle w:val="Heading2"/>
      </w:pPr>
      <w:r>
        <w:t>9.1 LinkedIn Profiel Optimalisatie</w:t>
      </w:r>
    </w:p>
    <w:p>
      <w:r>
        <w:t>LinkedIn is het primaire platform voor B2B consultancy acquisitie. Checklist:</w:t>
      </w:r>
    </w:p>
    <w:p>
      <w:r>
        <w:t>☐ Koptekst: "HHC Interim Manager | Veiligheid, Gezondheid &amp; Zorgkwaliteit"</w:t>
      </w:r>
    </w:p>
    <w:p>
      <w:r>
        <w:t>☐ Samenvatting: Focus op toegevoegde waarde (HSEQ → HHC transitie)</w:t>
      </w:r>
    </w:p>
    <w:p>
      <w:r>
        <w:t>☐ Vaardigheden toevoegen: Risicomanagement, Compliance, Interim Management, Kwaliteitszorg</w:t>
      </w:r>
    </w:p>
    <w:p>
      <w:r>
        <w:t>☐ Netwerk opbouwen: verbind met zorgbestuurders, HHC-professionals, interim bureaus</w:t>
      </w:r>
    </w:p>
    <w:p>
      <w:r>
        <w:t>☐ Content strategie: wekelijks 1 post over HHC/HSEQ thema's</w:t>
      </w:r>
    </w:p>
    <w:p>
      <w:r>
        <w:t>☐ Recommendations vragen: van eerdere opdrachtgevers/collega's</w:t>
      </w:r>
    </w:p>
    <w:p>
      <w:pPr>
        <w:pStyle w:val="Heading2"/>
      </w:pPr>
      <w:r>
        <w:t>9.2 Platformen voor Interim Opdrachten</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jc w:val="left"/>
            </w:pPr>
            <w:r>
              <w:rPr>
                <w:b/>
                <w:color w:val="003366"/>
                <w:sz w:val="20"/>
              </w:rPr>
              <w:t>Platform</w:t>
            </w:r>
          </w:p>
        </w:tc>
        <w:tc>
          <w:tcPr>
            <w:tcW w:type="dxa" w:w="3135"/>
          </w:tcPr>
          <w:p>
            <w:pPr>
              <w:jc w:val="left"/>
            </w:pPr>
            <w:r>
              <w:rPr>
                <w:b/>
                <w:color w:val="003366"/>
                <w:sz w:val="20"/>
              </w:rPr>
              <w:t>Type</w:t>
            </w:r>
          </w:p>
        </w:tc>
        <w:tc>
          <w:tcPr>
            <w:tcW w:type="dxa" w:w="3135"/>
          </w:tcPr>
          <w:p>
            <w:pPr>
              <w:jc w:val="left"/>
            </w:pPr>
            <w:r>
              <w:rPr>
                <w:b/>
                <w:color w:val="003366"/>
                <w:sz w:val="20"/>
              </w:rPr>
              <w:t>Toelichting</w:t>
            </w:r>
          </w:p>
        </w:tc>
      </w:tr>
      <w:tr>
        <w:tc>
          <w:tcPr>
            <w:tcW w:type="dxa" w:w="3135"/>
          </w:tcPr>
          <w:p>
            <w:r>
              <w:rPr>
                <w:sz w:val="20"/>
              </w:rPr>
              <w:t>Instrador</w:t>
            </w:r>
          </w:p>
        </w:tc>
        <w:tc>
          <w:tcPr>
            <w:tcW w:type="dxa" w:w="3135"/>
          </w:tcPr>
          <w:p>
            <w:r>
              <w:rPr>
                <w:sz w:val="20"/>
              </w:rPr>
              <w:t>Interim management</w:t>
            </w:r>
          </w:p>
        </w:tc>
        <w:tc>
          <w:tcPr>
            <w:tcW w:type="dxa" w:w="3135"/>
          </w:tcPr>
          <w:p>
            <w:r>
              <w:rPr>
                <w:sz w:val="20"/>
              </w:rPr>
              <w:t>Breed netwerk, zorg &amp; overheid</w:t>
            </w:r>
          </w:p>
        </w:tc>
      </w:tr>
      <w:tr>
        <w:tc>
          <w:tcPr>
            <w:tcW w:type="dxa" w:w="3135"/>
          </w:tcPr>
          <w:p>
            <w:r>
              <w:rPr>
                <w:sz w:val="20"/>
              </w:rPr>
              <w:t>MarketSelect</w:t>
            </w:r>
          </w:p>
        </w:tc>
        <w:tc>
          <w:tcPr>
            <w:tcW w:type="dxa" w:w="3135"/>
          </w:tcPr>
          <w:p>
            <w:r>
              <w:rPr>
                <w:sz w:val="20"/>
              </w:rPr>
              <w:t>Interim &amp; project</w:t>
            </w:r>
          </w:p>
        </w:tc>
        <w:tc>
          <w:tcPr>
            <w:tcW w:type="dxa" w:w="3135"/>
          </w:tcPr>
          <w:p>
            <w:r>
              <w:rPr>
                <w:sz w:val="20"/>
              </w:rPr>
              <w:t>Zorg, welzijn, publieke sector</w:t>
            </w:r>
          </w:p>
        </w:tc>
      </w:tr>
      <w:tr>
        <w:tc>
          <w:tcPr>
            <w:tcW w:type="dxa" w:w="3135"/>
          </w:tcPr>
          <w:p>
            <w:r>
              <w:rPr>
                <w:sz w:val="20"/>
              </w:rPr>
              <w:t>Hays Interim</w:t>
            </w:r>
          </w:p>
        </w:tc>
        <w:tc>
          <w:tcPr>
            <w:tcW w:type="dxa" w:w="3135"/>
          </w:tcPr>
          <w:p>
            <w:r>
              <w:rPr>
                <w:sz w:val="20"/>
              </w:rPr>
              <w:t>Interim professionals</w:t>
            </w:r>
          </w:p>
        </w:tc>
        <w:tc>
          <w:tcPr>
            <w:tcW w:type="dxa" w:w="3135"/>
          </w:tcPr>
          <w:p>
            <w:r>
              <w:rPr>
                <w:sz w:val="20"/>
              </w:rPr>
              <w:t>Zorg &amp; gezondheid</w:t>
            </w:r>
          </w:p>
        </w:tc>
      </w:tr>
      <w:tr>
        <w:tc>
          <w:tcPr>
            <w:tcW w:type="dxa" w:w="3135"/>
          </w:tcPr>
          <w:p>
            <w:r>
              <w:rPr>
                <w:sz w:val="20"/>
              </w:rPr>
              <w:t>Undutchables</w:t>
            </w:r>
          </w:p>
        </w:tc>
        <w:tc>
          <w:tcPr>
            <w:tcW w:type="dxa" w:w="3135"/>
          </w:tcPr>
          <w:p>
            <w:r>
              <w:rPr>
                <w:sz w:val="20"/>
              </w:rPr>
              <w:t>ZZP opdrachten</w:t>
            </w:r>
          </w:p>
        </w:tc>
        <w:tc>
          <w:tcPr>
            <w:tcW w:type="dxa" w:w="3135"/>
          </w:tcPr>
          <w:p>
            <w:r>
              <w:rPr>
                <w:sz w:val="20"/>
              </w:rPr>
              <w:t>Breed, ook consultancy</w:t>
            </w:r>
          </w:p>
        </w:tc>
      </w:tr>
      <w:tr>
        <w:tc>
          <w:tcPr>
            <w:tcW w:type="dxa" w:w="3135"/>
          </w:tcPr>
          <w:p>
            <w:r>
              <w:rPr>
                <w:sz w:val="20"/>
              </w:rPr>
              <w:t>Freelance.nl</w:t>
            </w:r>
          </w:p>
        </w:tc>
        <w:tc>
          <w:tcPr>
            <w:tcW w:type="dxa" w:w="3135"/>
          </w:tcPr>
          <w:p>
            <w:r>
              <w:rPr>
                <w:sz w:val="20"/>
              </w:rPr>
              <w:t>ZZP platform</w:t>
            </w:r>
          </w:p>
        </w:tc>
        <w:tc>
          <w:tcPr>
            <w:tcW w:type="dxa" w:w="3135"/>
          </w:tcPr>
          <w:p>
            <w:r>
              <w:rPr>
                <w:sz w:val="20"/>
              </w:rPr>
              <w:t>Divers, ook HHC opdrachten</w:t>
            </w:r>
          </w:p>
        </w:tc>
      </w:tr>
      <w:tr>
        <w:tc>
          <w:tcPr>
            <w:tcW w:type="dxa" w:w="3135"/>
          </w:tcPr>
          <w:p>
            <w:r>
              <w:rPr>
                <w:sz w:val="20"/>
              </w:rPr>
              <w:t>LinkedIn ProFinder</w:t>
            </w:r>
          </w:p>
        </w:tc>
        <w:tc>
          <w:tcPr>
            <w:tcW w:type="dxa" w:w="3135"/>
          </w:tcPr>
          <w:p>
            <w:r>
              <w:rPr>
                <w:sz w:val="20"/>
              </w:rPr>
              <w:t>B2B matching</w:t>
            </w:r>
          </w:p>
        </w:tc>
        <w:tc>
          <w:tcPr>
            <w:tcW w:type="dxa" w:w="3135"/>
          </w:tcPr>
          <w:p>
            <w:r>
              <w:rPr>
                <w:sz w:val="20"/>
              </w:rPr>
              <w:t>Direct via LinkedIn netwerk</w:t>
            </w:r>
          </w:p>
        </w:tc>
      </w:tr>
      <w:tr>
        <w:tc>
          <w:tcPr>
            <w:tcW w:type="dxa" w:w="3135"/>
          </w:tcPr>
          <w:p>
            <w:r>
              <w:rPr>
                <w:sz w:val="20"/>
              </w:rPr>
              <w:t>Vroedvrouw in Bedrijfsvoering</w:t>
            </w:r>
          </w:p>
        </w:tc>
        <w:tc>
          <w:tcPr>
            <w:tcW w:type="dxa" w:w="3135"/>
          </w:tcPr>
          <w:p>
            <w:r>
              <w:rPr>
                <w:sz w:val="20"/>
              </w:rPr>
              <w:t>Zorg consultancy</w:t>
            </w:r>
          </w:p>
        </w:tc>
        <w:tc>
          <w:tcPr>
            <w:tcW w:type="dxa" w:w="3135"/>
          </w:tcPr>
          <w:p>
            <w:r>
              <w:rPr>
                <w:sz w:val="20"/>
              </w:rPr>
              <w:t>Niche platform zorgadviseurs</w:t>
            </w:r>
          </w:p>
        </w:tc>
      </w:tr>
    </w:tbl>
    <w:p>
      <w:pPr>
        <w:pStyle w:val="Heading2"/>
      </w:pPr>
      <w:r>
        <w:t>9.3 Netwerkstrategie</w:t>
      </w:r>
    </w:p>
    <w:p>
      <w:r>
        <w:t>• Lions-netwerk: benut je positie als Districtsgouverneur 110AN voor zorgsector contacten</w:t>
      </w:r>
    </w:p>
    <w:p>
      <w:r>
        <w:t>• Brancheverenigingen: Word lid van relevante zorg- en HHC-verenigingen</w:t>
      </w:r>
    </w:p>
    <w:p>
      <w:r>
        <w:t>• Evenementen: Bezoek zorgconferenties (Zorg &amp; ICT, Health Valley, MedTech)</w:t>
      </w:r>
    </w:p>
    <w:p>
      <w:r>
        <w:t>• Interim bureaus: registreer bij 3-5 bureaus voor interim management opdrachten</w:t>
      </w:r>
    </w:p>
    <w:p>
      <w:r>
        <w:t>• Bestuurdersnetwerk: zorginstellingen bestuurders zijn je potentiële opdrachtgevers</w:t>
      </w:r>
    </w:p>
    <w:p>
      <w:pPr>
        <w:pStyle w:val="Heading1"/>
      </w:pPr>
      <w:r>
        <w:t>10. Administratie &amp; Routine</w:t>
      </w:r>
    </w:p>
    <w:p>
      <w:pPr>
        <w:pStyle w:val="Heading2"/>
      </w:pPr>
      <w:r>
        <w:t>10.1 Archiveerplicht</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jc w:val="left"/>
            </w:pPr>
            <w:r>
              <w:rPr>
                <w:b/>
                <w:color w:val="003366"/>
                <w:sz w:val="20"/>
              </w:rPr>
              <w:t>Documenttype</w:t>
            </w:r>
          </w:p>
        </w:tc>
        <w:tc>
          <w:tcPr>
            <w:tcW w:type="dxa" w:w="3135"/>
          </w:tcPr>
          <w:p>
            <w:pPr>
              <w:jc w:val="left"/>
            </w:pPr>
            <w:r>
              <w:rPr>
                <w:b/>
                <w:color w:val="003366"/>
                <w:sz w:val="20"/>
              </w:rPr>
              <w:t>Bewaartermijn</w:t>
            </w:r>
          </w:p>
        </w:tc>
        <w:tc>
          <w:tcPr>
            <w:tcW w:type="dxa" w:w="3135"/>
          </w:tcPr>
          <w:p>
            <w:pPr>
              <w:jc w:val="left"/>
            </w:pPr>
            <w:r>
              <w:rPr>
                <w:b/>
                <w:color w:val="003366"/>
                <w:sz w:val="20"/>
              </w:rPr>
              <w:t>Basis</w:t>
            </w:r>
          </w:p>
        </w:tc>
      </w:tr>
      <w:tr>
        <w:tc>
          <w:tcPr>
            <w:tcW w:type="dxa" w:w="3135"/>
          </w:tcPr>
          <w:p>
            <w:r>
              <w:rPr>
                <w:sz w:val="20"/>
              </w:rPr>
              <w:t>Belastingaangiftes + bijlagen</w:t>
            </w:r>
          </w:p>
        </w:tc>
        <w:tc>
          <w:tcPr>
            <w:tcW w:type="dxa" w:w="3135"/>
          </w:tcPr>
          <w:p>
            <w:r>
              <w:rPr>
                <w:sz w:val="20"/>
              </w:rPr>
              <w:t>7 jaar</w:t>
            </w:r>
          </w:p>
        </w:tc>
        <w:tc>
          <w:tcPr>
            <w:tcW w:type="dxa" w:w="3135"/>
          </w:tcPr>
          <w:p>
            <w:r>
              <w:rPr>
                <w:sz w:val="20"/>
              </w:rPr>
              <w:t>Awb / Wet OB 1968</w:t>
            </w:r>
          </w:p>
        </w:tc>
      </w:tr>
      <w:tr>
        <w:tc>
          <w:tcPr>
            <w:tcW w:type="dxa" w:w="3135"/>
          </w:tcPr>
          <w:p>
            <w:r>
              <w:rPr>
                <w:sz w:val="20"/>
              </w:rPr>
              <w:t>Facturen (in- en verkoop)</w:t>
            </w:r>
          </w:p>
        </w:tc>
        <w:tc>
          <w:tcPr>
            <w:tcW w:type="dxa" w:w="3135"/>
          </w:tcPr>
          <w:p>
            <w:r>
              <w:rPr>
                <w:sz w:val="20"/>
              </w:rPr>
              <w:t>7 jaar</w:t>
            </w:r>
          </w:p>
        </w:tc>
        <w:tc>
          <w:tcPr>
            <w:tcW w:type="dxa" w:w="3135"/>
          </w:tcPr>
          <w:p>
            <w:r>
              <w:rPr>
                <w:sz w:val="20"/>
              </w:rPr>
              <w:t>Wet OB 1968 art. 52</w:t>
            </w:r>
          </w:p>
        </w:tc>
      </w:tr>
      <w:tr>
        <w:tc>
          <w:tcPr>
            <w:tcW w:type="dxa" w:w="3135"/>
          </w:tcPr>
          <w:p>
            <w:r>
              <w:rPr>
                <w:sz w:val="20"/>
              </w:rPr>
              <w:t>Bankafschriften</w:t>
            </w:r>
          </w:p>
        </w:tc>
        <w:tc>
          <w:tcPr>
            <w:tcW w:type="dxa" w:w="3135"/>
          </w:tcPr>
          <w:p>
            <w:r>
              <w:rPr>
                <w:sz w:val="20"/>
              </w:rPr>
              <w:t>7 jaar</w:t>
            </w:r>
          </w:p>
        </w:tc>
        <w:tc>
          <w:tcPr>
            <w:tcW w:type="dxa" w:w="3135"/>
          </w:tcPr>
          <w:p>
            <w:r>
              <w:rPr>
                <w:sz w:val="20"/>
              </w:rPr>
              <w:t>Belastingdienst richtlijn</w:t>
            </w:r>
          </w:p>
        </w:tc>
      </w:tr>
      <w:tr>
        <w:tc>
          <w:tcPr>
            <w:tcW w:type="dxa" w:w="3135"/>
          </w:tcPr>
          <w:p>
            <w:r>
              <w:rPr>
                <w:sz w:val="20"/>
              </w:rPr>
              <w:t>Contracten en overeenkomsten</w:t>
            </w:r>
          </w:p>
        </w:tc>
        <w:tc>
          <w:tcPr>
            <w:tcW w:type="dxa" w:w="3135"/>
          </w:tcPr>
          <w:p>
            <w:r>
              <w:rPr>
                <w:sz w:val="20"/>
              </w:rPr>
              <w:t>7 jaar na beëindiging</w:t>
            </w:r>
          </w:p>
        </w:tc>
        <w:tc>
          <w:tcPr>
            <w:tcW w:type="dxa" w:w="3135"/>
          </w:tcPr>
          <w:p>
            <w:r>
              <w:rPr>
                <w:sz w:val="20"/>
              </w:rPr>
              <w:t>BW</w:t>
            </w:r>
          </w:p>
        </w:tc>
      </w:tr>
      <w:tr>
        <w:tc>
          <w:tcPr>
            <w:tcW w:type="dxa" w:w="3135"/>
          </w:tcPr>
          <w:p>
            <w:r>
              <w:rPr>
                <w:sz w:val="20"/>
              </w:rPr>
              <w:t>Personeelsgegevens (toekomstig)</w:t>
            </w:r>
          </w:p>
        </w:tc>
        <w:tc>
          <w:tcPr>
            <w:tcW w:type="dxa" w:w="3135"/>
          </w:tcPr>
          <w:p>
            <w:r>
              <w:rPr>
                <w:sz w:val="20"/>
              </w:rPr>
              <w:t>5 jaar na beëindiging</w:t>
            </w:r>
          </w:p>
        </w:tc>
        <w:tc>
          <w:tcPr>
            <w:tcW w:type="dxa" w:w="3135"/>
          </w:tcPr>
          <w:p>
            <w:r>
              <w:rPr>
                <w:sz w:val="20"/>
              </w:rPr>
              <w:t>AVG + Arbowet</w:t>
            </w:r>
          </w:p>
        </w:tc>
      </w:tr>
      <w:tr>
        <w:tc>
          <w:tcPr>
            <w:tcW w:type="dxa" w:w="3135"/>
          </w:tcPr>
          <w:p>
            <w:r>
              <w:rPr>
                <w:sz w:val="20"/>
              </w:rPr>
              <w:t>Loonstroken / salarisgegevens</w:t>
            </w:r>
          </w:p>
        </w:tc>
        <w:tc>
          <w:tcPr>
            <w:tcW w:type="dxa" w:w="3135"/>
          </w:tcPr>
          <w:p>
            <w:r>
              <w:rPr>
                <w:sz w:val="20"/>
              </w:rPr>
              <w:t>7 jaar</w:t>
            </w:r>
          </w:p>
        </w:tc>
        <w:tc>
          <w:tcPr>
            <w:tcW w:type="dxa" w:w="3135"/>
          </w:tcPr>
          <w:p>
            <w:r>
              <w:rPr>
                <w:sz w:val="20"/>
              </w:rPr>
              <w:t>Hwf</w:t>
            </w:r>
          </w:p>
        </w:tc>
      </w:tr>
      <w:tr>
        <w:tc>
          <w:tcPr>
            <w:tcW w:type="dxa" w:w="3135"/>
          </w:tcPr>
          <w:p>
            <w:r>
              <w:rPr>
                <w:sz w:val="20"/>
              </w:rPr>
              <w:t>KvK-documenten</w:t>
            </w:r>
          </w:p>
        </w:tc>
        <w:tc>
          <w:tcPr>
            <w:tcW w:type="dxa" w:w="3135"/>
          </w:tcPr>
          <w:p>
            <w:r>
              <w:rPr>
                <w:sz w:val="20"/>
              </w:rPr>
              <w:t>Blijvend bewaren</w:t>
            </w:r>
          </w:p>
        </w:tc>
        <w:tc>
          <w:tcPr>
            <w:tcW w:type="dxa" w:w="3135"/>
          </w:tcPr>
          <w:p>
            <w:r>
              <w:rPr>
                <w:sz w:val="20"/>
              </w:rPr>
              <w:t>Handelsregisterwet</w:t>
            </w:r>
          </w:p>
        </w:tc>
      </w:tr>
    </w:tbl>
    <w:p>
      <w:pPr>
        <w:pStyle w:val="Heading2"/>
      </w:pPr>
      <w:r>
        <w:t>10.2 Routine Checklist</w:t>
      </w:r>
    </w:p>
    <w:p>
      <w:pPr>
        <w:pStyle w:val="Heading3"/>
      </w:pPr>
      <w:r>
        <w:t>Wekelijks</w:t>
      </w:r>
    </w:p>
    <w:p>
      <w:pPr>
        <w:spacing w:after="60"/>
        <w:ind w:left="283"/>
      </w:pPr>
      <w:r>
        <w:rPr>
          <w:sz w:val="20"/>
        </w:rPr>
        <w:t>☐  Bonnen en bonnetjes verzamelen en scannen</w:t>
      </w:r>
    </w:p>
    <w:p>
      <w:pPr>
        <w:spacing w:after="60"/>
        <w:ind w:left="283"/>
      </w:pPr>
      <w:r>
        <w:rPr>
          <w:sz w:val="20"/>
        </w:rPr>
        <w:t>☐  Uren registreren (voor urencriterium Belastingdienst)</w:t>
      </w:r>
    </w:p>
    <w:p>
      <w:pPr>
        <w:spacing w:after="60"/>
        <w:ind w:left="283"/>
      </w:pPr>
      <w:r>
        <w:rPr>
          <w:sz w:val="20"/>
        </w:rPr>
        <w:t>☐  Openstaande facturen controleren (betalingen ontvangen?)</w:t>
      </w:r>
    </w:p>
    <w:p>
      <w:pPr>
        <w:spacing w:after="60"/>
        <w:ind w:left="283"/>
      </w:pPr>
      <w:r>
        <w:rPr>
          <w:sz w:val="20"/>
        </w:rPr>
        <w:t>☐  Email/post verwerken</w:t>
      </w:r>
    </w:p>
    <w:p>
      <w:pPr>
        <w:pStyle w:val="Heading3"/>
      </w:pPr>
      <w:r>
        <w:t>Maandelijks</w:t>
      </w:r>
    </w:p>
    <w:p>
      <w:pPr>
        <w:spacing w:after="60"/>
        <w:ind w:left="283"/>
      </w:pPr>
      <w:r>
        <w:rPr>
          <w:sz w:val="20"/>
        </w:rPr>
        <w:t>☐  Alle facturen van de maand in boekhouding verwerken</w:t>
      </w:r>
    </w:p>
    <w:p>
      <w:pPr>
        <w:spacing w:after="60"/>
        <w:ind w:left="283"/>
      </w:pPr>
      <w:r>
        <w:rPr>
          <w:sz w:val="20"/>
        </w:rPr>
        <w:t>☐  Bankafschriften matchen met boekingen</w:t>
      </w:r>
    </w:p>
    <w:p>
      <w:pPr>
        <w:spacing w:after="60"/>
        <w:ind w:left="283"/>
      </w:pPr>
      <w:r>
        <w:rPr>
          <w:sz w:val="20"/>
        </w:rPr>
        <w:t>☐  Openstaande facturen opvolgen (aanmaning indien nodig)</w:t>
      </w:r>
    </w:p>
    <w:p>
      <w:pPr>
        <w:spacing w:after="60"/>
        <w:ind w:left="283"/>
      </w:pPr>
      <w:r>
        <w:rPr>
          <w:sz w:val="20"/>
        </w:rPr>
        <w:t>☐  Kasboek / inkoopboek bijwerken</w:t>
      </w:r>
    </w:p>
    <w:p>
      <w:pPr>
        <w:spacing w:after="60"/>
        <w:ind w:left="283"/>
      </w:pPr>
      <w:r>
        <w:rPr>
          <w:sz w:val="20"/>
        </w:rPr>
        <w:t>☐  Liquide positie beoordelen (genoeg buffer voor btw/kosten?)</w:t>
      </w:r>
    </w:p>
    <w:p>
      <w:pPr>
        <w:pStyle w:val="Heading3"/>
      </w:pPr>
      <w:r>
        <w:t>Kwartaal</w:t>
      </w:r>
    </w:p>
    <w:p>
      <w:pPr>
        <w:spacing w:after="60"/>
        <w:ind w:left="283"/>
      </w:pPr>
      <w:r>
        <w:rPr>
          <w:sz w:val="20"/>
        </w:rPr>
        <w:t>☐  BTW-aangifte indienen (uiterlijk laatste dag volgende maand)</w:t>
      </w:r>
    </w:p>
    <w:p>
      <w:pPr>
        <w:spacing w:after="60"/>
        <w:ind w:left="283"/>
      </w:pPr>
      <w:r>
        <w:rPr>
          <w:sz w:val="20"/>
        </w:rPr>
        <w:t>☐  Voorlopige aanslag actualiseren (indien gewijzigd)</w:t>
      </w:r>
    </w:p>
    <w:p>
      <w:pPr>
        <w:spacing w:after="60"/>
        <w:ind w:left="283"/>
      </w:pPr>
      <w:r>
        <w:rPr>
          <w:sz w:val="20"/>
        </w:rPr>
        <w:t>☐  Kwartaalrapportage: omzet, kosten, winstmarge</w:t>
      </w:r>
    </w:p>
    <w:p>
      <w:pPr>
        <w:spacing w:after="60"/>
        <w:ind w:left="283"/>
      </w:pPr>
      <w:r>
        <w:rPr>
          <w:sz w:val="20"/>
        </w:rPr>
        <w:t>☐  Voorzieningen beoordelen (belasting, verzekeringen, reserveringen)</w:t>
      </w:r>
    </w:p>
    <w:p>
      <w:pPr>
        <w:pStyle w:val="Heading3"/>
      </w:pPr>
      <w:r>
        <w:t>Jaarlijks</w:t>
      </w:r>
    </w:p>
    <w:p>
      <w:pPr>
        <w:spacing w:after="60"/>
        <w:ind w:left="283"/>
      </w:pPr>
      <w:r>
        <w:rPr>
          <w:sz w:val="20"/>
        </w:rPr>
        <w:t>☐  Jaarrekening opstellen (winst- en verliesrekening + balans)</w:t>
      </w:r>
    </w:p>
    <w:p>
      <w:pPr>
        <w:spacing w:after="60"/>
        <w:ind w:left="283"/>
      </w:pPr>
      <w:r>
        <w:rPr>
          <w:sz w:val="20"/>
        </w:rPr>
        <w:t>☐  Inkomstenbelasting aangifte doen (voor 1 mei, of via uitstel tot 1 september)</w:t>
      </w:r>
    </w:p>
    <w:p>
      <w:pPr>
        <w:spacing w:after="60"/>
        <w:ind w:left="283"/>
      </w:pPr>
      <w:r>
        <w:rPr>
          <w:sz w:val="20"/>
        </w:rPr>
        <w:t>☐  AOV-premie actualiseren (inkomensopgave aan verzekeraar)</w:t>
      </w:r>
    </w:p>
    <w:p>
      <w:pPr>
        <w:spacing w:after="60"/>
        <w:ind w:left="283"/>
      </w:pPr>
      <w:r>
        <w:rPr>
          <w:sz w:val="20"/>
        </w:rPr>
        <w:t>☐  Algemene voorwaarden en contracten herzien</w:t>
      </w:r>
    </w:p>
    <w:p>
      <w:pPr>
        <w:spacing w:after="60"/>
        <w:ind w:left="283"/>
      </w:pPr>
      <w:r>
        <w:rPr>
          <w:sz w:val="20"/>
        </w:rPr>
        <w:t>☐  Tarief evaluatie: tarief verhogen indien gerechtvaardigd</w:t>
      </w:r>
    </w:p>
    <w:p>
      <w:pPr>
        <w:pStyle w:val="Heading1"/>
      </w:pPr>
      <w:r>
        <w:t>11. Tijdpad &amp; Actielijst</w:t>
      </w:r>
    </w:p>
    <w:p>
      <w:pPr>
        <w:pStyle w:val="Heading2"/>
      </w:pPr>
      <w:r>
        <w:t>11.1 Week 1-2: Fundament Leggen</w:t>
      </w:r>
    </w:p>
    <w:p>
      <w:pPr>
        <w:spacing w:after="60"/>
        <w:ind w:left="283"/>
      </w:pPr>
      <w:r>
        <w:rPr>
          <w:sz w:val="20"/>
        </w:rPr>
        <w:t>☐  KvK-inschrijving afronden (online via IDIN)</w:t>
      </w:r>
    </w:p>
    <w:p>
      <w:pPr>
        <w:spacing w:after="60"/>
        <w:ind w:left="283"/>
      </w:pPr>
      <w:r>
        <w:rPr>
          <w:sz w:val="20"/>
        </w:rPr>
        <w:t>☐  Handelsnaam vaststellen en controleren</w:t>
      </w:r>
    </w:p>
    <w:p>
      <w:pPr>
        <w:spacing w:after="60"/>
        <w:ind w:left="283"/>
      </w:pPr>
      <w:r>
        <w:rPr>
          <w:sz w:val="20"/>
        </w:rPr>
        <w:t>☐  Zakelijke bankrekening openen</w:t>
      </w:r>
    </w:p>
    <w:p>
      <w:pPr>
        <w:spacing w:after="60"/>
        <w:ind w:left="283"/>
      </w:pPr>
      <w:r>
        <w:rPr>
          <w:sz w:val="20"/>
        </w:rPr>
        <w:t>☐  BTW-nummer ontvangen (automatisch via KvK)</w:t>
      </w:r>
    </w:p>
    <w:p>
      <w:pPr>
        <w:spacing w:after="60"/>
        <w:ind w:left="283"/>
      </w:pPr>
      <w:r>
        <w:rPr>
          <w:sz w:val="20"/>
        </w:rPr>
        <w:t>☐  Zorgverzekering controleren/aanpassen</w:t>
      </w:r>
    </w:p>
    <w:p>
      <w:pPr>
        <w:spacing w:after="60"/>
        <w:ind w:left="283"/>
      </w:pPr>
      <w:r>
        <w:rPr>
          <w:sz w:val="20"/>
        </w:rPr>
        <w:t>☐  AVB + Beroepsaansprakelijkheidsverzekering afsluiten</w:t>
      </w:r>
    </w:p>
    <w:p>
      <w:pPr>
        <w:spacing w:after="60"/>
        <w:ind w:left="283"/>
      </w:pPr>
      <w:r>
        <w:rPr>
          <w:sz w:val="20"/>
        </w:rPr>
        <w:t>☐  AOV vergelijken en (overwegen) afsluiten</w:t>
      </w:r>
    </w:p>
    <w:p>
      <w:pPr>
        <w:spacing w:after="60"/>
        <w:ind w:left="283"/>
      </w:pPr>
      <w:r>
        <w:rPr>
          <w:sz w:val="20"/>
        </w:rPr>
        <w:t>☐  Boekhoudsoftware kiezen en installeren</w:t>
      </w:r>
    </w:p>
    <w:p>
      <w:pPr>
        <w:spacing w:after="60"/>
        <w:ind w:left="283"/>
      </w:pPr>
      <w:r>
        <w:rPr>
          <w:sz w:val="20"/>
        </w:rPr>
        <w:t>☐  Huisadres of postadres als vestigingsadres bepalen</w:t>
      </w:r>
    </w:p>
    <w:p>
      <w:pPr>
        <w:pStyle w:val="Heading2"/>
      </w:pPr>
      <w:r>
        <w:t>11.2 Week 3-4: Juridisch &amp; Administratief</w:t>
      </w:r>
    </w:p>
    <w:p>
      <w:pPr>
        <w:spacing w:after="60"/>
        <w:ind w:left="283"/>
      </w:pPr>
      <w:r>
        <w:rPr>
          <w:sz w:val="20"/>
        </w:rPr>
        <w:t>☐  Modelovereenkomst downloaden (Belastingdienst) en aanpassen</w:t>
      </w:r>
    </w:p>
    <w:p>
      <w:pPr>
        <w:spacing w:after="60"/>
        <w:ind w:left="283"/>
      </w:pPr>
      <w:r>
        <w:rPr>
          <w:sz w:val="20"/>
        </w:rPr>
        <w:t>☐  Algemene voorwaarden opstellen en deponeren bij KvK</w:t>
      </w:r>
    </w:p>
    <w:p>
      <w:pPr>
        <w:spacing w:after="60"/>
        <w:ind w:left="283"/>
      </w:pPr>
      <w:r>
        <w:rPr>
          <w:sz w:val="20"/>
        </w:rPr>
        <w:t>☐  NDA-template klaarzetten</w:t>
      </w:r>
    </w:p>
    <w:p>
      <w:pPr>
        <w:spacing w:after="60"/>
        <w:ind w:left="283"/>
      </w:pPr>
      <w:r>
        <w:rPr>
          <w:sz w:val="20"/>
        </w:rPr>
        <w:t>☐  Factuur-template ontwerpen (voldoen aan wettelijke eisen)</w:t>
      </w:r>
    </w:p>
    <w:p>
      <w:pPr>
        <w:spacing w:after="60"/>
        <w:ind w:left="283"/>
      </w:pPr>
      <w:r>
        <w:rPr>
          <w:sz w:val="20"/>
        </w:rPr>
        <w:t>☐  Betalingsvoorwaarden vaststellen (14 of 30 dagen)</w:t>
      </w:r>
    </w:p>
    <w:p>
      <w:pPr>
        <w:spacing w:after="60"/>
        <w:ind w:left="283"/>
      </w:pPr>
      <w:r>
        <w:rPr>
          <w:sz w:val="20"/>
        </w:rPr>
        <w:t>☐  Herkomstcheck bank afronden</w:t>
      </w:r>
    </w:p>
    <w:p>
      <w:pPr>
        <w:spacing w:after="60"/>
        <w:ind w:left="283"/>
      </w:pPr>
      <w:r>
        <w:rPr>
          <w:sz w:val="20"/>
        </w:rPr>
        <w:t>☐  Administratie-structuur inrichten (mappen, backup)</w:t>
      </w:r>
    </w:p>
    <w:p>
      <w:pPr>
        <w:pStyle w:val="Heading2"/>
      </w:pPr>
      <w:r>
        <w:t>11.3 Week 5-6: Zichtbaarheid &amp; Acquisitie</w:t>
      </w:r>
    </w:p>
    <w:p>
      <w:pPr>
        <w:spacing w:after="60"/>
        <w:ind w:left="283"/>
      </w:pPr>
      <w:r>
        <w:rPr>
          <w:sz w:val="20"/>
        </w:rPr>
        <w:t>☐  LinkedIn-profiel optimaliseren (kop, samenvatting, vaardigheden)</w:t>
      </w:r>
    </w:p>
    <w:p>
      <w:pPr>
        <w:spacing w:after="60"/>
        <w:ind w:left="283"/>
      </w:pPr>
      <w:r>
        <w:rPr>
          <w:sz w:val="20"/>
        </w:rPr>
        <w:t>☐  Foto sessie: professionele profielfoto laten maken</w:t>
      </w:r>
    </w:p>
    <w:p>
      <w:pPr>
        <w:spacing w:after="60"/>
        <w:ind w:left="283"/>
      </w:pPr>
      <w:r>
        <w:rPr>
          <w:sz w:val="20"/>
        </w:rPr>
        <w:t>☐  Netwerk activeren: connectieverzoeken naar zorgprofessionals</w:t>
      </w:r>
    </w:p>
    <w:p>
      <w:pPr>
        <w:spacing w:after="60"/>
        <w:ind w:left="283"/>
      </w:pPr>
      <w:r>
        <w:rPr>
          <w:sz w:val="20"/>
        </w:rPr>
        <w:t>☐  Registreren bij 3-5 interim bureaus</w:t>
      </w:r>
    </w:p>
    <w:p>
      <w:pPr>
        <w:spacing w:after="60"/>
        <w:ind w:left="283"/>
      </w:pPr>
      <w:r>
        <w:rPr>
          <w:sz w:val="20"/>
        </w:rPr>
        <w:t>☐  Eerste LinkedIn post plaatsen over HHC expertise</w:t>
      </w:r>
    </w:p>
    <w:p>
      <w:pPr>
        <w:spacing w:after="60"/>
        <w:ind w:left="283"/>
      </w:pPr>
      <w:r>
        <w:rPr>
          <w:sz w:val="20"/>
        </w:rPr>
        <w:t>☐  Website/landingspagina overwegen (optioneel, niet urgent)</w:t>
      </w:r>
    </w:p>
    <w:p>
      <w:pPr>
        <w:spacing w:after="60"/>
        <w:ind w:left="283"/>
      </w:pPr>
      <w:r>
        <w:rPr>
          <w:sz w:val="20"/>
        </w:rPr>
        <w:t>☐  Lions-netwerk benoemen: wie werkt in de zorgsector?</w:t>
      </w:r>
    </w:p>
    <w:p>
      <w:pPr>
        <w:pStyle w:val="Heading2"/>
      </w:pPr>
      <w:r>
        <w:t>11.4 Week 7-8: Eerste Opdrachten</w:t>
      </w:r>
    </w:p>
    <w:p>
      <w:pPr>
        <w:spacing w:after="60"/>
        <w:ind w:left="283"/>
      </w:pPr>
      <w:r>
        <w:rPr>
          <w:sz w:val="20"/>
        </w:rPr>
        <w:t>☐  Proactief solliciteren op interim opdrachten via platformen</w:t>
      </w:r>
    </w:p>
    <w:p>
      <w:pPr>
        <w:spacing w:after="60"/>
        <w:ind w:left="283"/>
      </w:pPr>
      <w:r>
        <w:rPr>
          <w:sz w:val="20"/>
        </w:rPr>
        <w:t>☐  Netwerkevenement bijwonen (zorg/consultancy)</w:t>
      </w:r>
    </w:p>
    <w:p>
      <w:pPr>
        <w:spacing w:after="60"/>
        <w:ind w:left="283"/>
      </w:pPr>
      <w:r>
        <w:rPr>
          <w:sz w:val="20"/>
        </w:rPr>
        <w:t>☐  Eerste offerte of voorstel uitbrengen</w:t>
      </w:r>
    </w:p>
    <w:p>
      <w:pPr>
        <w:spacing w:after="60"/>
        <w:ind w:left="283"/>
      </w:pPr>
      <w:r>
        <w:rPr>
          <w:sz w:val="20"/>
        </w:rPr>
        <w:t>☐  Modelovereenkomst ondertekenen bij eerste opdracht</w:t>
      </w:r>
    </w:p>
    <w:p>
      <w:pPr>
        <w:spacing w:after="60"/>
        <w:ind w:left="283"/>
      </w:pPr>
      <w:r>
        <w:rPr>
          <w:sz w:val="20"/>
        </w:rPr>
        <w:t>☐  Facturatieproces testen met eerste factuur</w:t>
      </w:r>
    </w:p>
    <w:p>
      <w:pPr>
        <w:spacing w:after="60"/>
        <w:ind w:left="283"/>
      </w:pPr>
      <w:r>
        <w:rPr>
          <w:sz w:val="20"/>
        </w:rPr>
        <w:t>☐  Back-up regeling: vervanging bij ziekte (AOV-voorwaarde)</w:t>
      </w:r>
    </w:p>
    <w:p>
      <w:pPr>
        <w:pStyle w:val="Heading2"/>
      </w:pPr>
      <w:r>
        <w:t>11.5 Maand 3-6: Optimalisatie</w:t>
      </w:r>
    </w:p>
    <w:p>
      <w:pPr>
        <w:spacing w:after="60"/>
        <w:ind w:left="283"/>
      </w:pPr>
      <w:r>
        <w:rPr>
          <w:sz w:val="20"/>
        </w:rPr>
        <w:t>☐  Eerste btw-aangifte indienen (na afloop eerste kwartaal)</w:t>
      </w:r>
    </w:p>
    <w:p>
      <w:pPr>
        <w:spacing w:after="60"/>
        <w:ind w:left="283"/>
      </w:pPr>
      <w:r>
        <w:rPr>
          <w:sz w:val="20"/>
        </w:rPr>
        <w:t>☐  Voorlopige aanslag beoordelen en eventueel aanpassen</w:t>
      </w:r>
    </w:p>
    <w:p>
      <w:pPr>
        <w:spacing w:after="60"/>
        <w:ind w:left="283"/>
      </w:pPr>
      <w:r>
        <w:rPr>
          <w:sz w:val="20"/>
        </w:rPr>
        <w:t>☐  Boekhouder of administratiekantoor inschakelen (indien gewenst)</w:t>
      </w:r>
    </w:p>
    <w:p>
      <w:pPr>
        <w:spacing w:after="60"/>
        <w:ind w:left="283"/>
      </w:pPr>
      <w:r>
        <w:rPr>
          <w:sz w:val="20"/>
        </w:rPr>
        <w:t>☐  Tarief evalueren na eerste opdrachten</w:t>
      </w:r>
    </w:p>
    <w:p>
      <w:pPr>
        <w:spacing w:after="60"/>
        <w:ind w:left="283"/>
      </w:pPr>
      <w:r>
        <w:rPr>
          <w:sz w:val="20"/>
        </w:rPr>
        <w:t>☐  Procesevaluatie: wat werkt, wat niet?</w:t>
      </w:r>
    </w:p>
    <w:p>
      <w:pPr>
        <w:spacing w:after="60"/>
        <w:ind w:left="283"/>
      </w:pPr>
      <w:r>
        <w:rPr>
          <w:sz w:val="20"/>
        </w:rPr>
        <w:t>☐  AOV alsnog afsluiten als je dit nog niet had gedaan</w:t>
      </w:r>
    </w:p>
    <w:p>
      <w:pPr>
        <w:spacing w:after="60"/>
        <w:ind w:left="283"/>
      </w:pPr>
      <w:r>
        <w:rPr>
          <w:sz w:val="20"/>
        </w:rPr>
        <w:t>☐  Jaardoelstellingen bijstellen op basis van ervaring</w:t>
      </w:r>
    </w:p>
    <w:p>
      <w:pPr>
        <w:pStyle w:val="Heading1"/>
      </w:pPr>
      <w:r>
        <w:t>12. Risico's &amp; Valkuilen</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jc w:val="left"/>
            </w:pPr>
            <w:r>
              <w:rPr>
                <w:b/>
                <w:color w:val="003366"/>
                <w:sz w:val="20"/>
              </w:rPr>
              <w:t>Risico</w:t>
            </w:r>
          </w:p>
        </w:tc>
        <w:tc>
          <w:tcPr>
            <w:tcW w:type="dxa" w:w="3135"/>
          </w:tcPr>
          <w:p>
            <w:pPr>
              <w:jc w:val="left"/>
            </w:pPr>
            <w:r>
              <w:rPr>
                <w:b/>
                <w:color w:val="003366"/>
                <w:sz w:val="20"/>
              </w:rPr>
              <w:t>Impact</w:t>
            </w:r>
          </w:p>
        </w:tc>
        <w:tc>
          <w:tcPr>
            <w:tcW w:type="dxa" w:w="3135"/>
          </w:tcPr>
          <w:p>
            <w:pPr>
              <w:jc w:val="left"/>
            </w:pPr>
            <w:r>
              <w:rPr>
                <w:b/>
                <w:color w:val="003366"/>
                <w:sz w:val="20"/>
              </w:rPr>
              <w:t>Mitigatie</w:t>
            </w:r>
          </w:p>
        </w:tc>
      </w:tr>
      <w:tr>
        <w:tc>
          <w:tcPr>
            <w:tcW w:type="dxa" w:w="3135"/>
          </w:tcPr>
          <w:p>
            <w:r>
              <w:rPr>
                <w:sz w:val="20"/>
              </w:rPr>
              <w:t>Eén opdrachtgever</w:t>
            </w:r>
          </w:p>
        </w:tc>
        <w:tc>
          <w:tcPr>
            <w:tcW w:type="dxa" w:w="3135"/>
          </w:tcPr>
          <w:p>
            <w:r>
              <w:rPr>
                <w:sz w:val="20"/>
              </w:rPr>
              <w:t>HOOG (Wet DBA, afhankelijkheid)</w:t>
            </w:r>
          </w:p>
        </w:tc>
        <w:tc>
          <w:tcPr>
            <w:tcW w:type="dxa" w:w="3135"/>
          </w:tcPr>
          <w:p>
            <w:r>
              <w:rPr>
                <w:sz w:val="20"/>
              </w:rPr>
              <w:t>Minimaal 3 opdrachtgevers streven</w:t>
            </w:r>
          </w:p>
        </w:tc>
      </w:tr>
      <w:tr>
        <w:tc>
          <w:tcPr>
            <w:tcW w:type="dxa" w:w="3135"/>
          </w:tcPr>
          <w:p>
            <w:r>
              <w:rPr>
                <w:sz w:val="20"/>
              </w:rPr>
              <w:t>Te laag tarief</w:t>
            </w:r>
          </w:p>
        </w:tc>
        <w:tc>
          <w:tcPr>
            <w:tcW w:type="dxa" w:w="3135"/>
          </w:tcPr>
          <w:p>
            <w:r>
              <w:rPr>
                <w:sz w:val="20"/>
              </w:rPr>
              <w:t>HOOG (onderschatting, moeilijk te verhogen)</w:t>
            </w:r>
          </w:p>
        </w:tc>
        <w:tc>
          <w:tcPr>
            <w:tcW w:type="dxa" w:w="3135"/>
          </w:tcPr>
          <w:p>
            <w:r>
              <w:rPr>
                <w:sz w:val="20"/>
              </w:rPr>
              <w:t>Backwards berekenen, niet vanuit angst</w:t>
            </w:r>
          </w:p>
        </w:tc>
      </w:tr>
      <w:tr>
        <w:tc>
          <w:tcPr>
            <w:tcW w:type="dxa" w:w="3135"/>
          </w:tcPr>
          <w:p>
            <w:r>
              <w:rPr>
                <w:sz w:val="20"/>
              </w:rPr>
              <w:t>Geen AOV</w:t>
            </w:r>
          </w:p>
        </w:tc>
        <w:tc>
          <w:tcPr>
            <w:tcW w:type="dxa" w:w="3135"/>
          </w:tcPr>
          <w:p>
            <w:r>
              <w:rPr>
                <w:sz w:val="20"/>
              </w:rPr>
              <w:t>HOOG (geen inkomen bij ziekte)</w:t>
            </w:r>
          </w:p>
        </w:tc>
        <w:tc>
          <w:tcPr>
            <w:tcW w:type="dxa" w:w="3135"/>
          </w:tcPr>
          <w:p>
            <w:r>
              <w:rPr>
                <w:sz w:val="20"/>
              </w:rPr>
              <w:t>AOV afsluiten NU, niet wachten tot 2030</w:t>
            </w:r>
          </w:p>
        </w:tc>
      </w:tr>
      <w:tr>
        <w:tc>
          <w:tcPr>
            <w:tcW w:type="dxa" w:w="3135"/>
          </w:tcPr>
          <w:p>
            <w:r>
              <w:rPr>
                <w:sz w:val="20"/>
              </w:rPr>
              <w:t>Late betalers</w:t>
            </w:r>
          </w:p>
        </w:tc>
        <w:tc>
          <w:tcPr>
            <w:tcW w:type="dxa" w:w="3135"/>
          </w:tcPr>
          <w:p>
            <w:r>
              <w:rPr>
                <w:sz w:val="20"/>
              </w:rPr>
              <w:t>MIDDEN (cashflow problemen)</w:t>
            </w:r>
          </w:p>
        </w:tc>
        <w:tc>
          <w:tcPr>
            <w:tcW w:type="dxa" w:w="3135"/>
          </w:tcPr>
          <w:p>
            <w:r>
              <w:rPr>
                <w:sz w:val="20"/>
              </w:rPr>
              <w:t>Duidelijke betalingsvoorwaarden + aanmaning</w:t>
            </w:r>
          </w:p>
        </w:tc>
      </w:tr>
      <w:tr>
        <w:tc>
          <w:tcPr>
            <w:tcW w:type="dxa" w:w="3135"/>
          </w:tcPr>
          <w:p>
            <w:r>
              <w:rPr>
                <w:sz w:val="20"/>
              </w:rPr>
              <w:t>Wet DBA risico</w:t>
            </w:r>
          </w:p>
        </w:tc>
        <w:tc>
          <w:tcPr>
            <w:tcW w:type="dxa" w:w="3135"/>
          </w:tcPr>
          <w:p>
            <w:r>
              <w:rPr>
                <w:sz w:val="20"/>
              </w:rPr>
              <w:t>MIDDEN (opdrachtgever trekt zich terug)</w:t>
            </w:r>
          </w:p>
        </w:tc>
        <w:tc>
          <w:tcPr>
            <w:tcW w:type="dxa" w:w="3135"/>
          </w:tcPr>
          <w:p>
            <w:r>
              <w:rPr>
                <w:sz w:val="20"/>
              </w:rPr>
              <w:t>Modelovereenkomst + ondernemersgedrag</w:t>
            </w:r>
          </w:p>
        </w:tc>
      </w:tr>
      <w:tr>
        <w:tc>
          <w:tcPr>
            <w:tcW w:type="dxa" w:w="3135"/>
          </w:tcPr>
          <w:p>
            <w:r>
              <w:rPr>
                <w:sz w:val="20"/>
              </w:rPr>
              <w:t>BTW niet op tijd</w:t>
            </w:r>
          </w:p>
        </w:tc>
        <w:tc>
          <w:tcPr>
            <w:tcW w:type="dxa" w:w="3135"/>
          </w:tcPr>
          <w:p>
            <w:r>
              <w:rPr>
                <w:sz w:val="20"/>
              </w:rPr>
              <w:t>MIDDEN (boetes, rente)</w:t>
            </w:r>
          </w:p>
        </w:tc>
        <w:tc>
          <w:tcPr>
            <w:tcW w:type="dxa" w:w="3135"/>
          </w:tcPr>
          <w:p>
            <w:r>
              <w:rPr>
                <w:sz w:val="20"/>
              </w:rPr>
              <w:t>Kalender reminders, automatische incasso</w:t>
            </w:r>
          </w:p>
        </w:tc>
      </w:tr>
      <w:tr>
        <w:tc>
          <w:tcPr>
            <w:tcW w:type="dxa" w:w="3135"/>
          </w:tcPr>
          <w:p>
            <w:r>
              <w:rPr>
                <w:sz w:val="20"/>
              </w:rPr>
              <w:t>Geen buffer</w:t>
            </w:r>
          </w:p>
        </w:tc>
        <w:tc>
          <w:tcPr>
            <w:tcW w:type="dxa" w:w="3135"/>
          </w:tcPr>
          <w:p>
            <w:r>
              <w:rPr>
                <w:sz w:val="20"/>
              </w:rPr>
              <w:t>HOOG (belasting aanslag kan niet betaald worden)</w:t>
            </w:r>
          </w:p>
        </w:tc>
        <w:tc>
          <w:tcPr>
            <w:tcW w:type="dxa" w:w="3135"/>
          </w:tcPr>
          <w:p>
            <w:r>
              <w:rPr>
                <w:sz w:val="20"/>
              </w:rPr>
              <w:t>3-6 maanden buffer opbouwen</w:t>
            </w:r>
          </w:p>
        </w:tc>
      </w:tr>
      <w:tr>
        <w:tc>
          <w:tcPr>
            <w:tcW w:type="dxa" w:w="3135"/>
          </w:tcPr>
          <w:p>
            <w:r>
              <w:rPr>
                <w:sz w:val="20"/>
              </w:rPr>
              <w:t>Onderaanneming</w:t>
            </w:r>
          </w:p>
        </w:tc>
        <w:tc>
          <w:tcPr>
            <w:tcW w:type="dxa" w:w="3135"/>
          </w:tcPr>
          <w:p>
            <w:r>
              <w:rPr>
                <w:sz w:val="20"/>
              </w:rPr>
              <w:t>LAAG (inlenersaansprakelijkheid)</w:t>
            </w:r>
          </w:p>
        </w:tc>
        <w:tc>
          <w:tcPr>
            <w:tcW w:type="dxa" w:w="3135"/>
          </w:tcPr>
          <w:p>
            <w:r>
              <w:rPr>
                <w:sz w:val="20"/>
              </w:rPr>
              <w:t>Contracten goed lezen, voorwaarden checken</w:t>
            </w:r>
          </w:p>
        </w:tc>
      </w:tr>
      <w:tr>
        <w:tc>
          <w:tcPr>
            <w:tcW w:type="dxa" w:w="3135"/>
          </w:tcPr>
          <w:p>
            <w:r>
              <w:rPr>
                <w:sz w:val="20"/>
              </w:rPr>
              <w:t>Burn-out</w:t>
            </w:r>
          </w:p>
        </w:tc>
        <w:tc>
          <w:tcPr>
            <w:tcW w:type="dxa" w:w="3135"/>
          </w:tcPr>
          <w:p>
            <w:r>
              <w:rPr>
                <w:sz w:val="20"/>
              </w:rPr>
              <w:t>MIDDEN (te veel uren, te weinig rust)</w:t>
            </w:r>
          </w:p>
        </w:tc>
        <w:tc>
          <w:tcPr>
            <w:tcW w:type="dxa" w:w="3135"/>
          </w:tcPr>
          <w:p>
            <w:r>
              <w:rPr>
                <w:sz w:val="20"/>
              </w:rPr>
              <w:t>Max 1.800 uren/jaar, vakantie inplannen</w:t>
            </w:r>
          </w:p>
        </w:tc>
      </w:tr>
      <w:tr>
        <w:tc>
          <w:tcPr>
            <w:tcW w:type="dxa" w:w="3135"/>
          </w:tcPr>
          <w:p>
            <w:r>
              <w:rPr>
                <w:sz w:val="20"/>
              </w:rPr>
              <w:t>AVG-overtreding</w:t>
            </w:r>
          </w:p>
        </w:tc>
        <w:tc>
          <w:tcPr>
            <w:tcW w:type="dxa" w:w="3135"/>
          </w:tcPr>
          <w:p>
            <w:r>
              <w:rPr>
                <w:sz w:val="20"/>
              </w:rPr>
              <w:t>HOOG (boetes tot €870.000)</w:t>
            </w:r>
          </w:p>
        </w:tc>
        <w:tc>
          <w:tcPr>
            <w:tcW w:type="dxa" w:w="3135"/>
          </w:tcPr>
          <w:p>
            <w:r>
              <w:rPr>
                <w:sz w:val="20"/>
              </w:rPr>
              <w:t>Verwerkersovereenkomst, beveiliging, bewaartermijnen</w:t>
            </w:r>
          </w:p>
        </w:tc>
      </w:tr>
    </w:tbl>
    <w:p>
      <w:pPr>
        <w:pStyle w:val="Heading2"/>
      </w:pPr>
      <w:r>
        <w:t>12.1 Gouden Regels</w:t>
      </w:r>
    </w:p>
    <w:p>
      <w:r>
        <w:rPr>
          <w:b/>
          <w:sz w:val="20"/>
        </w:rPr>
        <w:t>⚠ NOOIT voor één opdrachtgever werken — altijd meerdere klanten</w:t>
      </w:r>
    </w:p>
    <w:p>
      <w:r>
        <w:rPr>
          <w:b/>
          <w:sz w:val="20"/>
        </w:rPr>
        <w:t>⚠ ALTIJD een getekende modelovereenkomst VOORDAT je start</w:t>
      </w:r>
    </w:p>
    <w:p>
      <w:r>
        <w:rPr>
          <w:b/>
          <w:sz w:val="20"/>
        </w:rPr>
        <w:t>⚠ NOOIT facturen laat versturen — factureer direct na levering</w:t>
      </w:r>
    </w:p>
    <w:p>
      <w:r>
        <w:rPr>
          <w:b/>
          <w:sz w:val="20"/>
        </w:rPr>
        <w:t>⚠ ALTIJD uren registreren — elke dag, zonder uitzondering</w:t>
      </w:r>
    </w:p>
    <w:p>
      <w:r>
        <w:rPr>
          <w:b/>
          <w:sz w:val="20"/>
        </w:rPr>
        <w:t>⚠ ALTIJD btw reserveren — aparte spaarrekening opened</w:t>
      </w:r>
    </w:p>
    <w:p>
      <w:r>
        <w:rPr>
          <w:b/>
          <w:sz w:val="20"/>
        </w:rPr>
        <w:t>⚠ NOOIT privé- en zakelijke kosten mengen op één rekening</w:t>
      </w:r>
    </w:p>
    <w:p>
      <w:r>
        <w:rPr>
          <w:b/>
          <w:sz w:val="20"/>
        </w:rPr>
        <w:t>⚠ ALTIJD een financiële buffer aanhouden (3-6 maanden)</w:t>
      </w:r>
    </w:p>
    <w:p>
      <w:r>
        <w:br w:type="page"/>
      </w:r>
    </w:p>
    <w:p>
      <w:pPr>
        <w:pStyle w:val="Heading1"/>
      </w:pPr>
      <w:r>
        <w:t>Bijlagen</w:t>
      </w:r>
    </w:p>
    <w:p>
      <w:pPr>
        <w:pStyle w:val="Heading2"/>
      </w:pPr>
      <w:r>
        <w:t>Bijlage A: Model Opdrachtbevestiging</w:t>
      </w:r>
    </w:p>
    <w:p>
      <w:r>
        <w:t>Onderstaande opdrachtbevestiging fungeert als basisdocument per opdracht:</w:t>
      </w:r>
    </w:p>
    <w:p/>
    <w:tbl>
      <w:tblPr>
        <w:tblStyle w:val="LightGrid-Accent1"/>
        <w:tblW w:type="auto" w:w="0"/>
        <w:jc w:val="center"/>
        <w:tblLook w:firstColumn="1" w:firstRow="1" w:lastColumn="0" w:lastRow="0" w:noHBand="0" w:noVBand="1" w:val="04A0"/>
      </w:tblPr>
      <w:tblGrid>
        <w:gridCol w:w="4703"/>
        <w:gridCol w:w="4703"/>
      </w:tblGrid>
      <w:tr>
        <w:tc>
          <w:tcPr>
            <w:tcW w:type="dxa" w:w="4703"/>
          </w:tcPr>
          <w:p>
            <w:pPr>
              <w:jc w:val="left"/>
            </w:pPr>
            <w:r>
              <w:rPr>
                <w:b/>
                <w:color w:val="003366"/>
                <w:sz w:val="20"/>
              </w:rPr>
              <w:t>Veld</w:t>
            </w:r>
          </w:p>
        </w:tc>
        <w:tc>
          <w:tcPr>
            <w:tcW w:type="dxa" w:w="4703"/>
          </w:tcPr>
          <w:p>
            <w:pPr>
              <w:jc w:val="left"/>
            </w:pPr>
            <w:r>
              <w:rPr>
                <w:b/>
                <w:color w:val="003366"/>
                <w:sz w:val="20"/>
              </w:rPr>
              <w:t>Invulling</w:t>
            </w:r>
          </w:p>
        </w:tc>
      </w:tr>
      <w:tr>
        <w:tc>
          <w:tcPr>
            <w:tcW w:type="dxa" w:w="4703"/>
          </w:tcPr>
          <w:p>
            <w:r>
              <w:rPr>
                <w:sz w:val="20"/>
              </w:rPr>
              <w:t>Opdrachtgever</w:t>
            </w:r>
          </w:p>
        </w:tc>
        <w:tc>
          <w:tcPr>
            <w:tcW w:type="dxa" w:w="4703"/>
          </w:tcPr>
          <w:p>
            <w:r>
              <w:rPr>
                <w:sz w:val="20"/>
              </w:rPr>
              <w:t>[Naam bedrijfsnaam, KvK-nummer, adres]</w:t>
            </w:r>
          </w:p>
        </w:tc>
      </w:tr>
      <w:tr>
        <w:tc>
          <w:tcPr>
            <w:tcW w:type="dxa" w:w="4703"/>
          </w:tcPr>
          <w:p>
            <w:r>
              <w:rPr>
                <w:sz w:val="20"/>
              </w:rPr>
              <w:t>Opdrachtnemer</w:t>
            </w:r>
          </w:p>
        </w:tc>
        <w:tc>
          <w:tcPr>
            <w:tcW w:type="dxa" w:w="4703"/>
          </w:tcPr>
          <w:p>
            <w:r>
              <w:rPr>
                <w:sz w:val="20"/>
              </w:rPr>
              <w:t>Jorick van Gemert, [KvK-nummer], [adres]</w:t>
            </w:r>
          </w:p>
        </w:tc>
      </w:tr>
      <w:tr>
        <w:tc>
          <w:tcPr>
            <w:tcW w:type="dxa" w:w="4703"/>
          </w:tcPr>
          <w:p>
            <w:r>
              <w:rPr>
                <w:sz w:val="20"/>
              </w:rPr>
              <w:t>Opdrachtomschrijving</w:t>
            </w:r>
          </w:p>
        </w:tc>
        <w:tc>
          <w:tcPr>
            <w:tcW w:type="dxa" w:w="4703"/>
          </w:tcPr>
          <w:p>
            <w:r>
              <w:rPr>
                <w:sz w:val="20"/>
              </w:rPr>
              <w:t>[Concrete omschrijving werkzaamheden]</w:t>
            </w:r>
          </w:p>
        </w:tc>
      </w:tr>
      <w:tr>
        <w:tc>
          <w:tcPr>
            <w:tcW w:type="dxa" w:w="4703"/>
          </w:tcPr>
          <w:p>
            <w:r>
              <w:rPr>
                <w:sz w:val="20"/>
              </w:rPr>
              <w:t>Startdatum</w:t>
            </w:r>
          </w:p>
        </w:tc>
        <w:tc>
          <w:tcPr>
            <w:tcW w:type="dxa" w:w="4703"/>
          </w:tcPr>
          <w:p>
            <w:r>
              <w:rPr>
                <w:sz w:val="20"/>
              </w:rPr>
              <w:t>[Datum]</w:t>
            </w:r>
          </w:p>
        </w:tc>
      </w:tr>
      <w:tr>
        <w:tc>
          <w:tcPr>
            <w:tcW w:type="dxa" w:w="4703"/>
          </w:tcPr>
          <w:p>
            <w:r>
              <w:rPr>
                <w:sz w:val="20"/>
              </w:rPr>
              <w:t>Einddatum / doorlooptijd</w:t>
            </w:r>
          </w:p>
        </w:tc>
        <w:tc>
          <w:tcPr>
            <w:tcW w:type="dxa" w:w="4703"/>
          </w:tcPr>
          <w:p>
            <w:r>
              <w:rPr>
                <w:sz w:val="20"/>
              </w:rPr>
              <w:t>[Datum / aantal weken]</w:t>
            </w:r>
          </w:p>
        </w:tc>
      </w:tr>
      <w:tr>
        <w:tc>
          <w:tcPr>
            <w:tcW w:type="dxa" w:w="4703"/>
          </w:tcPr>
          <w:p>
            <w:r>
              <w:rPr>
                <w:sz w:val="20"/>
              </w:rPr>
              <w:t>Uurtarief / Dagtarief</w:t>
            </w:r>
          </w:p>
        </w:tc>
        <w:tc>
          <w:tcPr>
            <w:tcW w:type="dxa" w:w="4703"/>
          </w:tcPr>
          <w:p>
            <w:r>
              <w:rPr>
                <w:sz w:val="20"/>
              </w:rPr>
              <w:t>€[bedrag] exclusief 21% btw</w:t>
            </w:r>
          </w:p>
        </w:tc>
      </w:tr>
      <w:tr>
        <w:tc>
          <w:tcPr>
            <w:tcW w:type="dxa" w:w="4703"/>
          </w:tcPr>
          <w:p>
            <w:r>
              <w:rPr>
                <w:sz w:val="20"/>
              </w:rPr>
              <w:t>Maximale omvang</w:t>
            </w:r>
          </w:p>
        </w:tc>
        <w:tc>
          <w:tcPr>
            <w:tcW w:type="dxa" w:w="4703"/>
          </w:tcPr>
          <w:p>
            <w:r>
              <w:rPr>
                <w:sz w:val="20"/>
              </w:rPr>
              <w:t>[Uren / dagen]</w:t>
            </w:r>
          </w:p>
        </w:tc>
      </w:tr>
      <w:tr>
        <w:tc>
          <w:tcPr>
            <w:tcW w:type="dxa" w:w="4703"/>
          </w:tcPr>
          <w:p>
            <w:r>
              <w:rPr>
                <w:sz w:val="20"/>
              </w:rPr>
              <w:t>Betalingsvoorwaarden</w:t>
            </w:r>
          </w:p>
        </w:tc>
        <w:tc>
          <w:tcPr>
            <w:tcW w:type="dxa" w:w="4703"/>
          </w:tcPr>
          <w:p>
            <w:r>
              <w:rPr>
                <w:sz w:val="20"/>
              </w:rPr>
              <w:t>Betaling binnen 14/30 dagen na factuurdatum</w:t>
            </w:r>
          </w:p>
        </w:tc>
      </w:tr>
      <w:tr>
        <w:tc>
          <w:tcPr>
            <w:tcW w:type="dxa" w:w="4703"/>
          </w:tcPr>
          <w:p>
            <w:r>
              <w:rPr>
                <w:sz w:val="20"/>
              </w:rPr>
              <w:t>Modelovereenkomst</w:t>
            </w:r>
          </w:p>
        </w:tc>
        <w:tc>
          <w:tcPr>
            <w:tcW w:type="dxa" w:w="4703"/>
          </w:tcPr>
          <w:p>
            <w:r>
              <w:rPr>
                <w:sz w:val="20"/>
              </w:rPr>
              <w:t>Bijgevoegd (Belastingdienst model Y2019-xx)</w:t>
            </w:r>
          </w:p>
        </w:tc>
      </w:tr>
      <w:tr>
        <w:tc>
          <w:tcPr>
            <w:tcW w:type="dxa" w:w="4703"/>
          </w:tcPr>
          <w:p>
            <w:r>
              <w:rPr>
                <w:sz w:val="20"/>
              </w:rPr>
              <w:t>Geheimhouding</w:t>
            </w:r>
          </w:p>
        </w:tc>
        <w:tc>
          <w:tcPr>
            <w:tcW w:type="dxa" w:w="4703"/>
          </w:tcPr>
          <w:p>
            <w:r>
              <w:rPr>
                <w:sz w:val="20"/>
              </w:rPr>
              <w:t>NDA van toepassing (ja/nee)</w:t>
            </w:r>
          </w:p>
        </w:tc>
      </w:tr>
      <w:tr>
        <w:tc>
          <w:tcPr>
            <w:tcW w:type="dxa" w:w="4703"/>
          </w:tcPr>
          <w:p>
            <w:r>
              <w:rPr>
                <w:sz w:val="20"/>
              </w:rPr>
              <w:t>Aansprakelijkheid</w:t>
            </w:r>
          </w:p>
        </w:tc>
        <w:tc>
          <w:tcPr>
            <w:tcW w:type="dxa" w:w="4703"/>
          </w:tcPr>
          <w:p>
            <w:r>
              <w:rPr>
                <w:sz w:val="20"/>
              </w:rPr>
              <w:t>Beperkt tot directe schade, max. [bedrag]</w:t>
            </w:r>
          </w:p>
        </w:tc>
      </w:tr>
      <w:tr>
        <w:tc>
          <w:tcPr>
            <w:tcW w:type="dxa" w:w="4703"/>
          </w:tcPr>
          <w:p>
            <w:r>
              <w:rPr>
                <w:sz w:val="20"/>
              </w:rPr>
              <w:t>Geschillen</w:t>
            </w:r>
          </w:p>
        </w:tc>
        <w:tc>
          <w:tcPr>
            <w:tcW w:type="dxa" w:w="4703"/>
          </w:tcPr>
          <w:p>
            <w:r>
              <w:rPr>
                <w:sz w:val="20"/>
              </w:rPr>
              <w:t>Bevoegde rechtbank: [plaats]</w:t>
            </w:r>
          </w:p>
        </w:tc>
      </w:tr>
      <w:tr>
        <w:tc>
          <w:tcPr>
            <w:tcW w:type="dxa" w:w="4703"/>
          </w:tcPr>
          <w:p>
            <w:r>
              <w:rPr>
                <w:sz w:val="20"/>
              </w:rPr>
              <w:t>Handtekening opdrachtgever</w:t>
            </w:r>
          </w:p>
        </w:tc>
        <w:tc>
          <w:tcPr>
            <w:tcW w:type="dxa" w:w="4703"/>
          </w:tcPr>
          <w:p>
            <w:r>
              <w:rPr>
                <w:sz w:val="20"/>
              </w:rPr>
              <w:t>_________________________ Datum: ________</w:t>
            </w:r>
          </w:p>
        </w:tc>
      </w:tr>
      <w:tr>
        <w:tc>
          <w:tcPr>
            <w:tcW w:type="dxa" w:w="4703"/>
          </w:tcPr>
          <w:p>
            <w:r>
              <w:rPr>
                <w:sz w:val="20"/>
              </w:rPr>
              <w:t>Handtekening opdrachtnemer</w:t>
            </w:r>
          </w:p>
        </w:tc>
        <w:tc>
          <w:tcPr>
            <w:tcW w:type="dxa" w:w="4703"/>
          </w:tcPr>
          <w:p>
            <w:r>
              <w:rPr>
                <w:sz w:val="20"/>
              </w:rPr>
              <w:t>_________________________ Datum: ________</w:t>
            </w:r>
          </w:p>
        </w:tc>
      </w:tr>
    </w:tbl>
    <w:p>
      <w:r>
        <w:br w:type="page"/>
      </w:r>
    </w:p>
    <w:p>
      <w:pPr>
        <w:pStyle w:val="Heading2"/>
      </w:pPr>
      <w:r>
        <w:t>Bijlage B: Checklist Startende ZZP'er</w:t>
      </w:r>
    </w:p>
    <w:p>
      <w:r>
        <w:t>Volledige checklist — vink af na afronding:</w:t>
      </w:r>
    </w:p>
    <w:p>
      <w:pPr>
        <w:pStyle w:val="Heading3"/>
      </w:pPr>
      <w:r>
        <w:t>KvK &amp; Rechtsvorm</w:t>
      </w:r>
    </w:p>
    <w:p>
      <w:pPr>
        <w:spacing w:after="60"/>
        <w:ind w:left="283"/>
      </w:pPr>
      <w:r>
        <w:rPr>
          <w:sz w:val="20"/>
        </w:rPr>
        <w:t>☐  Handelsnaam gecontroleerd op beschikbaarheid</w:t>
      </w:r>
    </w:p>
    <w:p>
      <w:pPr>
        <w:spacing w:after="60"/>
        <w:ind w:left="283"/>
      </w:pPr>
      <w:r>
        <w:rPr>
          <w:sz w:val="20"/>
        </w:rPr>
        <w:t>☐  KvK-inschrijving voltooid</w:t>
      </w:r>
    </w:p>
    <w:p>
      <w:pPr>
        <w:spacing w:after="60"/>
        <w:ind w:left="283"/>
      </w:pPr>
      <w:r>
        <w:rPr>
          <w:sz w:val="20"/>
        </w:rPr>
        <w:t>☐  KvK-nummer ontvangen</w:t>
      </w:r>
    </w:p>
    <w:p>
      <w:pPr>
        <w:spacing w:after="60"/>
        <w:ind w:left="283"/>
      </w:pPr>
      <w:r>
        <w:rPr>
          <w:sz w:val="20"/>
        </w:rPr>
        <w:t>☐  BTW-nummer ontvangen</w:t>
      </w:r>
    </w:p>
    <w:p>
      <w:pPr>
        <w:spacing w:after="60"/>
        <w:ind w:left="283"/>
      </w:pPr>
      <w:r>
        <w:rPr>
          <w:sz w:val="20"/>
        </w:rPr>
        <w:t>☐  SBI-codes geselecteerd</w:t>
      </w:r>
    </w:p>
    <w:p>
      <w:pPr>
        <w:spacing w:after="60"/>
        <w:ind w:left="283"/>
      </w:pPr>
      <w:r>
        <w:rPr>
          <w:sz w:val="20"/>
        </w:rPr>
        <w:t>☐  Uittreksel Handelsregister ontvangen</w:t>
      </w:r>
    </w:p>
    <w:p>
      <w:pPr>
        <w:pStyle w:val="Heading3"/>
      </w:pPr>
      <w:r>
        <w:t>Bank &amp; Financiën</w:t>
      </w:r>
    </w:p>
    <w:p>
      <w:pPr>
        <w:spacing w:after="60"/>
        <w:ind w:left="283"/>
      </w:pPr>
      <w:r>
        <w:rPr>
          <w:sz w:val="20"/>
        </w:rPr>
        <w:t>☐  Zakelijke bankrekening geopend</w:t>
      </w:r>
    </w:p>
    <w:p>
      <w:pPr>
        <w:spacing w:after="60"/>
        <w:ind w:left="283"/>
      </w:pPr>
      <w:r>
        <w:rPr>
          <w:sz w:val="20"/>
        </w:rPr>
        <w:t>☐  Herkomstcheck bank voltooid</w:t>
      </w:r>
    </w:p>
    <w:p>
      <w:pPr>
        <w:spacing w:after="60"/>
        <w:ind w:left="283"/>
      </w:pPr>
      <w:r>
        <w:rPr>
          <w:sz w:val="20"/>
        </w:rPr>
        <w:t>☐  BTW-spaarrekening geopend</w:t>
      </w:r>
    </w:p>
    <w:p>
      <w:pPr>
        <w:spacing w:after="60"/>
        <w:ind w:left="283"/>
      </w:pPr>
      <w:r>
        <w:rPr>
          <w:sz w:val="20"/>
        </w:rPr>
        <w:t>☐  Boekhoudsoftware geïnstalleerd en geconfigureerd</w:t>
      </w:r>
    </w:p>
    <w:p>
      <w:pPr>
        <w:spacing w:after="60"/>
        <w:ind w:left="283"/>
      </w:pPr>
      <w:r>
        <w:rPr>
          <w:sz w:val="20"/>
        </w:rPr>
        <w:t>☐  Liquiditeitsbuffer opgebouwd (min. €10.000)</w:t>
      </w:r>
    </w:p>
    <w:p>
      <w:pPr>
        <w:pStyle w:val="Heading3"/>
      </w:pPr>
      <w:r>
        <w:t>Verzekeringen</w:t>
      </w:r>
    </w:p>
    <w:p>
      <w:pPr>
        <w:spacing w:after="60"/>
        <w:ind w:left="283"/>
      </w:pPr>
      <w:r>
        <w:rPr>
          <w:sz w:val="20"/>
        </w:rPr>
        <w:t>☐  Zorgverzekering geactiveerd/overzetten</w:t>
      </w:r>
    </w:p>
    <w:p>
      <w:pPr>
        <w:spacing w:after="60"/>
        <w:ind w:left="283"/>
      </w:pPr>
      <w:r>
        <w:rPr>
          <w:sz w:val="20"/>
        </w:rPr>
        <w:t>☐  AVB afgesloten</w:t>
      </w:r>
    </w:p>
    <w:p>
      <w:pPr>
        <w:spacing w:after="60"/>
        <w:ind w:left="283"/>
      </w:pPr>
      <w:r>
        <w:rPr>
          <w:sz w:val="20"/>
        </w:rPr>
        <w:t>☐  Beroepsaansprakelijkheid afgesloten</w:t>
      </w:r>
    </w:p>
    <w:p>
      <w:pPr>
        <w:spacing w:after="60"/>
        <w:ind w:left="283"/>
      </w:pPr>
      <w:r>
        <w:rPr>
          <w:sz w:val="20"/>
        </w:rPr>
        <w:t>☐  AOV aangevraagd (of bewuste keuze niet, gedocumenteerd)</w:t>
      </w:r>
    </w:p>
    <w:p>
      <w:pPr>
        <w:spacing w:after="60"/>
        <w:ind w:left="283"/>
      </w:pPr>
      <w:r>
        <w:rPr>
          <w:sz w:val="20"/>
        </w:rPr>
        <w:t>☐  Rechtsbijstand overwogen</w:t>
      </w:r>
    </w:p>
    <w:p>
      <w:pPr>
        <w:pStyle w:val="Heading3"/>
      </w:pPr>
      <w:r>
        <w:t>Juridisch &amp; Contracten</w:t>
      </w:r>
    </w:p>
    <w:p>
      <w:pPr>
        <w:spacing w:after="60"/>
        <w:ind w:left="283"/>
      </w:pPr>
      <w:r>
        <w:rPr>
          <w:sz w:val="20"/>
        </w:rPr>
        <w:t>☐  Modelovereenkomst gedownload en aangepast</w:t>
      </w:r>
    </w:p>
    <w:p>
      <w:pPr>
        <w:spacing w:after="60"/>
        <w:ind w:left="283"/>
      </w:pPr>
      <w:r>
        <w:rPr>
          <w:sz w:val="20"/>
        </w:rPr>
        <w:t>☐  Algemene voorwaarden opgesteld</w:t>
      </w:r>
    </w:p>
    <w:p>
      <w:pPr>
        <w:spacing w:after="60"/>
        <w:ind w:left="283"/>
      </w:pPr>
      <w:r>
        <w:rPr>
          <w:sz w:val="20"/>
        </w:rPr>
        <w:t>☐  Algemene voorwaarden gedeponeerd bij KvK</w:t>
      </w:r>
    </w:p>
    <w:p>
      <w:pPr>
        <w:spacing w:after="60"/>
        <w:ind w:left="283"/>
      </w:pPr>
      <w:r>
        <w:rPr>
          <w:sz w:val="20"/>
        </w:rPr>
        <w:t>☐  NDA-template klaargezet</w:t>
      </w:r>
    </w:p>
    <w:p>
      <w:pPr>
        <w:spacing w:after="60"/>
        <w:ind w:left="283"/>
      </w:pPr>
      <w:r>
        <w:rPr>
          <w:sz w:val="20"/>
        </w:rPr>
        <w:t>☐  Factuur-template ontworpen (wettelijk compleet)</w:t>
      </w:r>
    </w:p>
    <w:p>
      <w:pPr>
        <w:pStyle w:val="Heading3"/>
      </w:pPr>
      <w:r>
        <w:t>Acquisitie &amp; Marketing</w:t>
      </w:r>
    </w:p>
    <w:p>
      <w:pPr>
        <w:spacing w:after="60"/>
        <w:ind w:left="283"/>
      </w:pPr>
      <w:r>
        <w:rPr>
          <w:sz w:val="20"/>
        </w:rPr>
        <w:t>☐  LinkedIn-profiel geoptimaliseerd</w:t>
      </w:r>
    </w:p>
    <w:p>
      <w:pPr>
        <w:spacing w:after="60"/>
        <w:ind w:left="283"/>
      </w:pPr>
      <w:r>
        <w:rPr>
          <w:sz w:val="20"/>
        </w:rPr>
        <w:t>☐  Professionele profielfoto geplaatst</w:t>
      </w:r>
    </w:p>
    <w:p>
      <w:pPr>
        <w:spacing w:after="60"/>
        <w:ind w:left="283"/>
      </w:pPr>
      <w:r>
        <w:rPr>
          <w:sz w:val="20"/>
        </w:rPr>
        <w:t>☐  Geregistreerd bij interim bureaus (min. 3)</w:t>
      </w:r>
    </w:p>
    <w:p>
      <w:pPr>
        <w:spacing w:after="60"/>
        <w:ind w:left="283"/>
      </w:pPr>
      <w:r>
        <w:rPr>
          <w:sz w:val="20"/>
        </w:rPr>
        <w:t>☐  Eerste netwerk-uitnodigingen verstuurd</w:t>
      </w:r>
    </w:p>
    <w:p>
      <w:pPr>
        <w:spacing w:after="60"/>
        <w:ind w:left="283"/>
      </w:pPr>
      <w:r>
        <w:rPr>
          <w:sz w:val="20"/>
        </w:rPr>
        <w:t>☐  Eerste LinkedIn post gepubliceerd</w:t>
      </w:r>
    </w:p>
    <w:p>
      <w:pPr>
        <w:pStyle w:val="Heading3"/>
      </w:pPr>
      <w:r>
        <w:t>Administratie &amp; Routine</w:t>
      </w:r>
    </w:p>
    <w:p>
      <w:pPr>
        <w:spacing w:after="60"/>
        <w:ind w:left="283"/>
      </w:pPr>
      <w:r>
        <w:rPr>
          <w:sz w:val="20"/>
        </w:rPr>
        <w:t>☐  Urenregistratie-systeem actief</w:t>
      </w:r>
    </w:p>
    <w:p>
      <w:pPr>
        <w:spacing w:after="60"/>
        <w:ind w:left="283"/>
      </w:pPr>
      <w:r>
        <w:rPr>
          <w:sz w:val="20"/>
        </w:rPr>
        <w:t>☐  Bonnen-map (digitaal) ingericht</w:t>
      </w:r>
    </w:p>
    <w:p>
      <w:pPr>
        <w:spacing w:after="60"/>
        <w:ind w:left="283"/>
      </w:pPr>
      <w:r>
        <w:rPr>
          <w:sz w:val="20"/>
        </w:rPr>
        <w:t>☐  Btw-aangifte kalender ingesteld</w:t>
      </w:r>
    </w:p>
    <w:p>
      <w:pPr>
        <w:spacing w:after="60"/>
        <w:ind w:left="283"/>
      </w:pPr>
      <w:r>
        <w:rPr>
          <w:sz w:val="20"/>
        </w:rPr>
        <w:t>☐  Backup-regeling geactiveerd (cloud + lokaal)</w:t>
      </w:r>
    </w:p>
    <w:p>
      <w:r>
        <w:br w:type="page"/>
      </w:r>
    </w:p>
    <w:p>
      <w:pPr>
        <w:pStyle w:val="Heading2"/>
      </w:pPr>
      <w:r>
        <w:t>Bijlage C: Voorbeeld Factuur</w:t>
      </w:r>
    </w:p>
    <w:p/>
    <w:tbl>
      <w:tblPr>
        <w:tblStyle w:val="LightGrid-Accent1"/>
        <w:tblW w:type="auto" w:w="0"/>
        <w:jc w:val="center"/>
        <w:tblLook w:firstColumn="1" w:firstRow="1" w:lastColumn="0" w:lastRow="0" w:noHBand="0" w:noVBand="1" w:val="04A0"/>
      </w:tblPr>
      <w:tblGrid>
        <w:gridCol w:w="4703"/>
        <w:gridCol w:w="4703"/>
      </w:tblGrid>
      <w:tr>
        <w:tc>
          <w:tcPr>
            <w:tcW w:type="dxa" w:w="4703"/>
          </w:tcPr>
          <w:p>
            <w:pPr>
              <w:jc w:val="left"/>
            </w:pPr>
            <w:r>
              <w:rPr>
                <w:b/>
                <w:color w:val="003366"/>
                <w:sz w:val="20"/>
              </w:rPr>
            </w:r>
          </w:p>
        </w:tc>
        <w:tc>
          <w:tcPr>
            <w:tcW w:type="dxa" w:w="4703"/>
          </w:tcPr>
          <w:p>
            <w:pPr>
              <w:jc w:val="left"/>
            </w:pPr>
            <w:r>
              <w:rPr>
                <w:b/>
                <w:color w:val="003366"/>
                <w:sz w:val="20"/>
              </w:rPr>
            </w:r>
          </w:p>
        </w:tc>
      </w:tr>
      <w:tr>
        <w:tc>
          <w:tcPr>
            <w:tcW w:type="dxa" w:w="4703"/>
          </w:tcPr>
          <w:p>
            <w:r>
              <w:rPr>
                <w:sz w:val="20"/>
              </w:rPr>
              <w:t>Jorick van Gemert — HHC Consultancy</w:t>
            </w:r>
          </w:p>
        </w:tc>
        <w:tc>
          <w:tcPr>
            <w:tcW w:type="dxa" w:w="4703"/>
          </w:tcPr>
          <w:p>
            <w:r>
              <w:rPr>
                <w:sz w:val="20"/>
              </w:rPr>
            </w:r>
          </w:p>
        </w:tc>
      </w:tr>
      <w:tr>
        <w:tc>
          <w:tcPr>
            <w:tcW w:type="dxa" w:w="4703"/>
          </w:tcPr>
          <w:p>
            <w:r>
              <w:rPr>
                <w:sz w:val="20"/>
              </w:rPr>
              <w:t>[Straatnaam 1, 1851 KE Heiloo]</w:t>
            </w:r>
          </w:p>
        </w:tc>
        <w:tc>
          <w:tcPr>
            <w:tcW w:type="dxa" w:w="4703"/>
          </w:tcPr>
          <w:p>
            <w:r>
              <w:rPr>
                <w:sz w:val="20"/>
              </w:rPr>
            </w:r>
          </w:p>
        </w:tc>
      </w:tr>
      <w:tr>
        <w:tc>
          <w:tcPr>
            <w:tcW w:type="dxa" w:w="4703"/>
          </w:tcPr>
          <w:p>
            <w:r>
              <w:rPr>
                <w:sz w:val="20"/>
              </w:rPr>
              <w:t>KvK: [nummer] | BTW: NL[nummer]</w:t>
            </w:r>
          </w:p>
        </w:tc>
        <w:tc>
          <w:tcPr>
            <w:tcW w:type="dxa" w:w="4703"/>
          </w:tcPr>
          <w:p>
            <w:r>
              <w:rPr>
                <w:sz w:val="20"/>
              </w:rPr>
            </w:r>
          </w:p>
        </w:tc>
      </w:tr>
      <w:tr>
        <w:tc>
          <w:tcPr>
            <w:tcW w:type="dxa" w:w="4703"/>
          </w:tcPr>
          <w:p>
            <w:r>
              <w:rPr>
                <w:sz w:val="20"/>
              </w:rPr>
              <w:t>Bank: NL[IBAN] | Tel: [nummer]</w:t>
            </w:r>
          </w:p>
        </w:tc>
        <w:tc>
          <w:tcPr>
            <w:tcW w:type="dxa" w:w="4703"/>
          </w:tcPr>
          <w:p>
            <w:r>
              <w:rPr>
                <w:sz w:val="20"/>
              </w:rPr>
            </w:r>
          </w:p>
        </w:tc>
      </w:tr>
      <w:tr>
        <w:tc>
          <w:tcPr>
            <w:tcW w:type="dxa" w:w="4703"/>
          </w:tcPr>
          <w:p>
            <w:r>
              <w:rPr>
                <w:sz w:val="20"/>
              </w:rPr>
            </w:r>
          </w:p>
        </w:tc>
        <w:tc>
          <w:tcPr>
            <w:tcW w:type="dxa" w:w="4703"/>
          </w:tcPr>
          <w:p>
            <w:r>
              <w:rPr>
                <w:sz w:val="20"/>
              </w:rPr>
            </w:r>
          </w:p>
        </w:tc>
      </w:tr>
      <w:tr>
        <w:tc>
          <w:tcPr>
            <w:tcW w:type="dxa" w:w="4703"/>
          </w:tcPr>
          <w:p>
            <w:r>
              <w:rPr>
                <w:sz w:val="20"/>
              </w:rPr>
              <w:t>FACTUUR</w:t>
            </w:r>
          </w:p>
        </w:tc>
        <w:tc>
          <w:tcPr>
            <w:tcW w:type="dxa" w:w="4703"/>
          </w:tcPr>
          <w:p>
            <w:r>
              <w:rPr>
                <w:sz w:val="20"/>
              </w:rPr>
            </w:r>
          </w:p>
        </w:tc>
      </w:tr>
      <w:tr>
        <w:tc>
          <w:tcPr>
            <w:tcW w:type="dxa" w:w="4703"/>
          </w:tcPr>
          <w:p>
            <w:r>
              <w:rPr>
                <w:sz w:val="20"/>
              </w:rPr>
              <w:t>Factuurnummer:</w:t>
            </w:r>
          </w:p>
        </w:tc>
        <w:tc>
          <w:tcPr>
            <w:tcW w:type="dxa" w:w="4703"/>
          </w:tcPr>
          <w:p>
            <w:r>
              <w:rPr>
                <w:sz w:val="20"/>
              </w:rPr>
              <w:t>2026-001</w:t>
            </w:r>
          </w:p>
        </w:tc>
      </w:tr>
      <w:tr>
        <w:tc>
          <w:tcPr>
            <w:tcW w:type="dxa" w:w="4703"/>
          </w:tcPr>
          <w:p>
            <w:r>
              <w:rPr>
                <w:sz w:val="20"/>
              </w:rPr>
              <w:t>Factuurdatum:</w:t>
            </w:r>
          </w:p>
        </w:tc>
        <w:tc>
          <w:tcPr>
            <w:tcW w:type="dxa" w:w="4703"/>
          </w:tcPr>
          <w:p>
            <w:r>
              <w:rPr>
                <w:sz w:val="20"/>
              </w:rPr>
              <w:t>[datum]</w:t>
            </w:r>
          </w:p>
        </w:tc>
      </w:tr>
      <w:tr>
        <w:tc>
          <w:tcPr>
            <w:tcW w:type="dxa" w:w="4703"/>
          </w:tcPr>
          <w:p>
            <w:r>
              <w:rPr>
                <w:sz w:val="20"/>
              </w:rPr>
              <w:t>Vervaldatum:</w:t>
            </w:r>
          </w:p>
        </w:tc>
        <w:tc>
          <w:tcPr>
            <w:tcW w:type="dxa" w:w="4703"/>
          </w:tcPr>
          <w:p>
            <w:r>
              <w:rPr>
                <w:sz w:val="20"/>
              </w:rPr>
              <w:t>[datum + 30 dagen]</w:t>
            </w:r>
          </w:p>
        </w:tc>
      </w:tr>
      <w:tr>
        <w:tc>
          <w:tcPr>
            <w:tcW w:type="dxa" w:w="4703"/>
          </w:tcPr>
          <w:p>
            <w:r>
              <w:rPr>
                <w:sz w:val="20"/>
              </w:rPr>
            </w:r>
          </w:p>
        </w:tc>
        <w:tc>
          <w:tcPr>
            <w:tcW w:type="dxa" w:w="4703"/>
          </w:tcPr>
          <w:p>
            <w:r>
              <w:rPr>
                <w:sz w:val="20"/>
              </w:rPr>
            </w:r>
          </w:p>
        </w:tc>
      </w:tr>
      <w:tr>
        <w:tc>
          <w:tcPr>
            <w:tcW w:type="dxa" w:w="4703"/>
          </w:tcPr>
          <w:p>
            <w:r>
              <w:rPr>
                <w:sz w:val="20"/>
              </w:rPr>
              <w:t>Opdrachtgever:</w:t>
            </w:r>
          </w:p>
        </w:tc>
        <w:tc>
          <w:tcPr>
            <w:tcW w:type="dxa" w:w="4703"/>
          </w:tcPr>
          <w:p>
            <w:r>
              <w:rPr>
                <w:sz w:val="20"/>
              </w:rPr>
              <w:t>[Bedrijfsnaam]</w:t>
            </w:r>
          </w:p>
        </w:tc>
      </w:tr>
      <w:tr>
        <w:tc>
          <w:tcPr>
            <w:tcW w:type="dxa" w:w="4703"/>
          </w:tcPr>
          <w:p>
            <w:r>
              <w:rPr>
                <w:sz w:val="20"/>
              </w:rPr>
              <w:t>[Adres opdrachtgever]</w:t>
            </w:r>
          </w:p>
        </w:tc>
        <w:tc>
          <w:tcPr>
            <w:tcW w:type="dxa" w:w="4703"/>
          </w:tcPr>
          <w:p>
            <w:r>
              <w:rPr>
                <w:sz w:val="20"/>
              </w:rPr>
            </w:r>
          </w:p>
        </w:tc>
      </w:tr>
      <w:tr>
        <w:tc>
          <w:tcPr>
            <w:tcW w:type="dxa" w:w="4703"/>
          </w:tcPr>
          <w:p>
            <w:r>
              <w:rPr>
                <w:sz w:val="20"/>
              </w:rPr>
            </w:r>
          </w:p>
        </w:tc>
        <w:tc>
          <w:tcPr>
            <w:tcW w:type="dxa" w:w="4703"/>
          </w:tcPr>
          <w:p>
            <w:r>
              <w:rPr>
                <w:sz w:val="20"/>
              </w:rPr>
            </w:r>
          </w:p>
        </w:tc>
      </w:tr>
      <w:tr>
        <w:tc>
          <w:tcPr>
            <w:tcW w:type="dxa" w:w="4703"/>
          </w:tcPr>
          <w:p>
            <w:r>
              <w:rPr>
                <w:sz w:val="20"/>
              </w:rPr>
              <w:t>Omschrijving</w:t>
            </w:r>
          </w:p>
        </w:tc>
        <w:tc>
          <w:tcPr>
            <w:tcW w:type="dxa" w:w="4703"/>
          </w:tcPr>
          <w:p>
            <w:r>
              <w:rPr>
                <w:sz w:val="20"/>
              </w:rPr>
              <w:t>Bedrag</w:t>
            </w:r>
          </w:p>
        </w:tc>
      </w:tr>
      <w:tr>
        <w:tc>
          <w:tcPr>
            <w:tcW w:type="dxa" w:w="4703"/>
          </w:tcPr>
          <w:p>
            <w:r>
              <w:rPr>
                <w:sz w:val="20"/>
              </w:rPr>
              <w:t>Interim management HHC — Week 22 (40 uur × €100)</w:t>
            </w:r>
          </w:p>
        </w:tc>
        <w:tc>
          <w:tcPr>
            <w:tcW w:type="dxa" w:w="4703"/>
          </w:tcPr>
          <w:p>
            <w:r>
              <w:rPr>
                <w:sz w:val="20"/>
              </w:rPr>
              <w:t>€4.000,00</w:t>
            </w:r>
          </w:p>
        </w:tc>
      </w:tr>
      <w:tr>
        <w:tc>
          <w:tcPr>
            <w:tcW w:type="dxa" w:w="4703"/>
          </w:tcPr>
          <w:p>
            <w:r>
              <w:rPr>
                <w:sz w:val="20"/>
              </w:rPr>
            </w:r>
          </w:p>
        </w:tc>
        <w:tc>
          <w:tcPr>
            <w:tcW w:type="dxa" w:w="4703"/>
          </w:tcPr>
          <w:p>
            <w:r>
              <w:rPr>
                <w:sz w:val="20"/>
              </w:rPr>
            </w:r>
          </w:p>
        </w:tc>
      </w:tr>
      <w:tr>
        <w:tc>
          <w:tcPr>
            <w:tcW w:type="dxa" w:w="4703"/>
          </w:tcPr>
          <w:p>
            <w:r>
              <w:rPr>
                <w:sz w:val="20"/>
              </w:rPr>
              <w:t>Subtotaal exclusief btw</w:t>
            </w:r>
          </w:p>
        </w:tc>
        <w:tc>
          <w:tcPr>
            <w:tcW w:type="dxa" w:w="4703"/>
          </w:tcPr>
          <w:p>
            <w:r>
              <w:rPr>
                <w:sz w:val="20"/>
              </w:rPr>
              <w:t>€4.000,00</w:t>
            </w:r>
          </w:p>
        </w:tc>
      </w:tr>
      <w:tr>
        <w:tc>
          <w:tcPr>
            <w:tcW w:type="dxa" w:w="4703"/>
          </w:tcPr>
          <w:p>
            <w:r>
              <w:rPr>
                <w:sz w:val="20"/>
              </w:rPr>
              <w:t>BTW 21%</w:t>
            </w:r>
          </w:p>
        </w:tc>
        <w:tc>
          <w:tcPr>
            <w:tcW w:type="dxa" w:w="4703"/>
          </w:tcPr>
          <w:p>
            <w:r>
              <w:rPr>
                <w:sz w:val="20"/>
              </w:rPr>
              <w:t>€840,00</w:t>
            </w:r>
          </w:p>
        </w:tc>
      </w:tr>
      <w:tr>
        <w:tc>
          <w:tcPr>
            <w:tcW w:type="dxa" w:w="4703"/>
          </w:tcPr>
          <w:p>
            <w:r>
              <w:rPr>
                <w:sz w:val="20"/>
              </w:rPr>
              <w:t>TOTAAL</w:t>
            </w:r>
          </w:p>
        </w:tc>
        <w:tc>
          <w:tcPr>
            <w:tcW w:type="dxa" w:w="4703"/>
          </w:tcPr>
          <w:p>
            <w:r>
              <w:rPr>
                <w:sz w:val="20"/>
              </w:rPr>
              <w:t>€4.840,00</w:t>
            </w:r>
          </w:p>
        </w:tc>
      </w:tr>
      <w:tr>
        <w:tc>
          <w:tcPr>
            <w:tcW w:type="dxa" w:w="4703"/>
          </w:tcPr>
          <w:p>
            <w:r>
              <w:rPr>
                <w:sz w:val="20"/>
              </w:rPr>
            </w:r>
          </w:p>
        </w:tc>
        <w:tc>
          <w:tcPr>
            <w:tcW w:type="dxa" w:w="4703"/>
          </w:tcPr>
          <w:p>
            <w:r>
              <w:rPr>
                <w:sz w:val="20"/>
              </w:rPr>
            </w:r>
          </w:p>
        </w:tc>
      </w:tr>
      <w:tr>
        <w:tc>
          <w:tcPr>
            <w:tcW w:type="dxa" w:w="4703"/>
          </w:tcPr>
          <w:p>
            <w:r>
              <w:rPr>
                <w:sz w:val="20"/>
              </w:rPr>
              <w:t>Betaling:</w:t>
            </w:r>
          </w:p>
        </w:tc>
        <w:tc>
          <w:tcPr>
            <w:tcW w:type="dxa" w:w="4703"/>
          </w:tcPr>
          <w:p>
            <w:r>
              <w:rPr>
                <w:sz w:val="20"/>
              </w:rPr>
              <w:t>Binnen 30 dagen op NL[IBAN] t.n.v. J. van Gemert</w:t>
            </w:r>
          </w:p>
        </w:tc>
      </w:tr>
      <w:tr>
        <w:tc>
          <w:tcPr>
            <w:tcW w:type="dxa" w:w="4703"/>
          </w:tcPr>
          <w:p>
            <w:r>
              <w:rPr>
                <w:sz w:val="20"/>
              </w:rPr>
              <w:t>Referentie:</w:t>
            </w:r>
          </w:p>
        </w:tc>
        <w:tc>
          <w:tcPr>
            <w:tcW w:type="dxa" w:w="4703"/>
          </w:tcPr>
          <w:p>
            <w:r>
              <w:rPr>
                <w:sz w:val="20"/>
              </w:rPr>
              <w:t>Factuurnummer 2026-001</w:t>
            </w:r>
          </w:p>
        </w:tc>
      </w:tr>
    </w:tbl>
    <w:p>
      <w:r>
        <w:br w:type="page"/>
      </w:r>
    </w:p>
    <w:p>
      <w:pPr>
        <w:pStyle w:val="Heading2"/>
      </w:pPr>
      <w:r>
        <w:t>Bijlage D: Bronverwijzingen</w:t>
      </w:r>
    </w:p>
    <w:p>
      <w:r>
        <w:rPr>
          <w:sz w:val="18"/>
        </w:rPr>
        <w:t>[1] Belastingdienst — Ondernemers en btw-aangifte: belastingdienst.nl</w:t>
      </w:r>
    </w:p>
    <w:p>
      <w:r>
        <w:rPr>
          <w:sz w:val="18"/>
        </w:rPr>
        <w:t>[2] Kamer van Koophandel — Rechtsvormen vergelijken: kvk.nl</w:t>
      </w:r>
    </w:p>
    <w:p>
      <w:r>
        <w:rPr>
          <w:sz w:val="18"/>
        </w:rPr>
        <w:t>[3] Kamer van Koophandel — Algemene voorwaarden: kvk.nl/algemene-voorwaarden</w:t>
      </w:r>
    </w:p>
    <w:p>
      <w:r>
        <w:rPr>
          <w:sz w:val="18"/>
        </w:rPr>
        <w:t>[4] Belastingdienst — Zelfstandigenaftrek, startersaftrek, MKB-winstvrijstelling: belastingdienst.nl</w:t>
      </w:r>
    </w:p>
    <w:p>
      <w:r>
        <w:rPr>
          <w:sz w:val="18"/>
        </w:rPr>
        <w:t>[5] Belastingdienst — Kleineondernemersregeling: belastingdienst.nl</w:t>
      </w:r>
    </w:p>
    <w:p>
      <w:r>
        <w:rPr>
          <w:sz w:val="18"/>
        </w:rPr>
        <w:t>[6] Belastingdienst — Voorlopige aanslag: belastingdienst.nl</w:t>
      </w:r>
    </w:p>
    <w:p>
      <w:r>
        <w:rPr>
          <w:sz w:val="18"/>
        </w:rPr>
        <w:t>[7] Rijksoverheid — AOV verplichting per 2030: rijksoverheid.nl</w:t>
      </w:r>
    </w:p>
    <w:p>
      <w:r>
        <w:rPr>
          <w:sz w:val="18"/>
        </w:rPr>
        <w:t>[8] KVK — Financiële planning voor starters: kvk.nl</w:t>
      </w:r>
    </w:p>
    <w:p>
      <w:r>
        <w:rPr>
          <w:sz w:val="18"/>
        </w:rPr>
        <w:t>[9] KVK — Boekhoudsoftware vergelijken: kvk.nl/advies-informatie</w:t>
      </w:r>
    </w:p>
    <w:p>
      <w:r>
        <w:rPr>
          <w:sz w:val="18"/>
        </w:rPr>
        <w:t>[10] DNB — Wet ter voorkoming van witwassen (Wwft): dnb.nl</w:t>
      </w:r>
    </w:p>
    <w:p>
      <w:r>
        <w:rPr>
          <w:sz w:val="18"/>
        </w:rPr>
        <w:t>[11] Belastingdienst — Wet DBA en modelovereenkomsten: belastingdienst.nl/modelovereenkomsten</w:t>
      </w:r>
    </w:p>
    <w:p>
      <w:r>
        <w:rPr>
          <w:sz w:val="18"/>
        </w:rPr>
        <w:t>[12] Rijksoverheid — Wet kwaliteit, klachten en geschillen zorg (Wkkgv): rijksoverheid.nl</w:t>
      </w:r>
    </w:p>
    <w:p>
      <w:r>
        <w:rPr>
          <w:sz w:val="18"/>
        </w:rPr>
        <w:t>[13] Autoriteit Persoonsgegevens — AVG/GDPR: autoriteitpersoonsgegevens.nl</w:t>
      </w:r>
    </w:p>
    <w:p>
      <w:r>
        <w:rPr>
          <w:sz w:val="18"/>
        </w:rPr>
        <w:t>[14] Rijksoverheid — Arbowet: rijksoverheid.nl/arbowet</w:t>
      </w:r>
    </w:p>
    <w:p>
      <w:r>
        <w:rPr>
          <w:sz w:val="18"/>
        </w:rPr>
        <w:t>[15] Interim Planet — Tarieven interim management zorg 2026: interim-planet.nl</w:t>
      </w:r>
    </w:p>
    <w:p>
      <w:r>
        <w:rPr>
          <w:sz w:val="18"/>
        </w:rPr>
        <w:t>[16] KVK — NDA en geheimhouding: kvk.nl</w:t>
      </w:r>
    </w:p>
    <w:p>
      <w:r>
        <w:rPr>
          <w:sz w:val="18"/>
        </w:rPr>
        <w:t>[17] RVO — Subsidies en regelingen: rvo.nl/subsidies-regelingen</w:t>
      </w:r>
    </w:p>
    <w:p>
      <w:r>
        <w:rPr>
          <w:sz w:val="18"/>
        </w:rPr>
        <w:t>[18] Rijksoverheid — TOZO beëindigd: rijksoverheid.nl</w:t>
      </w:r>
    </w:p>
    <w:p>
      <w:pPr>
        <w:pStyle w:val="Heading2"/>
      </w:pPr>
      <w:r>
        <w:t>Bijlage E: TierVerify Log</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pPr>
              <w:jc w:val="left"/>
            </w:pPr>
            <w:r>
              <w:rPr>
                <w:b/>
                <w:color w:val="003366"/>
                <w:sz w:val="20"/>
              </w:rPr>
              <w:t>Check</w:t>
            </w:r>
          </w:p>
        </w:tc>
        <w:tc>
          <w:tcPr>
            <w:tcW w:type="dxa" w:w="2351"/>
          </w:tcPr>
          <w:p>
            <w:pPr>
              <w:jc w:val="left"/>
            </w:pPr>
            <w:r>
              <w:rPr>
                <w:b/>
                <w:color w:val="003366"/>
                <w:sz w:val="20"/>
              </w:rPr>
              <w:t>Bron</w:t>
            </w:r>
          </w:p>
        </w:tc>
        <w:tc>
          <w:tcPr>
            <w:tcW w:type="dxa" w:w="2351"/>
          </w:tcPr>
          <w:p>
            <w:pPr>
              <w:jc w:val="left"/>
            </w:pPr>
            <w:r>
              <w:rPr>
                <w:b/>
                <w:color w:val="003366"/>
                <w:sz w:val="20"/>
              </w:rPr>
              <w:t>Status</w:t>
            </w:r>
          </w:p>
        </w:tc>
        <w:tc>
          <w:tcPr>
            <w:tcW w:type="dxa" w:w="2351"/>
          </w:tcPr>
          <w:p>
            <w:pPr>
              <w:jc w:val="left"/>
            </w:pPr>
            <w:r>
              <w:rPr>
                <w:b/>
                <w:color w:val="003366"/>
                <w:sz w:val="20"/>
              </w:rPr>
              <w:t>Opmerking</w:t>
            </w:r>
          </w:p>
        </w:tc>
      </w:tr>
      <w:tr>
        <w:tc>
          <w:tcPr>
            <w:tcW w:type="dxa" w:w="2351"/>
          </w:tcPr>
          <w:p>
            <w:r>
              <w:rPr>
                <w:sz w:val="20"/>
              </w:rPr>
              <w:t>KvK-inschrijving kosten</w:t>
            </w:r>
          </w:p>
        </w:tc>
        <w:tc>
          <w:tcPr>
            <w:tcW w:type="dxa" w:w="2351"/>
          </w:tcPr>
          <w:p>
            <w:r>
              <w:rPr>
                <w:sz w:val="20"/>
              </w:rPr>
              <w:t>kvk.nl</w:t>
            </w:r>
          </w:p>
        </w:tc>
        <w:tc>
          <w:tcPr>
            <w:tcW w:type="dxa" w:w="2351"/>
          </w:tcPr>
          <w:p>
            <w:r>
              <w:rPr>
                <w:sz w:val="20"/>
              </w:rPr>
              <w:t>✅ Geverifieerd</w:t>
            </w:r>
          </w:p>
        </w:tc>
        <w:tc>
          <w:tcPr>
            <w:tcW w:type="dxa" w:w="2351"/>
          </w:tcPr>
          <w:p>
            <w:r>
              <w:rPr>
                <w:sz w:val="20"/>
              </w:rPr>
              <w:t>€50 standaard</w:t>
            </w:r>
          </w:p>
        </w:tc>
      </w:tr>
      <w:tr>
        <w:tc>
          <w:tcPr>
            <w:tcW w:type="dxa" w:w="2351"/>
          </w:tcPr>
          <w:p>
            <w:r>
              <w:rPr>
                <w:sz w:val="20"/>
              </w:rPr>
              <w:t>Zelfstandigenaftrek 2026</w:t>
            </w:r>
          </w:p>
        </w:tc>
        <w:tc>
          <w:tcPr>
            <w:tcW w:type="dxa" w:w="2351"/>
          </w:tcPr>
          <w:p>
            <w:r>
              <w:rPr>
                <w:sz w:val="20"/>
              </w:rPr>
              <w:t>belastingdienst.nl</w:t>
            </w:r>
          </w:p>
        </w:tc>
        <w:tc>
          <w:tcPr>
            <w:tcW w:type="dxa" w:w="2351"/>
          </w:tcPr>
          <w:p>
            <w:r>
              <w:rPr>
                <w:sz w:val="20"/>
              </w:rPr>
              <w:t>⚠ Indicatief</w:t>
            </w:r>
          </w:p>
        </w:tc>
        <w:tc>
          <w:tcPr>
            <w:tcW w:type="dxa" w:w="2351"/>
          </w:tcPr>
          <w:p>
            <w:r>
              <w:rPr>
                <w:sz w:val="20"/>
              </w:rPr>
              <w:t>Exact bedrag 2026 nog bevestigen</w:t>
            </w:r>
          </w:p>
        </w:tc>
      </w:tr>
      <w:tr>
        <w:tc>
          <w:tcPr>
            <w:tcW w:type="dxa" w:w="2351"/>
          </w:tcPr>
          <w:p>
            <w:r>
              <w:rPr>
                <w:sz w:val="20"/>
              </w:rPr>
              <w:t>Startersaftrek 2026</w:t>
            </w:r>
          </w:p>
        </w:tc>
        <w:tc>
          <w:tcPr>
            <w:tcW w:type="dxa" w:w="2351"/>
          </w:tcPr>
          <w:p>
            <w:r>
              <w:rPr>
                <w:sz w:val="20"/>
              </w:rPr>
              <w:t>belastingdienst.nl</w:t>
            </w:r>
          </w:p>
        </w:tc>
        <w:tc>
          <w:tcPr>
            <w:tcW w:type="dxa" w:w="2351"/>
          </w:tcPr>
          <w:p>
            <w:r>
              <w:rPr>
                <w:sz w:val="20"/>
              </w:rPr>
              <w:t>⚠ Indicatief</w:t>
            </w:r>
          </w:p>
        </w:tc>
        <w:tc>
          <w:tcPr>
            <w:tcW w:type="dxa" w:w="2351"/>
          </w:tcPr>
          <w:p>
            <w:r>
              <w:rPr>
                <w:sz w:val="20"/>
              </w:rPr>
              <w:t>Gebaseerd op 2025 bedrag</w:t>
            </w:r>
          </w:p>
        </w:tc>
      </w:tr>
      <w:tr>
        <w:tc>
          <w:tcPr>
            <w:tcW w:type="dxa" w:w="2351"/>
          </w:tcPr>
          <w:p>
            <w:r>
              <w:rPr>
                <w:sz w:val="20"/>
              </w:rPr>
              <w:t>MKB-winstvrijstelling %</w:t>
            </w:r>
          </w:p>
        </w:tc>
        <w:tc>
          <w:tcPr>
            <w:tcW w:type="dxa" w:w="2351"/>
          </w:tcPr>
          <w:p>
            <w:r>
              <w:rPr>
                <w:sz w:val="20"/>
              </w:rPr>
              <w:t>belastingdienst.nl</w:t>
            </w:r>
          </w:p>
        </w:tc>
        <w:tc>
          <w:tcPr>
            <w:tcW w:type="dxa" w:w="2351"/>
          </w:tcPr>
          <w:p>
            <w:r>
              <w:rPr>
                <w:sz w:val="20"/>
              </w:rPr>
              <w:t>⚠ Indicatief</w:t>
            </w:r>
          </w:p>
        </w:tc>
        <w:tc>
          <w:tcPr>
            <w:tcW w:type="dxa" w:w="2351"/>
          </w:tcPr>
          <w:p>
            <w:r>
              <w:rPr>
                <w:sz w:val="20"/>
              </w:rPr>
              <w:t>14,19% (2025), 2026 bevestigen</w:t>
            </w:r>
          </w:p>
        </w:tc>
      </w:tr>
      <w:tr>
        <w:tc>
          <w:tcPr>
            <w:tcW w:type="dxa" w:w="2351"/>
          </w:tcPr>
          <w:p>
            <w:r>
              <w:rPr>
                <w:sz w:val="20"/>
              </w:rPr>
              <w:t>BTW-tarief consultancy</w:t>
            </w:r>
          </w:p>
        </w:tc>
        <w:tc>
          <w:tcPr>
            <w:tcW w:type="dxa" w:w="2351"/>
          </w:tcPr>
          <w:p>
            <w:r>
              <w:rPr>
                <w:sz w:val="20"/>
              </w:rPr>
              <w:t>Wet OB 1968</w:t>
            </w:r>
          </w:p>
        </w:tc>
        <w:tc>
          <w:tcPr>
            <w:tcW w:type="dxa" w:w="2351"/>
          </w:tcPr>
          <w:p>
            <w:r>
              <w:rPr>
                <w:sz w:val="20"/>
              </w:rPr>
              <w:t>✅ Geverifieerd</w:t>
            </w:r>
          </w:p>
        </w:tc>
        <w:tc>
          <w:tcPr>
            <w:tcW w:type="dxa" w:w="2351"/>
          </w:tcPr>
          <w:p>
            <w:r>
              <w:rPr>
                <w:sz w:val="20"/>
              </w:rPr>
              <w:t>21% standaard</w:t>
            </w:r>
          </w:p>
        </w:tc>
      </w:tr>
      <w:tr>
        <w:tc>
          <w:tcPr>
            <w:tcW w:type="dxa" w:w="2351"/>
          </w:tcPr>
          <w:p>
            <w:r>
              <w:rPr>
                <w:sz w:val="20"/>
              </w:rPr>
              <w:t>AOV verplichting</w:t>
            </w:r>
          </w:p>
        </w:tc>
        <w:tc>
          <w:tcPr>
            <w:tcW w:type="dxa" w:w="2351"/>
          </w:tcPr>
          <w:p>
            <w:r>
              <w:rPr>
                <w:sz w:val="20"/>
              </w:rPr>
              <w:t>rijksoverheid.nl</w:t>
            </w:r>
          </w:p>
        </w:tc>
        <w:tc>
          <w:tcPr>
            <w:tcW w:type="dxa" w:w="2351"/>
          </w:tcPr>
          <w:p>
            <w:r>
              <w:rPr>
                <w:sz w:val="20"/>
              </w:rPr>
              <w:t>✅ Geverifieerd</w:t>
            </w:r>
          </w:p>
        </w:tc>
        <w:tc>
          <w:tcPr>
            <w:tcW w:type="dxa" w:w="2351"/>
          </w:tcPr>
          <w:p>
            <w:r>
              <w:rPr>
                <w:sz w:val="20"/>
              </w:rPr>
              <w:t>Uitgesteld tot 2030</w:t>
            </w:r>
          </w:p>
        </w:tc>
      </w:tr>
      <w:tr>
        <w:tc>
          <w:tcPr>
            <w:tcW w:type="dxa" w:w="2351"/>
          </w:tcPr>
          <w:p>
            <w:r>
              <w:rPr>
                <w:sz w:val="20"/>
              </w:rPr>
              <w:t>Wet DBA modelovereenkomst</w:t>
            </w:r>
          </w:p>
        </w:tc>
        <w:tc>
          <w:tcPr>
            <w:tcW w:type="dxa" w:w="2351"/>
          </w:tcPr>
          <w:p>
            <w:r>
              <w:rPr>
                <w:sz w:val="20"/>
              </w:rPr>
              <w:t>belastingdienst.nl</w:t>
            </w:r>
          </w:p>
        </w:tc>
        <w:tc>
          <w:tcPr>
            <w:tcW w:type="dxa" w:w="2351"/>
          </w:tcPr>
          <w:p>
            <w:r>
              <w:rPr>
                <w:sz w:val="20"/>
              </w:rPr>
              <w:t>✅ Geverifieerd</w:t>
            </w:r>
          </w:p>
        </w:tc>
        <w:tc>
          <w:tcPr>
            <w:tcW w:type="dxa" w:w="2351"/>
          </w:tcPr>
          <w:p>
            <w:r>
              <w:rPr>
                <w:sz w:val="20"/>
              </w:rPr>
              <w:t>Actueel 2026</w:t>
            </w:r>
          </w:p>
        </w:tc>
      </w:tr>
      <w:tr>
        <w:tc>
          <w:tcPr>
            <w:tcW w:type="dxa" w:w="2351"/>
          </w:tcPr>
          <w:p>
            <w:r>
              <w:rPr>
                <w:sz w:val="20"/>
              </w:rPr>
              <w:t>Wkkgv</w:t>
            </w:r>
          </w:p>
        </w:tc>
        <w:tc>
          <w:tcPr>
            <w:tcW w:type="dxa" w:w="2351"/>
          </w:tcPr>
          <w:p>
            <w:r>
              <w:rPr>
                <w:sz w:val="20"/>
              </w:rPr>
              <w:t>wetten.nl</w:t>
            </w:r>
          </w:p>
        </w:tc>
        <w:tc>
          <w:tcPr>
            <w:tcW w:type="dxa" w:w="2351"/>
          </w:tcPr>
          <w:p>
            <w:r>
              <w:rPr>
                <w:sz w:val="20"/>
              </w:rPr>
              <w:t>✅ Geverifieerd</w:t>
            </w:r>
          </w:p>
        </w:tc>
        <w:tc>
          <w:tcPr>
            <w:tcW w:type="dxa" w:w="2351"/>
          </w:tcPr>
          <w:p>
            <w:r>
              <w:rPr>
                <w:sz w:val="20"/>
              </w:rPr>
              <w:t>Actueel</w:t>
            </w:r>
          </w:p>
        </w:tc>
      </w:tr>
      <w:tr>
        <w:tc>
          <w:tcPr>
            <w:tcW w:type="dxa" w:w="2351"/>
          </w:tcPr>
          <w:p>
            <w:r>
              <w:rPr>
                <w:sz w:val="20"/>
              </w:rPr>
              <w:t>Archiveerplicht 7 jaar</w:t>
            </w:r>
          </w:p>
        </w:tc>
        <w:tc>
          <w:tcPr>
            <w:tcW w:type="dxa" w:w="2351"/>
          </w:tcPr>
          <w:p>
            <w:r>
              <w:rPr>
                <w:sz w:val="20"/>
              </w:rPr>
              <w:t>Belastingdienst richtlijn</w:t>
            </w:r>
          </w:p>
        </w:tc>
        <w:tc>
          <w:tcPr>
            <w:tcW w:type="dxa" w:w="2351"/>
          </w:tcPr>
          <w:p>
            <w:r>
              <w:rPr>
                <w:sz w:val="20"/>
              </w:rPr>
              <w:t>✅ Geverifieerd</w:t>
            </w:r>
          </w:p>
        </w:tc>
        <w:tc>
          <w:tcPr>
            <w:tcW w:type="dxa" w:w="2351"/>
          </w:tcPr>
          <w:p>
            <w:r>
              <w:rPr>
                <w:sz w:val="20"/>
              </w:rPr>
              <w:t>7 jaar standaard</w:t>
            </w:r>
          </w:p>
        </w:tc>
      </w:tr>
      <w:tr>
        <w:tc>
          <w:tcPr>
            <w:tcW w:type="dxa" w:w="2351"/>
          </w:tcPr>
          <w:p>
            <w:r>
              <w:rPr>
                <w:sz w:val="20"/>
              </w:rPr>
              <w:t>KOR drempelbedrag</w:t>
            </w:r>
          </w:p>
        </w:tc>
        <w:tc>
          <w:tcPr>
            <w:tcW w:type="dxa" w:w="2351"/>
          </w:tcPr>
          <w:p>
            <w:r>
              <w:rPr>
                <w:sz w:val="20"/>
              </w:rPr>
              <w:t>belastingdienst.nl</w:t>
            </w:r>
          </w:p>
        </w:tc>
        <w:tc>
          <w:tcPr>
            <w:tcW w:type="dxa" w:w="2351"/>
          </w:tcPr>
          <w:p>
            <w:r>
              <w:rPr>
                <w:sz w:val="20"/>
              </w:rPr>
              <w:t>✅ Geverifieerd</w:t>
            </w:r>
          </w:p>
        </w:tc>
        <w:tc>
          <w:tcPr>
            <w:tcW w:type="dxa" w:w="2351"/>
          </w:tcPr>
          <w:p>
            <w:r>
              <w:rPr>
                <w:sz w:val="20"/>
              </w:rPr>
              <w:t>€20.000</w:t>
            </w:r>
          </w:p>
        </w:tc>
      </w:tr>
    </w:tbl>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620000" cy="1454400"/>
          <wp:docPr id="1" name="Picture 1"/>
          <wp:cNvGraphicFramePr>
            <a:graphicFrameLocks noChangeAspect="1"/>
          </wp:cNvGraphicFramePr>
          <a:graphic>
            <a:graphicData uri="http://schemas.openxmlformats.org/drawingml/2006/picture">
              <pic:pic>
                <pic:nvPicPr>
                  <pic:cNvPr id="0" name="jvg-logo-medium.png"/>
                  <pic:cNvPicPr/>
                </pic:nvPicPr>
                <pic:blipFill>
                  <a:blip r:embed="rId1"/>
                  <a:stretch>
                    <a:fillRect/>
                  </a:stretch>
                </pic:blipFill>
                <pic:spPr>
                  <a:xfrm>
                    <a:off x="0" y="0"/>
                    <a:ext cx="1620000" cy="14544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F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