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rPr>
          <w:rFonts w:ascii="Segoe UI" w:hAnsi="Segoe UI"/>
          <w:b/>
          <w:color w:val="003366"/>
          <w:sz w:val="72"/>
        </w:rPr>
        <w:t>FINANCIEEL PLAN</w:t>
      </w:r>
    </w:p>
    <w:p>
      <w:pPr>
        <w:jc w:val="center"/>
      </w:pPr>
      <w:r>
        <w:rPr>
          <w:rFonts w:ascii="Segoe UI" w:hAnsi="Segoe UI"/>
          <w:color w:val="374151"/>
          <w:sz w:val="36"/>
        </w:rPr>
        <w:t>HSEQ Consultancy — Opstart &amp; Groei (2027–2029)</w:t>
      </w:r>
    </w:p>
    <w:p/>
    <w:tbl>
      <w:tblPr>
        <w:tblStyle w:val="TableGrid"/>
        <w:tblW w:type="auto" w:w="0"/>
        <w:jc w:val="center"/>
        <w:tblLook w:firstColumn="1" w:firstRow="1" w:lastColumn="0" w:lastRow="0" w:noHBand="0" w:noVBand="1" w:val="04A0"/>
      </w:tblPr>
      <w:tblGrid>
        <w:gridCol w:w="4703"/>
        <w:gridCol w:w="4703"/>
      </w:tblGrid>
      <w:tr>
        <w:tc>
          <w:tcPr>
            <w:tcW w:type="dxa" w:w="2268"/>
          </w:tcPr>
          <w:p>
            <w:pPr>
              <w:spacing w:before="40" w:after="40"/>
            </w:pPr>
            <w:r/>
            <w:r>
              <w:rPr>
                <w:rFonts w:ascii="Segoe UI" w:hAnsi="Segoe UI"/>
                <w:b/>
                <w:color w:val="FFFFFF"/>
                <w:sz w:val="20"/>
              </w:rPr>
              <w:t>Project</w:t>
            </w:r>
          </w:p>
        </w:tc>
        <w:tc>
          <w:tcPr>
            <w:tcW w:type="dxa" w:w="6803"/>
          </w:tcPr>
          <w:p>
            <w:pPr>
              <w:spacing w:before="40" w:after="40"/>
            </w:pPr>
            <w:r/>
            <w:r>
              <w:rPr>
                <w:rFonts w:ascii="Segoe UI" w:hAnsi="Segoe UI"/>
                <w:sz w:val="20"/>
              </w:rPr>
              <w:t>JvG Consultancy — HSEQ Business Plan</w:t>
            </w:r>
          </w:p>
        </w:tc>
      </w:tr>
      <w:tr>
        <w:tc>
          <w:tcPr>
            <w:tcW w:type="dxa" w:w="2268"/>
          </w:tcPr>
          <w:p>
            <w:pPr>
              <w:spacing w:before="40" w:after="40"/>
            </w:pPr>
            <w:r/>
            <w:r>
              <w:rPr>
                <w:rFonts w:ascii="Segoe UI" w:hAnsi="Segoe UI"/>
                <w:b/>
                <w:color w:val="FFFFFF"/>
                <w:sz w:val="20"/>
              </w:rPr>
              <w:t>Type</w:t>
            </w:r>
          </w:p>
        </w:tc>
        <w:tc>
          <w:tcPr>
            <w:tcW w:type="dxa" w:w="6803"/>
          </w:tcPr>
          <w:p>
            <w:pPr>
              <w:spacing w:before="40" w:after="40"/>
            </w:pPr>
            <w:r/>
            <w:r>
              <w:rPr>
                <w:rFonts w:ascii="Segoe UI" w:hAnsi="Segoe UI"/>
                <w:sz w:val="20"/>
              </w:rPr>
              <w:t>Financieel Plan (Fase 3)</w:t>
            </w:r>
          </w:p>
        </w:tc>
      </w:tr>
      <w:tr>
        <w:tc>
          <w:tcPr>
            <w:tcW w:type="dxa" w:w="2268"/>
          </w:tcPr>
          <w:p>
            <w:pPr>
              <w:spacing w:before="40" w:after="40"/>
            </w:pPr>
            <w:r/>
            <w:r>
              <w:rPr>
                <w:rFonts w:ascii="Segoe UI" w:hAnsi="Segoe UI"/>
                <w:b/>
                <w:color w:val="FFFFFF"/>
                <w:sz w:val="20"/>
              </w:rPr>
              <w:t>Auteur</w:t>
            </w:r>
          </w:p>
        </w:tc>
        <w:tc>
          <w:tcPr>
            <w:tcW w:type="dxa" w:w="6803"/>
          </w:tcPr>
          <w:p>
            <w:pPr>
              <w:spacing w:before="40" w:after="40"/>
            </w:pPr>
            <w:r/>
            <w:r>
              <w:rPr>
                <w:rFonts w:ascii="Segoe UI" w:hAnsi="Segoe UI"/>
                <w:sz w:val="20"/>
              </w:rPr>
              <w:t>Business Analyst (OR_03) — Kas Taskforce</w:t>
            </w:r>
          </w:p>
        </w:tc>
      </w:tr>
      <w:tr>
        <w:tc>
          <w:tcPr>
            <w:tcW w:type="dxa" w:w="2268"/>
          </w:tcPr>
          <w:p>
            <w:pPr>
              <w:spacing w:before="40" w:after="40"/>
            </w:pPr>
            <w:r/>
            <w:r>
              <w:rPr>
                <w:rFonts w:ascii="Segoe UI" w:hAnsi="Segoe UI"/>
                <w:b/>
                <w:color w:val="FFFFFF"/>
                <w:sz w:val="20"/>
              </w:rPr>
              <w:t>Opdrachtgever</w:t>
            </w:r>
          </w:p>
        </w:tc>
        <w:tc>
          <w:tcPr>
            <w:tcW w:type="dxa" w:w="6803"/>
          </w:tcPr>
          <w:p>
            <w:pPr>
              <w:spacing w:before="40" w:after="40"/>
            </w:pPr>
            <w:r/>
            <w:r>
              <w:rPr>
                <w:rFonts w:ascii="Segoe UI" w:hAnsi="Segoe UI"/>
                <w:sz w:val="20"/>
              </w:rPr>
              <w:t>Director (Jorick van Gemert)</w:t>
            </w:r>
          </w:p>
        </w:tc>
      </w:tr>
      <w:tr>
        <w:tc>
          <w:tcPr>
            <w:tcW w:type="dxa" w:w="2268"/>
          </w:tcPr>
          <w:p>
            <w:pPr>
              <w:spacing w:before="40" w:after="40"/>
            </w:pPr>
            <w:r/>
            <w:r>
              <w:rPr>
                <w:rFonts w:ascii="Segoe UI" w:hAnsi="Segoe UI"/>
                <w:b/>
                <w:color w:val="FFFFFF"/>
                <w:sz w:val="20"/>
              </w:rPr>
              <w:t>Versie</w:t>
            </w:r>
          </w:p>
        </w:tc>
        <w:tc>
          <w:tcPr>
            <w:tcW w:type="dxa" w:w="6803"/>
          </w:tcPr>
          <w:p>
            <w:pPr>
              <w:spacing w:before="40" w:after="40"/>
            </w:pPr>
            <w:r/>
            <w:r>
              <w:rPr>
                <w:rFonts w:ascii="Segoe UI" w:hAnsi="Segoe UI"/>
                <w:sz w:val="20"/>
              </w:rPr>
              <w:t>1.0</w:t>
            </w:r>
          </w:p>
        </w:tc>
      </w:tr>
      <w:tr>
        <w:tc>
          <w:tcPr>
            <w:tcW w:type="dxa" w:w="2268"/>
          </w:tcPr>
          <w:p>
            <w:pPr>
              <w:spacing w:before="40" w:after="40"/>
            </w:pPr>
            <w:r/>
            <w:r>
              <w:rPr>
                <w:rFonts w:ascii="Segoe UI" w:hAnsi="Segoe UI"/>
                <w:b/>
                <w:color w:val="FFFFFF"/>
                <w:sz w:val="20"/>
              </w:rPr>
              <w:t>Datum</w:t>
            </w:r>
          </w:p>
        </w:tc>
        <w:tc>
          <w:tcPr>
            <w:tcW w:type="dxa" w:w="6803"/>
          </w:tcPr>
          <w:p>
            <w:pPr>
              <w:spacing w:before="40" w:after="40"/>
            </w:pPr>
            <w:r/>
            <w:r>
              <w:rPr>
                <w:rFonts w:ascii="Segoe UI" w:hAnsi="Segoe UI"/>
                <w:sz w:val="20"/>
              </w:rPr>
              <w:t>15 april 2026</w:t>
            </w:r>
          </w:p>
        </w:tc>
      </w:tr>
      <w:tr>
        <w:tc>
          <w:tcPr>
            <w:tcW w:type="dxa" w:w="2268"/>
          </w:tcPr>
          <w:p>
            <w:pPr>
              <w:spacing w:before="40" w:after="40"/>
            </w:pPr>
            <w:r/>
            <w:r>
              <w:rPr>
                <w:rFonts w:ascii="Segoe UI" w:hAnsi="Segoe UI"/>
                <w:b/>
                <w:color w:val="FFFFFF"/>
                <w:sz w:val="20"/>
              </w:rPr>
              <w:t>Status</w:t>
            </w:r>
          </w:p>
        </w:tc>
        <w:tc>
          <w:tcPr>
            <w:tcW w:type="dxa" w:w="6803"/>
          </w:tcPr>
          <w:p>
            <w:pPr>
              <w:spacing w:before="40" w:after="40"/>
            </w:pPr>
            <w:r/>
            <w:r>
              <w:rPr>
                <w:rFonts w:ascii="Segoe UI" w:hAnsi="Segoe UI"/>
                <w:sz w:val="20"/>
              </w:rPr>
              <w:t>Concept</w:t>
            </w:r>
          </w:p>
        </w:tc>
      </w:tr>
      <w:tr>
        <w:tc>
          <w:tcPr>
            <w:tcW w:type="dxa" w:w="2268"/>
          </w:tcPr>
          <w:p>
            <w:pPr>
              <w:spacing w:before="40" w:after="40"/>
            </w:pPr>
            <w:r/>
            <w:r>
              <w:rPr>
                <w:rFonts w:ascii="Segoe UI" w:hAnsi="Segoe UI"/>
                <w:b/>
                <w:color w:val="FFFFFF"/>
                <w:sz w:val="20"/>
              </w:rPr>
              <w:t>Classificatie</w:t>
            </w:r>
          </w:p>
        </w:tc>
        <w:tc>
          <w:tcPr>
            <w:tcW w:type="dxa" w:w="6803"/>
          </w:tcPr>
          <w:p>
            <w:pPr>
              <w:spacing w:before="40" w:after="40"/>
            </w:pPr>
            <w:r/>
            <w:r>
              <w:rPr>
                <w:rFonts w:ascii="Segoe UI" w:hAnsi="Segoe UI"/>
                <w:sz w:val="20"/>
              </w:rPr>
              <w:t>Vertrouwelijk</w:t>
            </w:r>
          </w:p>
        </w:tc>
      </w:tr>
    </w:tbl>
    <w:p>
      <w:r>
        <w:br w:type="page"/>
      </w:r>
    </w:p>
    <w:p>
      <w:pPr>
        <w:pStyle w:val="Heading2"/>
      </w:pPr>
      <w:r>
        <w:rPr>
          <w:rFonts w:ascii="Segoe UI" w:hAnsi="Segoe UI"/>
          <w:color w:val="003366"/>
        </w:rPr>
        <w:t>Disclaimer</w:t>
      </w:r>
    </w:p>
    <w:p>
      <w:pPr>
        <w:spacing w:after="120"/>
      </w:pPr>
      <w:r>
        <w:rPr>
          <w:rFonts w:ascii="Segoe UI" w:hAnsi="Segoe UI"/>
          <w:color w:val="1F2937"/>
          <w:sz w:val="22"/>
        </w:rPr>
        <w:t>Dit document is een strategisch financieel plan en dient uitsluitend als interne richtlijn voor de opstart van JvG Consultancy. De berekeningen zijn gebaseerd op publiek beschikbare markttarieven, fiscale regelgeving (belastingplan 2026/2027) en conservatieve aannames. Dit document vormt geen financieel, fiscaal of juridisch advies. Raadpleeg een erkend fiscalist of accountant voor beslissingen met fiscale of juridische consequenties.</w:t>
      </w:r>
    </w:p>
    <w:p>
      <w:pPr>
        <w:pStyle w:val="Heading1"/>
      </w:pPr>
      <w:r>
        <w:rPr>
          <w:rFonts w:ascii="Segoe UI" w:hAnsi="Segoe UI"/>
          <w:color w:val="003366"/>
        </w:rPr>
        <w:t>1. Prijsstrategie</w:t>
      </w:r>
    </w:p>
    <w:p>
      <w:pPr>
        <w:spacing w:after="120"/>
      </w:pPr>
      <w:r>
        <w:rPr>
          <w:rFonts w:ascii="Segoe UI" w:hAnsi="Segoe UI"/>
          <w:color w:val="1F2937"/>
          <w:sz w:val="22"/>
        </w:rPr>
        <w:t>De prijsstrategie is gebaseerd op marktonderzoek (Fase 1) en positioneert JvG Consultancy in het mid-to-premium segment. HSEQ niche-consultancy in de olie-, gas- en petrochemische sector rechtvaardigt een premie ten opzichte van algemene QHSE-diensten wegens de vereiste technische diepgang, certficeringen en branchekennis.</w:t>
      </w:r>
    </w:p>
    <w:p>
      <w:pPr>
        <w:pStyle w:val="Heading2"/>
      </w:pPr>
      <w:r>
        <w:rPr>
          <w:rFonts w:ascii="Segoe UI" w:hAnsi="Segoe UI"/>
          <w:color w:val="003366"/>
        </w:rPr>
        <w:t>1.1 Tariefstructuur per Diensttype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268"/>
          </w:tcPr>
          <w:p>
            <w:pPr>
              <w:spacing w:before="40" w:after="40"/>
              <w:jc w:val="center"/>
            </w:pPr>
            <w:r/>
            <w:r>
              <w:rPr>
                <w:rFonts w:ascii="Segoe UI" w:hAnsi="Segoe UI"/>
                <w:b/>
                <w:color w:val="FFFFFF"/>
                <w:sz w:val="20"/>
              </w:rPr>
              <w:t>Diensttype</w:t>
            </w:r>
          </w:p>
        </w:tc>
        <w:tc>
          <w:tcPr>
            <w:tcW w:type="dxa" w:w="1701"/>
          </w:tcPr>
          <w:p>
            <w:pPr>
              <w:spacing w:before="40" w:after="40"/>
              <w:jc w:val="center"/>
            </w:pPr>
            <w:r/>
            <w:r>
              <w:rPr>
                <w:rFonts w:ascii="Segoe UI" w:hAnsi="Segoe UI"/>
                <w:b/>
                <w:color w:val="FFFFFF"/>
                <w:sz w:val="20"/>
              </w:rPr>
              <w:t>Uurtarief</w:t>
            </w:r>
          </w:p>
        </w:tc>
        <w:tc>
          <w:tcPr>
            <w:tcW w:type="dxa" w:w="1984"/>
          </w:tcPr>
          <w:p>
            <w:pPr>
              <w:spacing w:before="40" w:after="40"/>
              <w:jc w:val="center"/>
            </w:pPr>
            <w:r/>
            <w:r>
              <w:rPr>
                <w:rFonts w:ascii="Segoe UI" w:hAnsi="Segoe UI"/>
                <w:b/>
                <w:color w:val="FFFFFF"/>
                <w:sz w:val="20"/>
              </w:rPr>
              <w:t>Dagtarief (8u)</w:t>
            </w:r>
          </w:p>
        </w:tc>
        <w:tc>
          <w:tcPr>
            <w:tcW w:type="dxa" w:w="3402"/>
          </w:tcPr>
          <w:p>
            <w:pPr>
              <w:spacing w:before="40" w:after="40"/>
              <w:jc w:val="center"/>
            </w:pPr>
            <w:r/>
            <w:r>
              <w:rPr>
                <w:rFonts w:ascii="Segoe UI" w:hAnsi="Segoe UI"/>
                <w:b/>
                <w:color w:val="FFFFFF"/>
                <w:sz w:val="20"/>
              </w:rPr>
              <w:t>Opmerking</w:t>
            </w:r>
          </w:p>
        </w:tc>
      </w:tr>
      <w:tr>
        <w:tc>
          <w:tcPr>
            <w:tcW w:type="dxa" w:w="2268"/>
          </w:tcPr>
          <w:p>
            <w:pPr>
              <w:spacing w:before="40" w:after="40"/>
            </w:pPr>
            <w:r/>
            <w:r>
              <w:rPr>
                <w:rFonts w:ascii="Segoe UI" w:hAnsi="Segoe UI"/>
                <w:sz w:val="20"/>
              </w:rPr>
              <w:t>Interim HSEQ Manager</w:t>
            </w:r>
          </w:p>
        </w:tc>
        <w:tc>
          <w:tcPr>
            <w:tcW w:type="dxa" w:w="1701"/>
          </w:tcPr>
          <w:p>
            <w:pPr>
              <w:spacing w:before="40" w:after="40"/>
            </w:pPr>
            <w:r/>
            <w:r>
              <w:rPr>
                <w:rFonts w:ascii="Segoe UI" w:hAnsi="Segoe UI"/>
                <w:sz w:val="20"/>
              </w:rPr>
              <w:t>€95–€140</w:t>
            </w:r>
          </w:p>
        </w:tc>
        <w:tc>
          <w:tcPr>
            <w:tcW w:type="dxa" w:w="1984"/>
          </w:tcPr>
          <w:p>
            <w:pPr>
              <w:spacing w:before="40" w:after="40"/>
            </w:pPr>
            <w:r/>
            <w:r>
              <w:rPr>
                <w:rFonts w:ascii="Segoe UI" w:hAnsi="Segoe UI"/>
                <w:sz w:val="20"/>
              </w:rPr>
              <w:t>€760–€1.120</w:t>
            </w:r>
          </w:p>
        </w:tc>
        <w:tc>
          <w:tcPr>
            <w:tcW w:type="dxa" w:w="3402"/>
          </w:tcPr>
          <w:p>
            <w:pPr>
              <w:spacing w:before="40" w:after="40"/>
            </w:pPr>
            <w:r/>
            <w:r>
              <w:rPr>
                <w:rFonts w:ascii="Segoe UI" w:hAnsi="Segoe UI"/>
                <w:sz w:val="20"/>
              </w:rPr>
              <w:t>Lange termijn opdrachten (3–12 mnd)</w:t>
            </w:r>
          </w:p>
        </w:tc>
      </w:tr>
      <w:tr>
        <w:tc>
          <w:tcPr>
            <w:tcW w:type="dxa" w:w="2268"/>
          </w:tcPr>
          <w:p>
            <w:pPr>
              <w:spacing w:before="40" w:after="40"/>
            </w:pPr>
            <w:r/>
            <w:r>
              <w:rPr>
                <w:rFonts w:ascii="Segoe UI" w:hAnsi="Segoe UI"/>
                <w:sz w:val="20"/>
              </w:rPr>
              <w:t>HSEQ Audit &amp; Compliance</w:t>
            </w:r>
          </w:p>
        </w:tc>
        <w:tc>
          <w:tcPr>
            <w:tcW w:type="dxa" w:w="1701"/>
          </w:tcPr>
          <w:p>
            <w:pPr>
              <w:spacing w:before="40" w:after="40"/>
            </w:pPr>
            <w:r/>
            <w:r>
              <w:rPr>
                <w:rFonts w:ascii="Segoe UI" w:hAnsi="Segoe UI"/>
                <w:sz w:val="20"/>
              </w:rPr>
              <w:t>€120–€170</w:t>
            </w:r>
          </w:p>
        </w:tc>
        <w:tc>
          <w:tcPr>
            <w:tcW w:type="dxa" w:w="1984"/>
          </w:tcPr>
          <w:p>
            <w:pPr>
              <w:spacing w:before="40" w:after="40"/>
            </w:pPr>
            <w:r/>
            <w:r>
              <w:rPr>
                <w:rFonts w:ascii="Segoe UI" w:hAnsi="Segoe UI"/>
                <w:sz w:val="20"/>
              </w:rPr>
              <w:t>€960–€1.360</w:t>
            </w:r>
          </w:p>
        </w:tc>
        <w:tc>
          <w:tcPr>
            <w:tcW w:type="dxa" w:w="3402"/>
          </w:tcPr>
          <w:p>
            <w:pPr>
              <w:spacing w:before="40" w:after="40"/>
            </w:pPr>
            <w:r/>
            <w:r>
              <w:rPr>
                <w:rFonts w:ascii="Segoe UI" w:hAnsi="Segoe UI"/>
                <w:sz w:val="20"/>
              </w:rPr>
              <w:t>Projectmatig, scope-gebonden</w:t>
            </w:r>
          </w:p>
        </w:tc>
      </w:tr>
      <w:tr>
        <w:tc>
          <w:tcPr>
            <w:tcW w:type="dxa" w:w="2268"/>
          </w:tcPr>
          <w:p>
            <w:pPr>
              <w:spacing w:before="40" w:after="40"/>
            </w:pPr>
            <w:r/>
            <w:r>
              <w:rPr>
                <w:rFonts w:ascii="Segoe UI" w:hAnsi="Segoe UI"/>
                <w:sz w:val="20"/>
              </w:rPr>
              <w:t>Training &amp; Workshop</w:t>
            </w:r>
          </w:p>
        </w:tc>
        <w:tc>
          <w:tcPr>
            <w:tcW w:type="dxa" w:w="1701"/>
          </w:tcPr>
          <w:p>
            <w:pPr>
              <w:spacing w:before="40" w:after="40"/>
            </w:pPr>
            <w:r/>
            <w:r>
              <w:rPr>
                <w:rFonts w:ascii="Segoe UI" w:hAnsi="Segoe UI"/>
                <w:sz w:val="20"/>
              </w:rPr>
              <w:t>€130–€170</w:t>
            </w:r>
          </w:p>
        </w:tc>
        <w:tc>
          <w:tcPr>
            <w:tcW w:type="dxa" w:w="1984"/>
          </w:tcPr>
          <w:p>
            <w:pPr>
              <w:spacing w:before="40" w:after="40"/>
            </w:pPr>
            <w:r/>
            <w:r>
              <w:rPr>
                <w:rFonts w:ascii="Segoe UI" w:hAnsi="Segoe UI"/>
                <w:sz w:val="20"/>
              </w:rPr>
              <w:t>€1.040–€1.360</w:t>
            </w:r>
          </w:p>
        </w:tc>
        <w:tc>
          <w:tcPr>
            <w:tcW w:type="dxa" w:w="3402"/>
          </w:tcPr>
          <w:p>
            <w:pPr>
              <w:spacing w:before="40" w:after="40"/>
            </w:pPr>
            <w:r/>
            <w:r>
              <w:rPr>
                <w:rFonts w:ascii="Segoe UI" w:hAnsi="Segoe UI"/>
                <w:sz w:val="20"/>
              </w:rPr>
              <w:t>Groepstraining (excl. materiaal)</w:t>
            </w:r>
          </w:p>
        </w:tc>
      </w:tr>
      <w:tr>
        <w:tc>
          <w:tcPr>
            <w:tcW w:type="dxa" w:w="2268"/>
          </w:tcPr>
          <w:p>
            <w:pPr>
              <w:spacing w:before="40" w:after="40"/>
            </w:pPr>
            <w:r/>
            <w:r>
              <w:rPr>
                <w:rFonts w:ascii="Segoe UI" w:hAnsi="Segoe UI"/>
                <w:sz w:val="20"/>
              </w:rPr>
              <w:t>Strategisch Advies</w:t>
            </w:r>
          </w:p>
        </w:tc>
        <w:tc>
          <w:tcPr>
            <w:tcW w:type="dxa" w:w="1701"/>
          </w:tcPr>
          <w:p>
            <w:pPr>
              <w:spacing w:before="40" w:after="40"/>
            </w:pPr>
            <w:r/>
            <w:r>
              <w:rPr>
                <w:rFonts w:ascii="Segoe UI" w:hAnsi="Segoe UI"/>
                <w:sz w:val="20"/>
              </w:rPr>
              <w:t>€140–€170</w:t>
            </w:r>
          </w:p>
        </w:tc>
        <w:tc>
          <w:tcPr>
            <w:tcW w:type="dxa" w:w="1984"/>
          </w:tcPr>
          <w:p>
            <w:pPr>
              <w:spacing w:before="40" w:after="40"/>
            </w:pPr>
            <w:r/>
            <w:r>
              <w:rPr>
                <w:rFonts w:ascii="Segoe UI" w:hAnsi="Segoe UI"/>
                <w:sz w:val="20"/>
              </w:rPr>
              <w:t>€1.120–€1.360</w:t>
            </w:r>
          </w:p>
        </w:tc>
        <w:tc>
          <w:tcPr>
            <w:tcW w:type="dxa" w:w="3402"/>
          </w:tcPr>
          <w:p>
            <w:pPr>
              <w:spacing w:before="40" w:after="40"/>
            </w:pPr>
            <w:r/>
            <w:r>
              <w:rPr>
                <w:rFonts w:ascii="Segoe UI" w:hAnsi="Segoe UI"/>
                <w:sz w:val="20"/>
              </w:rPr>
              <w:t>Directie-advisering, rapportages</w:t>
            </w:r>
          </w:p>
        </w:tc>
      </w:tr>
      <w:tr>
        <w:tc>
          <w:tcPr>
            <w:tcW w:type="dxa" w:w="2268"/>
          </w:tcPr>
          <w:p>
            <w:pPr>
              <w:spacing w:before="40" w:after="40"/>
            </w:pPr>
            <w:r/>
            <w:r>
              <w:rPr>
                <w:rFonts w:ascii="Segoe UI" w:hAnsi="Segoe UI"/>
                <w:sz w:val="20"/>
              </w:rPr>
              <w:t>Projectmanagement HSEQ</w:t>
            </w:r>
          </w:p>
        </w:tc>
        <w:tc>
          <w:tcPr>
            <w:tcW w:type="dxa" w:w="1701"/>
          </w:tcPr>
          <w:p>
            <w:pPr>
              <w:spacing w:before="40" w:after="40"/>
            </w:pPr>
            <w:r/>
            <w:r>
              <w:rPr>
                <w:rFonts w:ascii="Segoe UI" w:hAnsi="Segoe UI"/>
                <w:sz w:val="20"/>
              </w:rPr>
              <w:t>€110–€150</w:t>
            </w:r>
          </w:p>
        </w:tc>
        <w:tc>
          <w:tcPr>
            <w:tcW w:type="dxa" w:w="1984"/>
          </w:tcPr>
          <w:p>
            <w:pPr>
              <w:spacing w:before="40" w:after="40"/>
            </w:pPr>
            <w:r/>
            <w:r>
              <w:rPr>
                <w:rFonts w:ascii="Segoe UI" w:hAnsi="Segoe UI"/>
                <w:sz w:val="20"/>
              </w:rPr>
              <w:t>€880–€1.200</w:t>
            </w:r>
          </w:p>
        </w:tc>
        <w:tc>
          <w:tcPr>
            <w:tcW w:type="dxa" w:w="3402"/>
          </w:tcPr>
          <w:p>
            <w:pPr>
              <w:spacing w:before="40" w:after="40"/>
            </w:pPr>
            <w:r/>
            <w:r>
              <w:rPr>
                <w:rFonts w:ascii="Segoe UI" w:hAnsi="Segoe UI"/>
                <w:sz w:val="20"/>
              </w:rPr>
              <w:t>Implementatietrajecten</w:t>
            </w:r>
          </w:p>
        </w:tc>
      </w:tr>
    </w:tbl>
    <w:p>
      <w:pPr>
        <w:pStyle w:val="Heading2"/>
      </w:pPr>
      <w:r>
        <w:rPr>
          <w:rFonts w:ascii="Segoe UI" w:hAnsi="Segoe UI"/>
          <w:color w:val="003366"/>
        </w:rPr>
        <w:t>1.2 Staffelprijzen (Groeipad)</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tcPr>
          <w:p>
            <w:pPr>
              <w:spacing w:before="40" w:after="40"/>
              <w:jc w:val="center"/>
            </w:pPr>
            <w:r/>
            <w:r>
              <w:rPr>
                <w:rFonts w:ascii="Segoe UI" w:hAnsi="Segoe UI"/>
                <w:b/>
                <w:color w:val="FFFFFF"/>
                <w:sz w:val="20"/>
              </w:rPr>
              <w:t>Fase</w:t>
            </w:r>
          </w:p>
        </w:tc>
        <w:tc>
          <w:tcPr>
            <w:tcW w:type="dxa" w:w="1417"/>
          </w:tcPr>
          <w:p>
            <w:pPr>
              <w:spacing w:before="40" w:after="40"/>
              <w:jc w:val="center"/>
            </w:pPr>
            <w:r/>
            <w:r>
              <w:rPr>
                <w:rFonts w:ascii="Segoe UI" w:hAnsi="Segoe UI"/>
                <w:b/>
                <w:color w:val="FFFFFF"/>
                <w:sz w:val="20"/>
              </w:rPr>
              <w:t>Periode</w:t>
            </w:r>
          </w:p>
        </w:tc>
        <w:tc>
          <w:tcPr>
            <w:tcW w:type="dxa" w:w="1701"/>
          </w:tcPr>
          <w:p>
            <w:pPr>
              <w:spacing w:before="40" w:after="40"/>
              <w:jc w:val="center"/>
            </w:pPr>
            <w:r/>
            <w:r>
              <w:rPr>
                <w:rFonts w:ascii="Segoe UI" w:hAnsi="Segoe UI"/>
                <w:b/>
                <w:color w:val="FFFFFF"/>
                <w:sz w:val="20"/>
              </w:rPr>
              <w:t>Interim (dag)</w:t>
            </w:r>
          </w:p>
        </w:tc>
        <w:tc>
          <w:tcPr>
            <w:tcW w:type="dxa" w:w="1701"/>
          </w:tcPr>
          <w:p>
            <w:pPr>
              <w:spacing w:before="40" w:after="40"/>
              <w:jc w:val="center"/>
            </w:pPr>
            <w:r/>
            <w:r>
              <w:rPr>
                <w:rFonts w:ascii="Segoe UI" w:hAnsi="Segoe UI"/>
                <w:b/>
                <w:color w:val="FFFFFF"/>
                <w:sz w:val="20"/>
              </w:rPr>
              <w:t>Audit (dag)</w:t>
            </w:r>
          </w:p>
        </w:tc>
        <w:tc>
          <w:tcPr>
            <w:tcW w:type="dxa" w:w="1701"/>
          </w:tcPr>
          <w:p>
            <w:pPr>
              <w:spacing w:before="40" w:after="40"/>
              <w:jc w:val="center"/>
            </w:pPr>
            <w:r/>
            <w:r>
              <w:rPr>
                <w:rFonts w:ascii="Segoe UI" w:hAnsi="Segoe UI"/>
                <w:b/>
                <w:color w:val="FFFFFF"/>
                <w:sz w:val="20"/>
              </w:rPr>
              <w:t>Advies (dag)</w:t>
            </w:r>
          </w:p>
        </w:tc>
      </w:tr>
      <w:tr>
        <w:tc>
          <w:tcPr>
            <w:tcW w:type="dxa" w:w="1701"/>
          </w:tcPr>
          <w:p>
            <w:pPr>
              <w:spacing w:before="40" w:after="40"/>
            </w:pPr>
            <w:r/>
            <w:r>
              <w:rPr>
                <w:rFonts w:ascii="Segoe UI" w:hAnsi="Segoe UI"/>
                <w:sz w:val="20"/>
              </w:rPr>
              <w:t>Starttarief</w:t>
            </w:r>
          </w:p>
        </w:tc>
        <w:tc>
          <w:tcPr>
            <w:tcW w:type="dxa" w:w="1417"/>
          </w:tcPr>
          <w:p>
            <w:pPr>
              <w:spacing w:before="40" w:after="40"/>
            </w:pPr>
            <w:r/>
            <w:r>
              <w:rPr>
                <w:rFonts w:ascii="Segoe UI" w:hAnsi="Segoe UI"/>
                <w:sz w:val="20"/>
              </w:rPr>
              <w:t>0–12 mnd</w:t>
            </w:r>
          </w:p>
        </w:tc>
        <w:tc>
          <w:tcPr>
            <w:tcW w:type="dxa" w:w="1701"/>
          </w:tcPr>
          <w:p>
            <w:pPr>
              <w:spacing w:before="40" w:after="40"/>
            </w:pPr>
            <w:r/>
            <w:r>
              <w:rPr>
                <w:rFonts w:ascii="Segoe UI" w:hAnsi="Segoe UI"/>
                <w:sz w:val="20"/>
              </w:rPr>
              <w:t>€850</w:t>
            </w:r>
          </w:p>
        </w:tc>
        <w:tc>
          <w:tcPr>
            <w:tcW w:type="dxa" w:w="1701"/>
          </w:tcPr>
          <w:p>
            <w:pPr>
              <w:spacing w:before="40" w:after="40"/>
            </w:pPr>
            <w:r/>
            <w:r>
              <w:rPr>
                <w:rFonts w:ascii="Segoe UI" w:hAnsi="Segoe UI"/>
                <w:sz w:val="20"/>
              </w:rPr>
              <w:t>€960</w:t>
            </w:r>
          </w:p>
        </w:tc>
        <w:tc>
          <w:tcPr>
            <w:tcW w:type="dxa" w:w="1701"/>
          </w:tcPr>
          <w:p>
            <w:pPr>
              <w:spacing w:before="40" w:after="40"/>
            </w:pPr>
            <w:r/>
            <w:r>
              <w:rPr>
                <w:rFonts w:ascii="Segoe UI" w:hAnsi="Segoe UI"/>
                <w:sz w:val="20"/>
              </w:rPr>
              <w:t>€1.040</w:t>
            </w:r>
          </w:p>
        </w:tc>
      </w:tr>
      <w:tr>
        <w:tc>
          <w:tcPr>
            <w:tcW w:type="dxa" w:w="1701"/>
          </w:tcPr>
          <w:p>
            <w:pPr>
              <w:spacing w:before="40" w:after="40"/>
            </w:pPr>
            <w:r/>
            <w:r>
              <w:rPr>
                <w:rFonts w:ascii="Segoe UI" w:hAnsi="Segoe UI"/>
                <w:sz w:val="20"/>
              </w:rPr>
              <w:t>Geestablished</w:t>
            </w:r>
          </w:p>
        </w:tc>
        <w:tc>
          <w:tcPr>
            <w:tcW w:type="dxa" w:w="1417"/>
          </w:tcPr>
          <w:p>
            <w:pPr>
              <w:spacing w:before="40" w:after="40"/>
            </w:pPr>
            <w:r/>
            <w:r>
              <w:rPr>
                <w:rFonts w:ascii="Segoe UI" w:hAnsi="Segoe UI"/>
                <w:sz w:val="20"/>
              </w:rPr>
              <w:t>12–24 mnd</w:t>
            </w:r>
          </w:p>
        </w:tc>
        <w:tc>
          <w:tcPr>
            <w:tcW w:type="dxa" w:w="1701"/>
          </w:tcPr>
          <w:p>
            <w:pPr>
              <w:spacing w:before="40" w:after="40"/>
            </w:pPr>
            <w:r/>
            <w:r>
              <w:rPr>
                <w:rFonts w:ascii="Segoe UI" w:hAnsi="Segoe UI"/>
                <w:sz w:val="20"/>
              </w:rPr>
              <w:t>€950</w:t>
            </w:r>
          </w:p>
        </w:tc>
        <w:tc>
          <w:tcPr>
            <w:tcW w:type="dxa" w:w="1701"/>
          </w:tcPr>
          <w:p>
            <w:pPr>
              <w:spacing w:before="40" w:after="40"/>
            </w:pPr>
            <w:r/>
            <w:r>
              <w:rPr>
                <w:rFonts w:ascii="Segoe UI" w:hAnsi="Segoe UI"/>
                <w:sz w:val="20"/>
              </w:rPr>
              <w:t>€1.100</w:t>
            </w:r>
          </w:p>
        </w:tc>
        <w:tc>
          <w:tcPr>
            <w:tcW w:type="dxa" w:w="1701"/>
          </w:tcPr>
          <w:p>
            <w:pPr>
              <w:spacing w:before="40" w:after="40"/>
            </w:pPr>
            <w:r/>
            <w:r>
              <w:rPr>
                <w:rFonts w:ascii="Segoe UI" w:hAnsi="Segoe UI"/>
                <w:sz w:val="20"/>
              </w:rPr>
              <w:t>€1.200</w:t>
            </w:r>
          </w:p>
        </w:tc>
      </w:tr>
      <w:tr>
        <w:tc>
          <w:tcPr>
            <w:tcW w:type="dxa" w:w="1701"/>
          </w:tcPr>
          <w:p>
            <w:pPr>
              <w:spacing w:before="40" w:after="40"/>
            </w:pPr>
            <w:r/>
            <w:r>
              <w:rPr>
                <w:rFonts w:ascii="Segoe UI" w:hAnsi="Segoe UI"/>
                <w:sz w:val="20"/>
              </w:rPr>
              <w:t>Premium</w:t>
            </w:r>
          </w:p>
        </w:tc>
        <w:tc>
          <w:tcPr>
            <w:tcW w:type="dxa" w:w="1417"/>
          </w:tcPr>
          <w:p>
            <w:pPr>
              <w:spacing w:before="40" w:after="40"/>
            </w:pPr>
            <w:r/>
            <w:r>
              <w:rPr>
                <w:rFonts w:ascii="Segoe UI" w:hAnsi="Segoe UI"/>
                <w:sz w:val="20"/>
              </w:rPr>
              <w:t>24+ mnd</w:t>
            </w:r>
          </w:p>
        </w:tc>
        <w:tc>
          <w:tcPr>
            <w:tcW w:type="dxa" w:w="1701"/>
          </w:tcPr>
          <w:p>
            <w:pPr>
              <w:spacing w:before="40" w:after="40"/>
            </w:pPr>
            <w:r/>
            <w:r>
              <w:rPr>
                <w:rFonts w:ascii="Segoe UI" w:hAnsi="Segoe UI"/>
                <w:sz w:val="20"/>
              </w:rPr>
              <w:t>€1.100</w:t>
            </w:r>
          </w:p>
        </w:tc>
        <w:tc>
          <w:tcPr>
            <w:tcW w:type="dxa" w:w="1701"/>
          </w:tcPr>
          <w:p>
            <w:pPr>
              <w:spacing w:before="40" w:after="40"/>
            </w:pPr>
            <w:r/>
            <w:r>
              <w:rPr>
                <w:rFonts w:ascii="Segoe UI" w:hAnsi="Segoe UI"/>
                <w:sz w:val="20"/>
              </w:rPr>
              <w:t>€1.250</w:t>
            </w:r>
          </w:p>
        </w:tc>
        <w:tc>
          <w:tcPr>
            <w:tcW w:type="dxa" w:w="1701"/>
          </w:tcPr>
          <w:p>
            <w:pPr>
              <w:spacing w:before="40" w:after="40"/>
            </w:pPr>
            <w:r/>
            <w:r>
              <w:rPr>
                <w:rFonts w:ascii="Segoe UI" w:hAnsi="Segoe UI"/>
                <w:sz w:val="20"/>
              </w:rPr>
              <w:t>€1.350</w:t>
            </w:r>
          </w:p>
        </w:tc>
      </w:tr>
    </w:tbl>
    <w:p>
      <w:pPr>
        <w:pStyle w:val="Heading2"/>
      </w:pPr>
      <w:r>
        <w:rPr>
          <w:rFonts w:ascii="Segoe UI" w:hAnsi="Segoe UI"/>
          <w:color w:val="003366"/>
        </w:rPr>
        <w:t>1.3 Concurrentiepositie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701"/>
          </w:tcPr>
          <w:p>
            <w:pPr>
              <w:spacing w:before="40" w:after="40"/>
              <w:jc w:val="center"/>
            </w:pPr>
            <w:r/>
            <w:r>
              <w:rPr>
                <w:rFonts w:ascii="Segoe UI" w:hAnsi="Segoe UI"/>
                <w:b/>
                <w:color w:val="FFFFFF"/>
                <w:sz w:val="20"/>
              </w:rPr>
              <w:t>Segment</w:t>
            </w:r>
          </w:p>
        </w:tc>
        <w:tc>
          <w:tcPr>
            <w:tcW w:type="dxa" w:w="1701"/>
          </w:tcPr>
          <w:p>
            <w:pPr>
              <w:spacing w:before="40" w:after="40"/>
              <w:jc w:val="center"/>
            </w:pPr>
            <w:r/>
            <w:r>
              <w:rPr>
                <w:rFonts w:ascii="Segoe UI" w:hAnsi="Segoe UI"/>
                <w:b/>
                <w:color w:val="FFFFFF"/>
                <w:sz w:val="20"/>
              </w:rPr>
              <w:t>Dagtarief</w:t>
            </w:r>
          </w:p>
        </w:tc>
        <w:tc>
          <w:tcPr>
            <w:tcW w:type="dxa" w:w="2835"/>
          </w:tcPr>
          <w:p>
            <w:pPr>
              <w:spacing w:before="40" w:after="40"/>
              <w:jc w:val="center"/>
            </w:pPr>
            <w:r/>
            <w:r>
              <w:rPr>
                <w:rFonts w:ascii="Segoe UI" w:hAnsi="Segoe UI"/>
                <w:b/>
                <w:color w:val="FFFFFF"/>
                <w:sz w:val="20"/>
              </w:rPr>
              <w:t>Voorbeeld</w:t>
            </w:r>
          </w:p>
        </w:tc>
        <w:tc>
          <w:tcPr>
            <w:tcW w:type="dxa" w:w="2835"/>
          </w:tcPr>
          <w:p>
            <w:pPr>
              <w:spacing w:before="40" w:after="40"/>
              <w:jc w:val="center"/>
            </w:pPr>
            <w:r/>
            <w:r>
              <w:rPr>
                <w:rFonts w:ascii="Segoe UI" w:hAnsi="Segoe UI"/>
                <w:b/>
                <w:color w:val="FFFFFF"/>
                <w:sz w:val="20"/>
              </w:rPr>
              <w:t>Positie JvG</w:t>
            </w:r>
          </w:p>
        </w:tc>
      </w:tr>
      <w:tr>
        <w:tc>
          <w:tcPr>
            <w:tcW w:type="dxa" w:w="1701"/>
          </w:tcPr>
          <w:p>
            <w:pPr>
              <w:spacing w:before="40" w:after="40"/>
            </w:pPr>
            <w:r/>
            <w:r>
              <w:rPr>
                <w:rFonts w:ascii="Segoe UI" w:hAnsi="Segoe UI"/>
                <w:sz w:val="20"/>
              </w:rPr>
              <w:t>Low-end</w:t>
            </w:r>
          </w:p>
        </w:tc>
        <w:tc>
          <w:tcPr>
            <w:tcW w:type="dxa" w:w="1701"/>
          </w:tcPr>
          <w:p>
            <w:pPr>
              <w:spacing w:before="40" w:after="40"/>
            </w:pPr>
            <w:r/>
            <w:r>
              <w:rPr>
                <w:rFonts w:ascii="Segoe UI" w:hAnsi="Segoe UI"/>
                <w:sz w:val="20"/>
              </w:rPr>
              <w:t>€600–€800</w:t>
            </w:r>
          </w:p>
        </w:tc>
        <w:tc>
          <w:tcPr>
            <w:tcW w:type="dxa" w:w="2835"/>
          </w:tcPr>
          <w:p>
            <w:pPr>
              <w:spacing w:before="40" w:after="40"/>
            </w:pPr>
            <w:r/>
            <w:r>
              <w:rPr>
                <w:rFonts w:ascii="Segoe UI" w:hAnsi="Segoe UI"/>
                <w:sz w:val="20"/>
              </w:rPr>
              <w:t>Algemene veiligheidsadviseurs</w:t>
            </w:r>
          </w:p>
        </w:tc>
        <w:tc>
          <w:tcPr>
            <w:tcW w:type="dxa" w:w="2835"/>
          </w:tcPr>
          <w:p>
            <w:pPr>
              <w:spacing w:before="40" w:after="40"/>
            </w:pPr>
            <w:r/>
            <w:r>
              <w:rPr>
                <w:rFonts w:ascii="Segoe UI" w:hAnsi="Segoe UI"/>
                <w:sz w:val="20"/>
              </w:rPr>
              <w:t>Boven — niche-premie</w:t>
            </w:r>
          </w:p>
        </w:tc>
      </w:tr>
      <w:tr>
        <w:tc>
          <w:tcPr>
            <w:tcW w:type="dxa" w:w="1701"/>
          </w:tcPr>
          <w:p>
            <w:pPr>
              <w:spacing w:before="40" w:after="40"/>
            </w:pPr>
            <w:r/>
            <w:r>
              <w:rPr>
                <w:rFonts w:ascii="Segoe UI" w:hAnsi="Segoe UI"/>
                <w:sz w:val="20"/>
              </w:rPr>
              <w:t>Midden</w:t>
            </w:r>
          </w:p>
        </w:tc>
        <w:tc>
          <w:tcPr>
            <w:tcW w:type="dxa" w:w="1701"/>
          </w:tcPr>
          <w:p>
            <w:pPr>
              <w:spacing w:before="40" w:after="40"/>
            </w:pPr>
            <w:r/>
            <w:r>
              <w:rPr>
                <w:rFonts w:ascii="Segoe UI" w:hAnsi="Segoe UI"/>
                <w:sz w:val="20"/>
              </w:rPr>
              <w:t>€800–€1.100</w:t>
            </w:r>
          </w:p>
        </w:tc>
        <w:tc>
          <w:tcPr>
            <w:tcW w:type="dxa" w:w="2835"/>
          </w:tcPr>
          <w:p>
            <w:pPr>
              <w:spacing w:before="40" w:after="40"/>
            </w:pPr>
            <w:r/>
            <w:r>
              <w:rPr>
                <w:rFonts w:ascii="Segoe UI" w:hAnsi="Segoe UI"/>
                <w:sz w:val="20"/>
              </w:rPr>
              <w:t>Regionale HSEQ consultants</w:t>
            </w:r>
          </w:p>
        </w:tc>
        <w:tc>
          <w:tcPr>
            <w:tcW w:type="dxa" w:w="2835"/>
          </w:tcPr>
          <w:p>
            <w:pPr>
              <w:spacing w:before="40" w:after="40"/>
            </w:pPr>
            <w:r/>
            <w:r>
              <w:rPr>
                <w:rFonts w:ascii="Segoe UI" w:hAnsi="Segoe UI"/>
                <w:sz w:val="20"/>
              </w:rPr>
              <w:t>In lijn — concurrerend</w:t>
            </w:r>
          </w:p>
        </w:tc>
      </w:tr>
      <w:tr>
        <w:tc>
          <w:tcPr>
            <w:tcW w:type="dxa" w:w="1701"/>
          </w:tcPr>
          <w:p>
            <w:pPr>
              <w:spacing w:before="40" w:after="40"/>
            </w:pPr>
            <w:r/>
            <w:r>
              <w:rPr>
                <w:rFonts w:ascii="Segoe UI" w:hAnsi="Segoe UI"/>
                <w:sz w:val="20"/>
              </w:rPr>
              <w:t>Premium</w:t>
            </w:r>
          </w:p>
        </w:tc>
        <w:tc>
          <w:tcPr>
            <w:tcW w:type="dxa" w:w="1701"/>
          </w:tcPr>
          <w:p>
            <w:pPr>
              <w:spacing w:before="40" w:after="40"/>
            </w:pPr>
            <w:r/>
            <w:r>
              <w:rPr>
                <w:rFonts w:ascii="Segoe UI" w:hAnsi="Segoe UI"/>
                <w:sz w:val="20"/>
              </w:rPr>
              <w:t>€1.100–€1.500</w:t>
            </w:r>
          </w:p>
        </w:tc>
        <w:tc>
          <w:tcPr>
            <w:tcW w:type="dxa" w:w="2835"/>
          </w:tcPr>
          <w:p>
            <w:pPr>
              <w:spacing w:before="40" w:after="40"/>
            </w:pPr>
            <w:r/>
            <w:r>
              <w:rPr>
                <w:rFonts w:ascii="Segoe UI" w:hAnsi="Segoe UI"/>
                <w:sz w:val="20"/>
              </w:rPr>
              <w:t>Big-4 / internationale bureaus</w:t>
            </w:r>
          </w:p>
        </w:tc>
        <w:tc>
          <w:tcPr>
            <w:tcW w:type="dxa" w:w="2835"/>
          </w:tcPr>
          <w:p>
            <w:pPr>
              <w:spacing w:before="40" w:after="40"/>
            </w:pPr>
            <w:r/>
            <w:r>
              <w:rPr>
                <w:rFonts w:ascii="Segoe UI" w:hAnsi="Segoe UI"/>
                <w:sz w:val="20"/>
              </w:rPr>
              <w:t>Onder — waardepropositie</w:t>
            </w:r>
          </w:p>
        </w:tc>
      </w:tr>
    </w:tbl>
    <w:p>
      <w:pPr>
        <w:pStyle w:val="Heading2"/>
      </w:pPr>
      <w:r>
        <w:rPr>
          <w:rFonts w:ascii="Segoe UI" w:hAnsi="Segoe UI"/>
          <w:color w:val="003366"/>
        </w:rPr>
        <w:t>1.4 Offshore Premie &amp; Minimum Contractwaarden</w:t>
      </w:r>
    </w:p>
    <w:p>
      <w:pPr>
        <w:spacing w:after="120"/>
      </w:pPr>
      <w:r>
        <w:rPr>
          <w:rFonts w:ascii="Segoe UI" w:hAnsi="Segoe UI"/>
          <w:color w:val="1F2937"/>
          <w:sz w:val="22"/>
        </w:rPr>
        <w:t>Offshore opdrachten dragen een premie van +15–25% ten opzichte van onshore, wegens logistieke complexiteit, verblijfskosten en vereiste veiligheidscertificeringen (OPITO, BOSIET). Minimum contractwaarde: €5.000 per opdracht. Interim-contracten: minimum 3 maanden.</w:t>
      </w:r>
    </w:p>
    <w:p>
      <w:pPr>
        <w:pStyle w:val="Heading2"/>
      </w:pPr>
      <w:r>
        <w:rPr>
          <w:rFonts w:ascii="Segoe UI" w:hAnsi="Segoe UI"/>
          <w:color w:val="003366"/>
        </w:rPr>
        <w:t>1.5 Advies: Starttarief vs Groeipad</w:t>
      </w:r>
    </w:p>
    <w:p>
      <w:pPr>
        <w:spacing w:after="120"/>
      </w:pPr>
      <w:r>
        <w:rPr>
          <w:rFonts w:ascii="Segoe UI" w:hAnsi="Segoe UI"/>
          <w:color w:val="1F2937"/>
          <w:sz w:val="22"/>
        </w:rPr>
        <w:t>Advies: start met het midden van de range (€850/dag interim) om referenties op te bouwen. Verhoog naar €950–€1.100 na 12 maanden op basis van bewezen trackrecord. Passeer €1.000/dag alleen met minimaal 3 succesvolle projectreferenties. Offshore altijd premie tarief (+20%).</w:t>
      </w:r>
    </w:p>
    <w:p>
      <w:pPr>
        <w:pStyle w:val="Heading1"/>
      </w:pPr>
      <w:r>
        <w:rPr>
          <w:rFonts w:ascii="Segoe UI" w:hAnsi="Segoe UI"/>
          <w:color w:val="003366"/>
        </w:rPr>
        <w:t>2. Kostenstructuur</w:t>
      </w:r>
    </w:p>
    <w:p>
      <w:pPr>
        <w:pStyle w:val="Heading2"/>
      </w:pPr>
      <w:r>
        <w:rPr>
          <w:rFonts w:ascii="Segoe UI" w:hAnsi="Segoe UI"/>
          <w:color w:val="003366"/>
        </w:rPr>
        <w:t>2.1 Startup Kosten (Eenmalig)</w:t>
      </w:r>
    </w:p>
    <w:tbl>
      <w:tblPr>
        <w:tblStyle w:val="TableGrid"/>
        <w:tblW w:type="auto" w:w="0"/>
        <w:jc w:val="center"/>
        <w:tblLook w:firstColumn="1" w:firstRow="1" w:lastColumn="0" w:lastRow="0" w:noHBand="0" w:noVBand="1" w:val="04A0"/>
      </w:tblPr>
      <w:tblGrid>
        <w:gridCol w:w="3135"/>
        <w:gridCol w:w="3135"/>
        <w:gridCol w:w="3135"/>
      </w:tblGrid>
      <w:tr>
        <w:tc>
          <w:tcPr>
            <w:tcW w:type="dxa" w:w="2835"/>
          </w:tcPr>
          <w:p>
            <w:pPr>
              <w:spacing w:before="40" w:after="40"/>
              <w:jc w:val="center"/>
            </w:pPr>
            <w:r/>
            <w:r>
              <w:rPr>
                <w:rFonts w:ascii="Segoe UI" w:hAnsi="Segoe UI"/>
                <w:b/>
                <w:color w:val="FFFFFF"/>
                <w:sz w:val="20"/>
              </w:rPr>
              <w:t>Categorie</w:t>
            </w:r>
          </w:p>
        </w:tc>
        <w:tc>
          <w:tcPr>
            <w:tcW w:type="dxa" w:w="1701"/>
          </w:tcPr>
          <w:p>
            <w:pPr>
              <w:spacing w:before="40" w:after="40"/>
              <w:jc w:val="center"/>
            </w:pPr>
            <w:r/>
            <w:r>
              <w:rPr>
                <w:rFonts w:ascii="Segoe UI" w:hAnsi="Segoe UI"/>
                <w:b/>
                <w:color w:val="FFFFFF"/>
                <w:sz w:val="20"/>
              </w:rPr>
              <w:t>Bedrag</w:t>
            </w:r>
          </w:p>
        </w:tc>
        <w:tc>
          <w:tcPr>
            <w:tcW w:type="dxa" w:w="4535"/>
          </w:tcPr>
          <w:p>
            <w:pPr>
              <w:spacing w:before="40" w:after="40"/>
              <w:jc w:val="center"/>
            </w:pPr>
            <w:r/>
            <w:r>
              <w:rPr>
                <w:rFonts w:ascii="Segoe UI" w:hAnsi="Segoe UI"/>
                <w:b/>
                <w:color w:val="FFFFFF"/>
                <w:sz w:val="20"/>
              </w:rPr>
              <w:t>Opmerking</w:t>
            </w:r>
          </w:p>
        </w:tc>
      </w:tr>
      <w:tr>
        <w:tc>
          <w:tcPr>
            <w:tcW w:type="dxa" w:w="2835"/>
          </w:tcPr>
          <w:p>
            <w:pPr>
              <w:spacing w:before="40" w:after="40"/>
            </w:pPr>
            <w:r/>
            <w:r>
              <w:rPr>
                <w:rFonts w:ascii="Segoe UI" w:hAnsi="Segoe UI"/>
                <w:sz w:val="20"/>
              </w:rPr>
              <w:t>KvK inschrijving</w:t>
            </w:r>
          </w:p>
        </w:tc>
        <w:tc>
          <w:tcPr>
            <w:tcW w:type="dxa" w:w="1701"/>
          </w:tcPr>
          <w:p>
            <w:pPr>
              <w:spacing w:before="40" w:after="40"/>
            </w:pPr>
            <w:r/>
            <w:r>
              <w:rPr>
                <w:rFonts w:ascii="Segoe UI" w:hAnsi="Segoe UI"/>
                <w:sz w:val="20"/>
              </w:rPr>
              <w:t>€75</w:t>
            </w:r>
          </w:p>
        </w:tc>
        <w:tc>
          <w:tcPr>
            <w:tcW w:type="dxa" w:w="4535"/>
          </w:tcPr>
          <w:p>
            <w:pPr>
              <w:spacing w:before="40" w:after="40"/>
            </w:pPr>
            <w:r/>
            <w:r>
              <w:rPr>
                <w:rFonts w:ascii="Segoe UI" w:hAnsi="Segoe UI"/>
                <w:sz w:val="20"/>
              </w:rPr>
              <w:t>Eenmanszaak</w:t>
            </w:r>
          </w:p>
        </w:tc>
      </w:tr>
      <w:tr>
        <w:tc>
          <w:tcPr>
            <w:tcW w:type="dxa" w:w="2835"/>
          </w:tcPr>
          <w:p>
            <w:pPr>
              <w:spacing w:before="40" w:after="40"/>
            </w:pPr>
            <w:r/>
            <w:r>
              <w:rPr>
                <w:rFonts w:ascii="Segoe UI" w:hAnsi="Segoe UI"/>
                <w:sz w:val="20"/>
              </w:rPr>
              <w:t>Website (ontwerp + hosting jaar 1)</w:t>
            </w:r>
          </w:p>
        </w:tc>
        <w:tc>
          <w:tcPr>
            <w:tcW w:type="dxa" w:w="1701"/>
          </w:tcPr>
          <w:p>
            <w:pPr>
              <w:spacing w:before="40" w:after="40"/>
            </w:pPr>
            <w:r/>
            <w:r>
              <w:rPr>
                <w:rFonts w:ascii="Segoe UI" w:hAnsi="Segoe UI"/>
                <w:sz w:val="20"/>
              </w:rPr>
              <w:t>€2.500</w:t>
            </w:r>
          </w:p>
        </w:tc>
        <w:tc>
          <w:tcPr>
            <w:tcW w:type="dxa" w:w="4535"/>
          </w:tcPr>
          <w:p>
            <w:pPr>
              <w:spacing w:before="40" w:after="40"/>
            </w:pPr>
            <w:r/>
            <w:r>
              <w:rPr>
                <w:rFonts w:ascii="Segoe UI" w:hAnsi="Segoe UI"/>
                <w:sz w:val="20"/>
              </w:rPr>
              <w:t>Professionele WordPress-site</w:t>
            </w:r>
          </w:p>
        </w:tc>
      </w:tr>
      <w:tr>
        <w:tc>
          <w:tcPr>
            <w:tcW w:type="dxa" w:w="2835"/>
          </w:tcPr>
          <w:p>
            <w:pPr>
              <w:spacing w:before="40" w:after="40"/>
            </w:pPr>
            <w:r/>
            <w:r>
              <w:rPr>
                <w:rFonts w:ascii="Segoe UI" w:hAnsi="Segoe UI"/>
                <w:sz w:val="20"/>
              </w:rPr>
              <w:t>Branding (logo, huisstijl)</w:t>
            </w:r>
          </w:p>
        </w:tc>
        <w:tc>
          <w:tcPr>
            <w:tcW w:type="dxa" w:w="1701"/>
          </w:tcPr>
          <w:p>
            <w:pPr>
              <w:spacing w:before="40" w:after="40"/>
            </w:pPr>
            <w:r/>
            <w:r>
              <w:rPr>
                <w:rFonts w:ascii="Segoe UI" w:hAnsi="Segoe UI"/>
                <w:sz w:val="20"/>
              </w:rPr>
              <w:t>€1.500</w:t>
            </w:r>
          </w:p>
        </w:tc>
        <w:tc>
          <w:tcPr>
            <w:tcW w:type="dxa" w:w="4535"/>
          </w:tcPr>
          <w:p>
            <w:pPr>
              <w:spacing w:before="40" w:after="40"/>
            </w:pPr>
            <w:r/>
            <w:r>
              <w:rPr>
                <w:rFonts w:ascii="Segoe UI" w:hAnsi="Segoe UI"/>
                <w:sz w:val="20"/>
              </w:rPr>
              <w:t>Reeds beschikbaar via JvG</w:t>
            </w:r>
          </w:p>
        </w:tc>
      </w:tr>
      <w:tr>
        <w:tc>
          <w:tcPr>
            <w:tcW w:type="dxa" w:w="2835"/>
          </w:tcPr>
          <w:p>
            <w:pPr>
              <w:spacing w:before="40" w:after="40"/>
            </w:pPr>
            <w:r/>
            <w:r>
              <w:rPr>
                <w:rFonts w:ascii="Segoe UI" w:hAnsi="Segoe UI"/>
                <w:sz w:val="20"/>
              </w:rPr>
              <w:t>Laptop (business)</w:t>
            </w:r>
          </w:p>
        </w:tc>
        <w:tc>
          <w:tcPr>
            <w:tcW w:type="dxa" w:w="1701"/>
          </w:tcPr>
          <w:p>
            <w:pPr>
              <w:spacing w:before="40" w:after="40"/>
            </w:pPr>
            <w:r/>
            <w:r>
              <w:rPr>
                <w:rFonts w:ascii="Segoe UI" w:hAnsi="Segoe UI"/>
                <w:sz w:val="20"/>
              </w:rPr>
              <w:t>€2.000</w:t>
            </w:r>
          </w:p>
        </w:tc>
        <w:tc>
          <w:tcPr>
            <w:tcW w:type="dxa" w:w="4535"/>
          </w:tcPr>
          <w:p>
            <w:pPr>
              <w:spacing w:before="40" w:after="40"/>
            </w:pPr>
            <w:r/>
            <w:r>
              <w:rPr>
                <w:rFonts w:ascii="Segoe UI" w:hAnsi="Segoe UI"/>
                <w:sz w:val="20"/>
              </w:rPr>
              <w:t>MacBook Pro / equivalente business laptop</w:t>
            </w:r>
          </w:p>
        </w:tc>
      </w:tr>
      <w:tr>
        <w:tc>
          <w:tcPr>
            <w:tcW w:type="dxa" w:w="2835"/>
          </w:tcPr>
          <w:p>
            <w:pPr>
              <w:spacing w:before="40" w:after="40"/>
            </w:pPr>
            <w:r/>
            <w:r>
              <w:rPr>
                <w:rFonts w:ascii="Segoe UI" w:hAnsi="Segoe UI"/>
                <w:sz w:val="20"/>
              </w:rPr>
              <w:t>Certificeringen (NEBOSH, IVVK)</w:t>
            </w:r>
          </w:p>
        </w:tc>
        <w:tc>
          <w:tcPr>
            <w:tcW w:type="dxa" w:w="1701"/>
          </w:tcPr>
          <w:p>
            <w:pPr>
              <w:spacing w:before="40" w:after="40"/>
            </w:pPr>
            <w:r/>
            <w:r>
              <w:rPr>
                <w:rFonts w:ascii="Segoe UI" w:hAnsi="Segoe UI"/>
                <w:sz w:val="20"/>
              </w:rPr>
              <w:t>€3.500</w:t>
            </w:r>
          </w:p>
        </w:tc>
        <w:tc>
          <w:tcPr>
            <w:tcW w:type="dxa" w:w="4535"/>
          </w:tcPr>
          <w:p>
            <w:pPr>
              <w:spacing w:before="40" w:after="40"/>
            </w:pPr>
            <w:r/>
            <w:r>
              <w:rPr>
                <w:rFonts w:ascii="Segoe UI" w:hAnsi="Segoe UI"/>
                <w:sz w:val="20"/>
              </w:rPr>
              <w:t>Her-/vercertificering</w:t>
            </w:r>
          </w:p>
        </w:tc>
      </w:tr>
      <w:tr>
        <w:tc>
          <w:tcPr>
            <w:tcW w:type="dxa" w:w="2835"/>
          </w:tcPr>
          <w:p>
            <w:pPr>
              <w:spacing w:before="40" w:after="40"/>
            </w:pPr>
            <w:r/>
            <w:r>
              <w:rPr>
                <w:rFonts w:ascii="Segoe UI" w:hAnsi="Segoe UI"/>
                <w:sz w:val="20"/>
              </w:rPr>
              <w:t>VCA VOL (indien niet geldig)</w:t>
            </w:r>
          </w:p>
        </w:tc>
        <w:tc>
          <w:tcPr>
            <w:tcW w:type="dxa" w:w="1701"/>
          </w:tcPr>
          <w:p>
            <w:pPr>
              <w:spacing w:before="40" w:after="40"/>
            </w:pPr>
            <w:r/>
            <w:r>
              <w:rPr>
                <w:rFonts w:ascii="Segoe UI" w:hAnsi="Segoe UI"/>
                <w:sz w:val="20"/>
              </w:rPr>
              <w:t>€350</w:t>
            </w:r>
          </w:p>
        </w:tc>
        <w:tc>
          <w:tcPr>
            <w:tcW w:type="dxa" w:w="4535"/>
          </w:tcPr>
          <w:p>
            <w:pPr>
              <w:spacing w:before="40" w:after="40"/>
            </w:pPr>
            <w:r/>
            <w:r>
              <w:rPr>
                <w:rFonts w:ascii="Segoe UI" w:hAnsi="Segoe UI"/>
                <w:sz w:val="20"/>
              </w:rPr>
              <w:t>Verplicht voor industrie</w:t>
            </w:r>
          </w:p>
        </w:tc>
      </w:tr>
      <w:tr>
        <w:tc>
          <w:tcPr>
            <w:tcW w:type="dxa" w:w="2835"/>
          </w:tcPr>
          <w:p>
            <w:pPr>
              <w:spacing w:before="40" w:after="40"/>
            </w:pPr>
            <w:r/>
            <w:r>
              <w:rPr>
                <w:rFonts w:ascii="Segoe UI" w:hAnsi="Segoe UI"/>
                <w:sz w:val="20"/>
              </w:rPr>
              <w:t>Juridisch (AV, algemene voorwaarden)</w:t>
            </w:r>
          </w:p>
        </w:tc>
        <w:tc>
          <w:tcPr>
            <w:tcW w:type="dxa" w:w="1701"/>
          </w:tcPr>
          <w:p>
            <w:pPr>
              <w:spacing w:before="40" w:after="40"/>
            </w:pPr>
            <w:r/>
            <w:r>
              <w:rPr>
                <w:rFonts w:ascii="Segoe UI" w:hAnsi="Segoe UI"/>
                <w:sz w:val="20"/>
              </w:rPr>
              <w:t>€800</w:t>
            </w:r>
          </w:p>
        </w:tc>
        <w:tc>
          <w:tcPr>
            <w:tcW w:type="dxa" w:w="4535"/>
          </w:tcPr>
          <w:p>
            <w:pPr>
              <w:spacing w:before="40" w:after="40"/>
            </w:pPr>
            <w:r/>
            <w:r>
              <w:rPr>
                <w:rFonts w:ascii="Segoe UI" w:hAnsi="Segoe UI"/>
                <w:sz w:val="20"/>
              </w:rPr>
              <w:t>Via juridisch specialist</w:t>
            </w:r>
          </w:p>
        </w:tc>
      </w:tr>
      <w:tr>
        <w:tc>
          <w:tcPr>
            <w:tcW w:type="dxa" w:w="2835"/>
          </w:tcPr>
          <w:p>
            <w:pPr>
              <w:spacing w:before="40" w:after="40"/>
            </w:pPr>
            <w:r/>
            <w:r>
              <w:rPr>
                <w:rFonts w:ascii="Segoe UI" w:hAnsi="Segoe UI"/>
                <w:sz w:val="20"/>
              </w:rPr>
              <w:t>Bedrijfsrekening</w:t>
            </w:r>
          </w:p>
        </w:tc>
        <w:tc>
          <w:tcPr>
            <w:tcW w:type="dxa" w:w="1701"/>
          </w:tcPr>
          <w:p>
            <w:pPr>
              <w:spacing w:before="40" w:after="40"/>
            </w:pPr>
            <w:r/>
            <w:r>
              <w:rPr>
                <w:rFonts w:ascii="Segoe UI" w:hAnsi="Segoe UI"/>
                <w:sz w:val="20"/>
              </w:rPr>
              <w:t>€100</w:t>
            </w:r>
          </w:p>
        </w:tc>
        <w:tc>
          <w:tcPr>
            <w:tcW w:type="dxa" w:w="4535"/>
          </w:tcPr>
          <w:p>
            <w:pPr>
              <w:spacing w:before="40" w:after="40"/>
            </w:pPr>
            <w:r/>
            <w:r>
              <w:rPr>
                <w:rFonts w:ascii="Segoe UI" w:hAnsi="Segoe UI"/>
                <w:sz w:val="20"/>
              </w:rPr>
              <w:t>Eenmalig setup</w:t>
            </w:r>
          </w:p>
        </w:tc>
      </w:tr>
      <w:tr>
        <w:tc>
          <w:tcPr>
            <w:tcW w:type="dxa" w:w="2835"/>
          </w:tcPr>
          <w:p>
            <w:pPr>
              <w:spacing w:before="40" w:after="40"/>
            </w:pPr>
            <w:r/>
            <w:r>
              <w:rPr>
                <w:rFonts w:ascii="Segoe UI" w:hAnsi="Segoe UI"/>
                <w:sz w:val="20"/>
              </w:rPr>
              <w:t>Overig (kantoormateriaal, etc.)</w:t>
            </w:r>
          </w:p>
        </w:tc>
        <w:tc>
          <w:tcPr>
            <w:tcW w:type="dxa" w:w="1701"/>
          </w:tcPr>
          <w:p>
            <w:pPr>
              <w:spacing w:before="40" w:after="40"/>
            </w:pPr>
            <w:r/>
            <w:r>
              <w:rPr>
                <w:rFonts w:ascii="Segoe UI" w:hAnsi="Segoe UI"/>
                <w:sz w:val="20"/>
              </w:rPr>
              <w:t>€500</w:t>
            </w:r>
          </w:p>
        </w:tc>
        <w:tc>
          <w:tcPr>
            <w:tcW w:type="dxa" w:w="4535"/>
          </w:tcPr>
          <w:p>
            <w:pPr>
              <w:spacing w:before="40" w:after="40"/>
            </w:pPr>
            <w:r/>
            <w:r>
              <w:rPr>
                <w:rFonts w:ascii="Segoe UI" w:hAnsi="Segoe UI"/>
                <w:sz w:val="20"/>
              </w:rPr>
              <w:t>Diversen</w:t>
            </w:r>
          </w:p>
        </w:tc>
      </w:tr>
      <w:tr>
        <w:tc>
          <w:tcPr>
            <w:tcW w:type="dxa" w:w="2835"/>
          </w:tcPr>
          <w:p>
            <w:pPr>
              <w:spacing w:before="40" w:after="40"/>
            </w:pPr>
            <w:r/>
            <w:r>
              <w:rPr>
                <w:rFonts w:ascii="Segoe UI" w:hAnsi="Segoe UI"/>
                <w:sz w:val="20"/>
              </w:rPr>
              <w:t>TOTAAL STARTUP</w:t>
            </w:r>
          </w:p>
        </w:tc>
        <w:tc>
          <w:tcPr>
            <w:tcW w:type="dxa" w:w="1701"/>
          </w:tcPr>
          <w:p>
            <w:pPr>
              <w:spacing w:before="40" w:after="40"/>
            </w:pPr>
            <w:r/>
            <w:r>
              <w:rPr>
                <w:rFonts w:ascii="Segoe UI" w:hAnsi="Segoe UI"/>
                <w:sz w:val="20"/>
              </w:rPr>
              <w:t>€11.325</w:t>
            </w:r>
          </w:p>
        </w:tc>
        <w:tc>
          <w:tcPr>
            <w:tcW w:type="dxa" w:w="4535"/>
          </w:tcPr>
          <w:p>
            <w:pPr>
              <w:spacing w:before="40" w:after="40"/>
            </w:pPr>
            <w:r/>
            <w:r>
              <w:rPr>
                <w:rFonts w:ascii="Segoe UI" w:hAnsi="Segoe UI"/>
                <w:sz w:val="20"/>
              </w:rPr>
              <w:t>—</w:t>
            </w:r>
          </w:p>
        </w:tc>
      </w:tr>
    </w:tbl>
    <w:p>
      <w:pPr>
        <w:pStyle w:val="Heading2"/>
      </w:pPr>
      <w:r>
        <w:rPr>
          <w:rFonts w:ascii="Segoe UI" w:hAnsi="Segoe UI"/>
          <w:color w:val="003366"/>
        </w:rPr>
        <w:t>2.2 Vaste Lasten (Maandelijks)</w:t>
      </w:r>
    </w:p>
    <w:tbl>
      <w:tblPr>
        <w:tblStyle w:val="TableGrid"/>
        <w:tblW w:type="auto" w:w="0"/>
        <w:jc w:val="center"/>
        <w:tblLook w:firstColumn="1" w:firstRow="1" w:lastColumn="0" w:lastRow="0" w:noHBand="0" w:noVBand="1" w:val="04A0"/>
      </w:tblPr>
      <w:tblGrid>
        <w:gridCol w:w="3135"/>
        <w:gridCol w:w="3135"/>
        <w:gridCol w:w="3135"/>
      </w:tblGrid>
      <w:tr>
        <w:tc>
          <w:tcPr>
            <w:tcW w:type="dxa" w:w="2835"/>
          </w:tcPr>
          <w:p>
            <w:pPr>
              <w:spacing w:before="40" w:after="40"/>
              <w:jc w:val="center"/>
            </w:pPr>
            <w:r/>
            <w:r>
              <w:rPr>
                <w:rFonts w:ascii="Segoe UI" w:hAnsi="Segoe UI"/>
                <w:b/>
                <w:color w:val="FFFFFF"/>
                <w:sz w:val="20"/>
              </w:rPr>
              <w:t>Categorie</w:t>
            </w:r>
          </w:p>
        </w:tc>
        <w:tc>
          <w:tcPr>
            <w:tcW w:type="dxa" w:w="1701"/>
          </w:tcPr>
          <w:p>
            <w:pPr>
              <w:spacing w:before="40" w:after="40"/>
              <w:jc w:val="center"/>
            </w:pPr>
            <w:r/>
            <w:r>
              <w:rPr>
                <w:rFonts w:ascii="Segoe UI" w:hAnsi="Segoe UI"/>
                <w:b/>
                <w:color w:val="FFFFFF"/>
                <w:sz w:val="20"/>
              </w:rPr>
              <w:t>Bedrag/maand</w:t>
            </w:r>
          </w:p>
        </w:tc>
        <w:tc>
          <w:tcPr>
            <w:tcW w:type="dxa" w:w="1701"/>
          </w:tcPr>
          <w:p>
            <w:pPr>
              <w:spacing w:before="40" w:after="40"/>
              <w:jc w:val="center"/>
            </w:pPr>
            <w:r/>
            <w:r>
              <w:rPr>
                <w:rFonts w:ascii="Segoe UI" w:hAnsi="Segoe UI"/>
                <w:b/>
                <w:color w:val="FFFFFF"/>
                <w:sz w:val="20"/>
              </w:rPr>
              <w:t>Jaartotaal</w:t>
            </w:r>
          </w:p>
        </w:tc>
      </w:tr>
      <w:tr>
        <w:tc>
          <w:tcPr>
            <w:tcW w:type="dxa" w:w="2835"/>
          </w:tcPr>
          <w:p>
            <w:pPr>
              <w:spacing w:before="40" w:after="40"/>
            </w:pPr>
            <w:r/>
            <w:r>
              <w:rPr>
                <w:rFonts w:ascii="Segoe UI" w:hAnsi="Segoe UI"/>
                <w:sz w:val="20"/>
              </w:rPr>
              <w:t>BA-verzekering (beroepsaansprakelijkheid)</w:t>
            </w:r>
          </w:p>
        </w:tc>
        <w:tc>
          <w:tcPr>
            <w:tcW w:type="dxa" w:w="1701"/>
          </w:tcPr>
          <w:p>
            <w:pPr>
              <w:spacing w:before="40" w:after="40"/>
            </w:pPr>
            <w:r/>
            <w:r>
              <w:rPr>
                <w:rFonts w:ascii="Segoe UI" w:hAnsi="Segoe UI"/>
                <w:sz w:val="20"/>
              </w:rPr>
              <w:t>€175</w:t>
            </w:r>
          </w:p>
        </w:tc>
        <w:tc>
          <w:tcPr>
            <w:tcW w:type="dxa" w:w="1701"/>
          </w:tcPr>
          <w:p>
            <w:pPr>
              <w:spacing w:before="40" w:after="40"/>
            </w:pPr>
            <w:r/>
            <w:r>
              <w:rPr>
                <w:rFonts w:ascii="Segoe UI" w:hAnsi="Segoe UI"/>
                <w:sz w:val="20"/>
              </w:rPr>
              <w:t>€2.100</w:t>
            </w:r>
          </w:p>
        </w:tc>
      </w:tr>
      <w:tr>
        <w:tc>
          <w:tcPr>
            <w:tcW w:type="dxa" w:w="2835"/>
          </w:tcPr>
          <w:p>
            <w:pPr>
              <w:spacing w:before="40" w:after="40"/>
            </w:pPr>
            <w:r/>
            <w:r>
              <w:rPr>
                <w:rFonts w:ascii="Segoe UI" w:hAnsi="Segoe UI"/>
                <w:sz w:val="20"/>
              </w:rPr>
              <w:t>AOV (arbeidsongeschiktheid)</w:t>
            </w:r>
          </w:p>
        </w:tc>
        <w:tc>
          <w:tcPr>
            <w:tcW w:type="dxa" w:w="1701"/>
          </w:tcPr>
          <w:p>
            <w:pPr>
              <w:spacing w:before="40" w:after="40"/>
            </w:pPr>
            <w:r/>
            <w:r>
              <w:rPr>
                <w:rFonts w:ascii="Segoe UI" w:hAnsi="Segoe UI"/>
                <w:sz w:val="20"/>
              </w:rPr>
              <w:t>€200</w:t>
            </w:r>
          </w:p>
        </w:tc>
        <w:tc>
          <w:tcPr>
            <w:tcW w:type="dxa" w:w="1701"/>
          </w:tcPr>
          <w:p>
            <w:pPr>
              <w:spacing w:before="40" w:after="40"/>
            </w:pPr>
            <w:r/>
            <w:r>
              <w:rPr>
                <w:rFonts w:ascii="Segoe UI" w:hAnsi="Segoe UI"/>
                <w:sz w:val="20"/>
              </w:rPr>
              <w:t>€2.400</w:t>
            </w:r>
          </w:p>
        </w:tc>
      </w:tr>
      <w:tr>
        <w:tc>
          <w:tcPr>
            <w:tcW w:type="dxa" w:w="2835"/>
          </w:tcPr>
          <w:p>
            <w:pPr>
              <w:spacing w:before="40" w:after="40"/>
            </w:pPr>
            <w:r/>
            <w:r>
              <w:rPr>
                <w:rFonts w:ascii="Segoe UI" w:hAnsi="Segoe UI"/>
                <w:sz w:val="20"/>
              </w:rPr>
              <w:t>Accounting / boekhouder</w:t>
            </w:r>
          </w:p>
        </w:tc>
        <w:tc>
          <w:tcPr>
            <w:tcW w:type="dxa" w:w="1701"/>
          </w:tcPr>
          <w:p>
            <w:pPr>
              <w:spacing w:before="40" w:after="40"/>
            </w:pPr>
            <w:r/>
            <w:r>
              <w:rPr>
                <w:rFonts w:ascii="Segoe UI" w:hAnsi="Segoe UI"/>
                <w:sz w:val="20"/>
              </w:rPr>
              <w:t>€250</w:t>
            </w:r>
          </w:p>
        </w:tc>
        <w:tc>
          <w:tcPr>
            <w:tcW w:type="dxa" w:w="1701"/>
          </w:tcPr>
          <w:p>
            <w:pPr>
              <w:spacing w:before="40" w:after="40"/>
            </w:pPr>
            <w:r/>
            <w:r>
              <w:rPr>
                <w:rFonts w:ascii="Segoe UI" w:hAnsi="Segoe UI"/>
                <w:sz w:val="20"/>
              </w:rPr>
              <w:t>€3.000</w:t>
            </w:r>
          </w:p>
        </w:tc>
      </w:tr>
      <w:tr>
        <w:tc>
          <w:tcPr>
            <w:tcW w:type="dxa" w:w="2835"/>
          </w:tcPr>
          <w:p>
            <w:pPr>
              <w:spacing w:before="40" w:after="40"/>
            </w:pPr>
            <w:r/>
            <w:r>
              <w:rPr>
                <w:rFonts w:ascii="Segoe UI" w:hAnsi="Segoe UI"/>
                <w:sz w:val="20"/>
              </w:rPr>
              <w:t>Software (Office 365, Adobe, CRM)</w:t>
            </w:r>
          </w:p>
        </w:tc>
        <w:tc>
          <w:tcPr>
            <w:tcW w:type="dxa" w:w="1701"/>
          </w:tcPr>
          <w:p>
            <w:pPr>
              <w:spacing w:before="40" w:after="40"/>
            </w:pPr>
            <w:r/>
            <w:r>
              <w:rPr>
                <w:rFonts w:ascii="Segoe UI" w:hAnsi="Segoe UI"/>
                <w:sz w:val="20"/>
              </w:rPr>
              <w:t>€80</w:t>
            </w:r>
          </w:p>
        </w:tc>
        <w:tc>
          <w:tcPr>
            <w:tcW w:type="dxa" w:w="1701"/>
          </w:tcPr>
          <w:p>
            <w:pPr>
              <w:spacing w:before="40" w:after="40"/>
            </w:pPr>
            <w:r/>
            <w:r>
              <w:rPr>
                <w:rFonts w:ascii="Segoe UI" w:hAnsi="Segoe UI"/>
                <w:sz w:val="20"/>
              </w:rPr>
              <w:t>€960</w:t>
            </w:r>
          </w:p>
        </w:tc>
      </w:tr>
      <w:tr>
        <w:tc>
          <w:tcPr>
            <w:tcW w:type="dxa" w:w="2835"/>
          </w:tcPr>
          <w:p>
            <w:pPr>
              <w:spacing w:before="40" w:after="40"/>
            </w:pPr>
            <w:r/>
            <w:r>
              <w:rPr>
                <w:rFonts w:ascii="Segoe UI" w:hAnsi="Segoe UI"/>
                <w:sz w:val="20"/>
              </w:rPr>
              <w:t>Auto/transport (lease of KM-vergoeding)</w:t>
            </w:r>
          </w:p>
        </w:tc>
        <w:tc>
          <w:tcPr>
            <w:tcW w:type="dxa" w:w="1701"/>
          </w:tcPr>
          <w:p>
            <w:pPr>
              <w:spacing w:before="40" w:after="40"/>
            </w:pPr>
            <w:r/>
            <w:r>
              <w:rPr>
                <w:rFonts w:ascii="Segoe UI" w:hAnsi="Segoe UI"/>
                <w:sz w:val="20"/>
              </w:rPr>
              <w:t>€350</w:t>
            </w:r>
          </w:p>
        </w:tc>
        <w:tc>
          <w:tcPr>
            <w:tcW w:type="dxa" w:w="1701"/>
          </w:tcPr>
          <w:p>
            <w:pPr>
              <w:spacing w:before="40" w:after="40"/>
            </w:pPr>
            <w:r/>
            <w:r>
              <w:rPr>
                <w:rFonts w:ascii="Segoe UI" w:hAnsi="Segoe UI"/>
                <w:sz w:val="20"/>
              </w:rPr>
              <w:t>€4.200</w:t>
            </w:r>
          </w:p>
        </w:tc>
      </w:tr>
      <w:tr>
        <w:tc>
          <w:tcPr>
            <w:tcW w:type="dxa" w:w="2835"/>
          </w:tcPr>
          <w:p>
            <w:pPr>
              <w:spacing w:before="40" w:after="40"/>
            </w:pPr>
            <w:r/>
            <w:r>
              <w:rPr>
                <w:rFonts w:ascii="Segoe UI" w:hAnsi="Segoe UI"/>
                <w:sz w:val="20"/>
              </w:rPr>
              <w:t>Telefoon (abonnement)</w:t>
            </w:r>
          </w:p>
        </w:tc>
        <w:tc>
          <w:tcPr>
            <w:tcW w:type="dxa" w:w="1701"/>
          </w:tcPr>
          <w:p>
            <w:pPr>
              <w:spacing w:before="40" w:after="40"/>
            </w:pPr>
            <w:r/>
            <w:r>
              <w:rPr>
                <w:rFonts w:ascii="Segoe UI" w:hAnsi="Segoe UI"/>
                <w:sz w:val="20"/>
              </w:rPr>
              <w:t>€40</w:t>
            </w:r>
          </w:p>
        </w:tc>
        <w:tc>
          <w:tcPr>
            <w:tcW w:type="dxa" w:w="1701"/>
          </w:tcPr>
          <w:p>
            <w:pPr>
              <w:spacing w:before="40" w:after="40"/>
            </w:pPr>
            <w:r/>
            <w:r>
              <w:rPr>
                <w:rFonts w:ascii="Segoe UI" w:hAnsi="Segoe UI"/>
                <w:sz w:val="20"/>
              </w:rPr>
              <w:t>€480</w:t>
            </w:r>
          </w:p>
        </w:tc>
      </w:tr>
      <w:tr>
        <w:tc>
          <w:tcPr>
            <w:tcW w:type="dxa" w:w="2835"/>
          </w:tcPr>
          <w:p>
            <w:pPr>
              <w:spacing w:before="40" w:after="40"/>
            </w:pPr>
            <w:r/>
            <w:r>
              <w:rPr>
                <w:rFonts w:ascii="Segoe UI" w:hAnsi="Segoe UI"/>
                <w:sz w:val="20"/>
              </w:rPr>
              <w:t>Internet (zakelijk deel)</w:t>
            </w:r>
          </w:p>
        </w:tc>
        <w:tc>
          <w:tcPr>
            <w:tcW w:type="dxa" w:w="1701"/>
          </w:tcPr>
          <w:p>
            <w:pPr>
              <w:spacing w:before="40" w:after="40"/>
            </w:pPr>
            <w:r/>
            <w:r>
              <w:rPr>
                <w:rFonts w:ascii="Segoe UI" w:hAnsi="Segoe UI"/>
                <w:sz w:val="20"/>
              </w:rPr>
              <w:t>€40</w:t>
            </w:r>
          </w:p>
        </w:tc>
        <w:tc>
          <w:tcPr>
            <w:tcW w:type="dxa" w:w="1701"/>
          </w:tcPr>
          <w:p>
            <w:pPr>
              <w:spacing w:before="40" w:after="40"/>
            </w:pPr>
            <w:r/>
            <w:r>
              <w:rPr>
                <w:rFonts w:ascii="Segoe UI" w:hAnsi="Segoe UI"/>
                <w:sz w:val="20"/>
              </w:rPr>
              <w:t>€480</w:t>
            </w:r>
          </w:p>
        </w:tc>
      </w:tr>
      <w:tr>
        <w:tc>
          <w:tcPr>
            <w:tcW w:type="dxa" w:w="2835"/>
          </w:tcPr>
          <w:p>
            <w:pPr>
              <w:spacing w:before="40" w:after="40"/>
            </w:pPr>
            <w:r/>
            <w:r>
              <w:rPr>
                <w:rFonts w:ascii="Segoe UI" w:hAnsi="Segoe UI"/>
                <w:sz w:val="20"/>
              </w:rPr>
              <w:t>Website hosting &amp; onderhoud</w:t>
            </w:r>
          </w:p>
        </w:tc>
        <w:tc>
          <w:tcPr>
            <w:tcW w:type="dxa" w:w="1701"/>
          </w:tcPr>
          <w:p>
            <w:pPr>
              <w:spacing w:before="40" w:after="40"/>
            </w:pPr>
            <w:r/>
            <w:r>
              <w:rPr>
                <w:rFonts w:ascii="Segoe UI" w:hAnsi="Segoe UI"/>
                <w:sz w:val="20"/>
              </w:rPr>
              <w:t>€25</w:t>
            </w:r>
          </w:p>
        </w:tc>
        <w:tc>
          <w:tcPr>
            <w:tcW w:type="dxa" w:w="1701"/>
          </w:tcPr>
          <w:p>
            <w:pPr>
              <w:spacing w:before="40" w:after="40"/>
            </w:pPr>
            <w:r/>
            <w:r>
              <w:rPr>
                <w:rFonts w:ascii="Segoe UI" w:hAnsi="Segoe UI"/>
                <w:sz w:val="20"/>
              </w:rPr>
              <w:t>€300</w:t>
            </w:r>
          </w:p>
        </w:tc>
      </w:tr>
      <w:tr>
        <w:tc>
          <w:tcPr>
            <w:tcW w:type="dxa" w:w="2835"/>
          </w:tcPr>
          <w:p>
            <w:pPr>
              <w:spacing w:before="40" w:after="40"/>
            </w:pPr>
            <w:r/>
            <w:r>
              <w:rPr>
                <w:rFonts w:ascii="Segoe UI" w:hAnsi="Segoe UI"/>
                <w:sz w:val="20"/>
              </w:rPr>
              <w:t>Lidmaatschappen (VHK, etc.)</w:t>
            </w:r>
          </w:p>
        </w:tc>
        <w:tc>
          <w:tcPr>
            <w:tcW w:type="dxa" w:w="1701"/>
          </w:tcPr>
          <w:p>
            <w:pPr>
              <w:spacing w:before="40" w:after="40"/>
            </w:pPr>
            <w:r/>
            <w:r>
              <w:rPr>
                <w:rFonts w:ascii="Segoe UI" w:hAnsi="Segoe UI"/>
                <w:sz w:val="20"/>
              </w:rPr>
              <w:t>€35</w:t>
            </w:r>
          </w:p>
        </w:tc>
        <w:tc>
          <w:tcPr>
            <w:tcW w:type="dxa" w:w="1701"/>
          </w:tcPr>
          <w:p>
            <w:pPr>
              <w:spacing w:before="40" w:after="40"/>
            </w:pPr>
            <w:r/>
            <w:r>
              <w:rPr>
                <w:rFonts w:ascii="Segoe UI" w:hAnsi="Segoe UI"/>
                <w:sz w:val="20"/>
              </w:rPr>
              <w:t>€420</w:t>
            </w:r>
          </w:p>
        </w:tc>
      </w:tr>
      <w:tr>
        <w:tc>
          <w:tcPr>
            <w:tcW w:type="dxa" w:w="2835"/>
          </w:tcPr>
          <w:p>
            <w:pPr>
              <w:spacing w:before="40" w:after="40"/>
            </w:pPr>
            <w:r/>
            <w:r>
              <w:rPr>
                <w:rFonts w:ascii="Segoe UI" w:hAnsi="Segoe UI"/>
                <w:sz w:val="20"/>
              </w:rPr>
              <w:t>TOTAAL VAST</w:t>
            </w:r>
          </w:p>
        </w:tc>
        <w:tc>
          <w:tcPr>
            <w:tcW w:type="dxa" w:w="1701"/>
          </w:tcPr>
          <w:p>
            <w:pPr>
              <w:spacing w:before="40" w:after="40"/>
            </w:pPr>
            <w:r/>
            <w:r>
              <w:rPr>
                <w:rFonts w:ascii="Segoe UI" w:hAnsi="Segoe UI"/>
                <w:sz w:val="20"/>
              </w:rPr>
              <w:t>€1.195</w:t>
            </w:r>
          </w:p>
        </w:tc>
        <w:tc>
          <w:tcPr>
            <w:tcW w:type="dxa" w:w="1701"/>
          </w:tcPr>
          <w:p>
            <w:pPr>
              <w:spacing w:before="40" w:after="40"/>
            </w:pPr>
            <w:r/>
            <w:r>
              <w:rPr>
                <w:rFonts w:ascii="Segoe UI" w:hAnsi="Segoe UI"/>
                <w:sz w:val="20"/>
              </w:rPr>
              <w:t>€14.340</w:t>
            </w:r>
          </w:p>
        </w:tc>
      </w:tr>
    </w:tbl>
    <w:p>
      <w:pPr>
        <w:pStyle w:val="Heading2"/>
      </w:pPr>
      <w:r>
        <w:rPr>
          <w:rFonts w:ascii="Segoe UI" w:hAnsi="Segoe UI"/>
          <w:color w:val="003366"/>
        </w:rPr>
        <w:t>2.3 Variabele Kosten (Jaarlijks)</w:t>
      </w:r>
    </w:p>
    <w:tbl>
      <w:tblPr>
        <w:tblStyle w:val="TableGrid"/>
        <w:tblW w:type="auto" w:w="0"/>
        <w:jc w:val="center"/>
        <w:tblLook w:firstColumn="1" w:firstRow="1" w:lastColumn="0" w:lastRow="0" w:noHBand="0" w:noVBand="1" w:val="04A0"/>
      </w:tblPr>
      <w:tblGrid>
        <w:gridCol w:w="3135"/>
        <w:gridCol w:w="3135"/>
        <w:gridCol w:w="3135"/>
      </w:tblGrid>
      <w:tr>
        <w:tc>
          <w:tcPr>
            <w:tcW w:type="dxa" w:w="2835"/>
          </w:tcPr>
          <w:p>
            <w:pPr>
              <w:spacing w:before="40" w:after="40"/>
              <w:jc w:val="center"/>
            </w:pPr>
            <w:r/>
            <w:r>
              <w:rPr>
                <w:rFonts w:ascii="Segoe UI" w:hAnsi="Segoe UI"/>
                <w:b/>
                <w:color w:val="FFFFFF"/>
                <w:sz w:val="20"/>
              </w:rPr>
              <w:t>Categorie</w:t>
            </w:r>
          </w:p>
        </w:tc>
        <w:tc>
          <w:tcPr>
            <w:tcW w:type="dxa" w:w="1701"/>
          </w:tcPr>
          <w:p>
            <w:pPr>
              <w:spacing w:before="40" w:after="40"/>
              <w:jc w:val="center"/>
            </w:pPr>
            <w:r/>
            <w:r>
              <w:rPr>
                <w:rFonts w:ascii="Segoe UI" w:hAnsi="Segoe UI"/>
                <w:b/>
                <w:color w:val="FFFFFF"/>
                <w:sz w:val="20"/>
              </w:rPr>
              <w:t>Geschat Jaarlijks</w:t>
            </w:r>
          </w:p>
        </w:tc>
        <w:tc>
          <w:tcPr>
            <w:tcW w:type="dxa" w:w="4535"/>
          </w:tcPr>
          <w:p>
            <w:pPr>
              <w:spacing w:before="40" w:after="40"/>
              <w:jc w:val="center"/>
            </w:pPr>
            <w:r/>
            <w:r>
              <w:rPr>
                <w:rFonts w:ascii="Segoe UI" w:hAnsi="Segoe UI"/>
                <w:b/>
                <w:color w:val="FFFFFF"/>
                <w:sz w:val="20"/>
              </w:rPr>
              <w:t>Opmerking</w:t>
            </w:r>
          </w:p>
        </w:tc>
      </w:tr>
      <w:tr>
        <w:tc>
          <w:tcPr>
            <w:tcW w:type="dxa" w:w="2835"/>
          </w:tcPr>
          <w:p>
            <w:pPr>
              <w:spacing w:before="40" w:after="40"/>
            </w:pPr>
            <w:r/>
            <w:r>
              <w:rPr>
                <w:rFonts w:ascii="Segoe UI" w:hAnsi="Segoe UI"/>
                <w:sz w:val="20"/>
              </w:rPr>
              <w:t>Reiskosten (niet-declarabel)</w:t>
            </w:r>
          </w:p>
        </w:tc>
        <w:tc>
          <w:tcPr>
            <w:tcW w:type="dxa" w:w="1701"/>
          </w:tcPr>
          <w:p>
            <w:pPr>
              <w:spacing w:before="40" w:after="40"/>
            </w:pPr>
            <w:r/>
            <w:r>
              <w:rPr>
                <w:rFonts w:ascii="Segoe UI" w:hAnsi="Segoe UI"/>
                <w:sz w:val="20"/>
              </w:rPr>
              <w:t>€1.500</w:t>
            </w:r>
          </w:p>
        </w:tc>
        <w:tc>
          <w:tcPr>
            <w:tcW w:type="dxa" w:w="4535"/>
          </w:tcPr>
          <w:p>
            <w:pPr>
              <w:spacing w:before="40" w:after="40"/>
            </w:pPr>
            <w:r/>
            <w:r>
              <w:rPr>
                <w:rFonts w:ascii="Segoe UI" w:hAnsi="Segoe UI"/>
                <w:sz w:val="20"/>
              </w:rPr>
              <w:t>Resterend na klantdeclaratie</w:t>
            </w:r>
          </w:p>
        </w:tc>
      </w:tr>
      <w:tr>
        <w:tc>
          <w:tcPr>
            <w:tcW w:type="dxa" w:w="2835"/>
          </w:tcPr>
          <w:p>
            <w:pPr>
              <w:spacing w:before="40" w:after="40"/>
            </w:pPr>
            <w:r/>
            <w:r>
              <w:rPr>
                <w:rFonts w:ascii="Segoe UI" w:hAnsi="Segoe UI"/>
                <w:sz w:val="20"/>
              </w:rPr>
              <w:t>Representatie</w:t>
            </w:r>
          </w:p>
        </w:tc>
        <w:tc>
          <w:tcPr>
            <w:tcW w:type="dxa" w:w="1701"/>
          </w:tcPr>
          <w:p>
            <w:pPr>
              <w:spacing w:before="40" w:after="40"/>
            </w:pPr>
            <w:r/>
            <w:r>
              <w:rPr>
                <w:rFonts w:ascii="Segoe UI" w:hAnsi="Segoe UI"/>
                <w:sz w:val="20"/>
              </w:rPr>
              <w:t>€1.200</w:t>
            </w:r>
          </w:p>
        </w:tc>
        <w:tc>
          <w:tcPr>
            <w:tcW w:type="dxa" w:w="4535"/>
          </w:tcPr>
          <w:p>
            <w:pPr>
              <w:spacing w:before="40" w:after="40"/>
            </w:pPr>
            <w:r/>
            <w:r>
              <w:rPr>
                <w:rFonts w:ascii="Segoe UI" w:hAnsi="Segoe UI"/>
                <w:sz w:val="20"/>
              </w:rPr>
              <w:t>Max. €4.800 aftrekbaar (100%)</w:t>
            </w:r>
          </w:p>
        </w:tc>
      </w:tr>
      <w:tr>
        <w:tc>
          <w:tcPr>
            <w:tcW w:type="dxa" w:w="2835"/>
          </w:tcPr>
          <w:p>
            <w:pPr>
              <w:spacing w:before="40" w:after="40"/>
            </w:pPr>
            <w:r/>
            <w:r>
              <w:rPr>
                <w:rFonts w:ascii="Segoe UI" w:hAnsi="Segoe UI"/>
                <w:sz w:val="20"/>
              </w:rPr>
              <w:t>Opleidingen &amp; bijscholing</w:t>
            </w:r>
          </w:p>
        </w:tc>
        <w:tc>
          <w:tcPr>
            <w:tcW w:type="dxa" w:w="1701"/>
          </w:tcPr>
          <w:p>
            <w:pPr>
              <w:spacing w:before="40" w:after="40"/>
            </w:pPr>
            <w:r/>
            <w:r>
              <w:rPr>
                <w:rFonts w:ascii="Segoe UI" w:hAnsi="Segoe UI"/>
                <w:sz w:val="20"/>
              </w:rPr>
              <w:t>€2.000</w:t>
            </w:r>
          </w:p>
        </w:tc>
        <w:tc>
          <w:tcPr>
            <w:tcW w:type="dxa" w:w="4535"/>
          </w:tcPr>
          <w:p>
            <w:pPr>
              <w:spacing w:before="40" w:after="40"/>
            </w:pPr>
            <w:r/>
            <w:r>
              <w:rPr>
                <w:rFonts w:ascii="Segoe UI" w:hAnsi="Segoe UI"/>
                <w:sz w:val="20"/>
              </w:rPr>
              <w:t>CPD, conferenties, cursussen</w:t>
            </w:r>
          </w:p>
        </w:tc>
      </w:tr>
      <w:tr>
        <w:tc>
          <w:tcPr>
            <w:tcW w:type="dxa" w:w="2835"/>
          </w:tcPr>
          <w:p>
            <w:pPr>
              <w:spacing w:before="40" w:after="40"/>
            </w:pPr>
            <w:r/>
            <w:r>
              <w:rPr>
                <w:rFonts w:ascii="Segoe UI" w:hAnsi="Segoe UI"/>
                <w:sz w:val="20"/>
              </w:rPr>
              <w:t>Marketing (LinkedIn, netwerken)</w:t>
            </w:r>
          </w:p>
        </w:tc>
        <w:tc>
          <w:tcPr>
            <w:tcW w:type="dxa" w:w="1701"/>
          </w:tcPr>
          <w:p>
            <w:pPr>
              <w:spacing w:before="40" w:after="40"/>
            </w:pPr>
            <w:r/>
            <w:r>
              <w:rPr>
                <w:rFonts w:ascii="Segoe UI" w:hAnsi="Segoe UI"/>
                <w:sz w:val="20"/>
              </w:rPr>
              <w:t>€800</w:t>
            </w:r>
          </w:p>
        </w:tc>
        <w:tc>
          <w:tcPr>
            <w:tcW w:type="dxa" w:w="4535"/>
          </w:tcPr>
          <w:p>
            <w:pPr>
              <w:spacing w:before="40" w:after="40"/>
            </w:pPr>
            <w:r/>
            <w:r>
              <w:rPr>
                <w:rFonts w:ascii="Segoe UI" w:hAnsi="Segoe UI"/>
                <w:sz w:val="20"/>
              </w:rPr>
              <w:t>Digitale aanwezigheid</w:t>
            </w:r>
          </w:p>
        </w:tc>
      </w:tr>
      <w:tr>
        <w:tc>
          <w:tcPr>
            <w:tcW w:type="dxa" w:w="2835"/>
          </w:tcPr>
          <w:p>
            <w:pPr>
              <w:spacing w:before="40" w:after="40"/>
            </w:pPr>
            <w:r/>
            <w:r>
              <w:rPr>
                <w:rFonts w:ascii="Segoe UI" w:hAnsi="Segoe UI"/>
                <w:sz w:val="20"/>
              </w:rPr>
              <w:t>Overige variabelen</w:t>
            </w:r>
          </w:p>
        </w:tc>
        <w:tc>
          <w:tcPr>
            <w:tcW w:type="dxa" w:w="1701"/>
          </w:tcPr>
          <w:p>
            <w:pPr>
              <w:spacing w:before="40" w:after="40"/>
            </w:pPr>
            <w:r/>
            <w:r>
              <w:rPr>
                <w:rFonts w:ascii="Segoe UI" w:hAnsi="Segoe UI"/>
                <w:sz w:val="20"/>
              </w:rPr>
              <w:t>€500</w:t>
            </w:r>
          </w:p>
        </w:tc>
        <w:tc>
          <w:tcPr>
            <w:tcW w:type="dxa" w:w="4535"/>
          </w:tcPr>
          <w:p>
            <w:pPr>
              <w:spacing w:before="40" w:after="40"/>
            </w:pPr>
            <w:r/>
            <w:r>
              <w:rPr>
                <w:rFonts w:ascii="Segoe UI" w:hAnsi="Segoe UI"/>
                <w:sz w:val="20"/>
              </w:rPr>
              <w:t>Diversen</w:t>
            </w:r>
          </w:p>
        </w:tc>
      </w:tr>
      <w:tr>
        <w:tc>
          <w:tcPr>
            <w:tcW w:type="dxa" w:w="2835"/>
          </w:tcPr>
          <w:p>
            <w:pPr>
              <w:spacing w:before="40" w:after="40"/>
            </w:pPr>
            <w:r/>
            <w:r>
              <w:rPr>
                <w:rFonts w:ascii="Segoe UI" w:hAnsi="Segoe UI"/>
                <w:sz w:val="20"/>
              </w:rPr>
              <w:t>TOTAAL VARIABEL</w:t>
            </w:r>
          </w:p>
        </w:tc>
        <w:tc>
          <w:tcPr>
            <w:tcW w:type="dxa" w:w="1701"/>
          </w:tcPr>
          <w:p>
            <w:pPr>
              <w:spacing w:before="40" w:after="40"/>
            </w:pPr>
            <w:r/>
            <w:r>
              <w:rPr>
                <w:rFonts w:ascii="Segoe UI" w:hAnsi="Segoe UI"/>
                <w:sz w:val="20"/>
              </w:rPr>
              <w:t>€6.000</w:t>
            </w:r>
          </w:p>
        </w:tc>
        <w:tc>
          <w:tcPr>
            <w:tcW w:type="dxa" w:w="4535"/>
          </w:tcPr>
          <w:p>
            <w:pPr>
              <w:spacing w:before="40" w:after="40"/>
            </w:pPr>
            <w:r/>
            <w:r>
              <w:rPr>
                <w:rFonts w:ascii="Segoe UI" w:hAnsi="Segoe UI"/>
                <w:sz w:val="20"/>
              </w:rPr>
              <w:t>—</w:t>
            </w:r>
          </w:p>
        </w:tc>
      </w:tr>
    </w:tbl>
    <w:p>
      <w:pPr>
        <w:pStyle w:val="Heading2"/>
      </w:pPr>
      <w:r>
        <w:rPr>
          <w:rFonts w:ascii="Segoe UI" w:hAnsi="Segoe UI"/>
          <w:color w:val="003366"/>
        </w:rPr>
        <w:t>2.4 Kostenoverzicht Samenvatting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835"/>
          </w:tcPr>
          <w:p>
            <w:pPr>
              <w:spacing w:before="40" w:after="40"/>
              <w:jc w:val="center"/>
            </w:pPr>
            <w:r/>
            <w:r>
              <w:rPr>
                <w:rFonts w:ascii="Segoe UI" w:hAnsi="Segoe UI"/>
                <w:b/>
                <w:color w:val="FFFFFF"/>
                <w:sz w:val="20"/>
              </w:rPr>
              <w:t>Type</w:t>
            </w:r>
          </w:p>
        </w:tc>
        <w:tc>
          <w:tcPr>
            <w:tcW w:type="dxa" w:w="1701"/>
          </w:tcPr>
          <w:p>
            <w:pPr>
              <w:spacing w:before="40" w:after="40"/>
              <w:jc w:val="center"/>
            </w:pPr>
            <w:r/>
            <w:r>
              <w:rPr>
                <w:rFonts w:ascii="Segoe UI" w:hAnsi="Segoe UI"/>
                <w:b/>
                <w:color w:val="FFFFFF"/>
                <w:sz w:val="20"/>
              </w:rPr>
              <w:t>Jaar 1</w:t>
            </w:r>
          </w:p>
        </w:tc>
        <w:tc>
          <w:tcPr>
            <w:tcW w:type="dxa" w:w="1701"/>
          </w:tcPr>
          <w:p>
            <w:pPr>
              <w:spacing w:before="40" w:after="40"/>
              <w:jc w:val="center"/>
            </w:pPr>
            <w:r/>
            <w:r>
              <w:rPr>
                <w:rFonts w:ascii="Segoe UI" w:hAnsi="Segoe UI"/>
                <w:b/>
                <w:color w:val="FFFFFF"/>
                <w:sz w:val="20"/>
              </w:rPr>
              <w:t>Jaar 2</w:t>
            </w:r>
          </w:p>
        </w:tc>
        <w:tc>
          <w:tcPr>
            <w:tcW w:type="dxa" w:w="1701"/>
          </w:tcPr>
          <w:p>
            <w:pPr>
              <w:spacing w:before="40" w:after="40"/>
              <w:jc w:val="center"/>
            </w:pPr>
            <w:r/>
            <w:r>
              <w:rPr>
                <w:rFonts w:ascii="Segoe UI" w:hAnsi="Segoe UI"/>
                <w:b/>
                <w:color w:val="FFFFFF"/>
                <w:sz w:val="20"/>
              </w:rPr>
              <w:t>Jaar 3</w:t>
            </w:r>
          </w:p>
        </w:tc>
      </w:tr>
      <w:tr>
        <w:tc>
          <w:tcPr>
            <w:tcW w:type="dxa" w:w="2835"/>
          </w:tcPr>
          <w:p>
            <w:pPr>
              <w:spacing w:before="40" w:after="40"/>
            </w:pPr>
            <w:r/>
            <w:r>
              <w:rPr>
                <w:rFonts w:ascii="Segoe UI" w:hAnsi="Segoe UI"/>
                <w:sz w:val="20"/>
              </w:rPr>
              <w:t>Startup (eenmalig)</w:t>
            </w:r>
          </w:p>
        </w:tc>
        <w:tc>
          <w:tcPr>
            <w:tcW w:type="dxa" w:w="1701"/>
          </w:tcPr>
          <w:p>
            <w:pPr>
              <w:spacing w:before="40" w:after="40"/>
            </w:pPr>
            <w:r/>
            <w:r>
              <w:rPr>
                <w:rFonts w:ascii="Segoe UI" w:hAnsi="Segoe UI"/>
                <w:sz w:val="20"/>
              </w:rPr>
              <w:t>€11.325</w:t>
            </w:r>
          </w:p>
        </w:tc>
        <w:tc>
          <w:tcPr>
            <w:tcW w:type="dxa" w:w="1701"/>
          </w:tcPr>
          <w:p>
            <w:pPr>
              <w:spacing w:before="40" w:after="40"/>
            </w:pPr>
            <w:r/>
            <w:r>
              <w:rPr>
                <w:rFonts w:ascii="Segoe UI" w:hAnsi="Segoe UI"/>
                <w:sz w:val="20"/>
              </w:rPr>
              <w:t>—</w:t>
            </w:r>
          </w:p>
        </w:tc>
        <w:tc>
          <w:tcPr>
            <w:tcW w:type="dxa" w:w="1701"/>
          </w:tcPr>
          <w:p>
            <w:pPr>
              <w:spacing w:before="40" w:after="40"/>
            </w:pPr>
            <w:r/>
            <w:r>
              <w:rPr>
                <w:rFonts w:ascii="Segoe UI" w:hAnsi="Segoe UI"/>
                <w:sz w:val="20"/>
              </w:rPr>
              <w:t>—</w:t>
            </w:r>
          </w:p>
        </w:tc>
      </w:tr>
      <w:tr>
        <w:tc>
          <w:tcPr>
            <w:tcW w:type="dxa" w:w="2835"/>
          </w:tcPr>
          <w:p>
            <w:pPr>
              <w:spacing w:before="40" w:after="40"/>
            </w:pPr>
            <w:r/>
            <w:r>
              <w:rPr>
                <w:rFonts w:ascii="Segoe UI" w:hAnsi="Segoe UI"/>
                <w:sz w:val="20"/>
              </w:rPr>
              <w:t>Vaste lasten</w:t>
            </w:r>
          </w:p>
        </w:tc>
        <w:tc>
          <w:tcPr>
            <w:tcW w:type="dxa" w:w="1701"/>
          </w:tcPr>
          <w:p>
            <w:pPr>
              <w:spacing w:before="40" w:after="40"/>
            </w:pPr>
            <w:r/>
            <w:r>
              <w:rPr>
                <w:rFonts w:ascii="Segoe UI" w:hAnsi="Segoe UI"/>
                <w:sz w:val="20"/>
              </w:rPr>
              <w:t>€14.340</w:t>
            </w:r>
          </w:p>
        </w:tc>
        <w:tc>
          <w:tcPr>
            <w:tcW w:type="dxa" w:w="1701"/>
          </w:tcPr>
          <w:p>
            <w:pPr>
              <w:spacing w:before="40" w:after="40"/>
            </w:pPr>
            <w:r/>
            <w:r>
              <w:rPr>
                <w:rFonts w:ascii="Segoe UI" w:hAnsi="Segoe UI"/>
                <w:sz w:val="20"/>
              </w:rPr>
              <w:t>€14.890</w:t>
            </w:r>
          </w:p>
        </w:tc>
        <w:tc>
          <w:tcPr>
            <w:tcW w:type="dxa" w:w="1701"/>
          </w:tcPr>
          <w:p>
            <w:pPr>
              <w:spacing w:before="40" w:after="40"/>
            </w:pPr>
            <w:r/>
            <w:r>
              <w:rPr>
                <w:rFonts w:ascii="Segoe UI" w:hAnsi="Segoe UI"/>
                <w:sz w:val="20"/>
              </w:rPr>
              <w:t>€15.350</w:t>
            </w:r>
          </w:p>
        </w:tc>
      </w:tr>
      <w:tr>
        <w:tc>
          <w:tcPr>
            <w:tcW w:type="dxa" w:w="2835"/>
          </w:tcPr>
          <w:p>
            <w:pPr>
              <w:spacing w:before="40" w:after="40"/>
            </w:pPr>
            <w:r/>
            <w:r>
              <w:rPr>
                <w:rFonts w:ascii="Segoe UI" w:hAnsi="Segoe UI"/>
                <w:sz w:val="20"/>
              </w:rPr>
              <w:t>Variabele kosten</w:t>
            </w:r>
          </w:p>
        </w:tc>
        <w:tc>
          <w:tcPr>
            <w:tcW w:type="dxa" w:w="1701"/>
          </w:tcPr>
          <w:p>
            <w:pPr>
              <w:spacing w:before="40" w:after="40"/>
            </w:pPr>
            <w:r/>
            <w:r>
              <w:rPr>
                <w:rFonts w:ascii="Segoe UI" w:hAnsi="Segoe UI"/>
                <w:sz w:val="20"/>
              </w:rPr>
              <w:t>€6.000</w:t>
            </w:r>
          </w:p>
        </w:tc>
        <w:tc>
          <w:tcPr>
            <w:tcW w:type="dxa" w:w="1701"/>
          </w:tcPr>
          <w:p>
            <w:pPr>
              <w:spacing w:before="40" w:after="40"/>
            </w:pPr>
            <w:r/>
            <w:r>
              <w:rPr>
                <w:rFonts w:ascii="Segoe UI" w:hAnsi="Segoe UI"/>
                <w:sz w:val="20"/>
              </w:rPr>
              <w:t>€6.500</w:t>
            </w:r>
          </w:p>
        </w:tc>
        <w:tc>
          <w:tcPr>
            <w:tcW w:type="dxa" w:w="1701"/>
          </w:tcPr>
          <w:p>
            <w:pPr>
              <w:spacing w:before="40" w:after="40"/>
            </w:pPr>
            <w:r/>
            <w:r>
              <w:rPr>
                <w:rFonts w:ascii="Segoe UI" w:hAnsi="Segoe UI"/>
                <w:sz w:val="20"/>
              </w:rPr>
              <w:t>€7.000</w:t>
            </w:r>
          </w:p>
        </w:tc>
      </w:tr>
      <w:tr>
        <w:tc>
          <w:tcPr>
            <w:tcW w:type="dxa" w:w="2835"/>
          </w:tcPr>
          <w:p>
            <w:pPr>
              <w:spacing w:before="40" w:after="40"/>
            </w:pPr>
            <w:r/>
            <w:r>
              <w:rPr>
                <w:rFonts w:ascii="Segoe UI" w:hAnsi="Segoe UI"/>
                <w:sz w:val="20"/>
              </w:rPr>
              <w:t>TOTAAL KOSTEN</w:t>
            </w:r>
          </w:p>
        </w:tc>
        <w:tc>
          <w:tcPr>
            <w:tcW w:type="dxa" w:w="1701"/>
          </w:tcPr>
          <w:p>
            <w:pPr>
              <w:spacing w:before="40" w:after="40"/>
            </w:pPr>
            <w:r/>
            <w:r>
              <w:rPr>
                <w:rFonts w:ascii="Segoe UI" w:hAnsi="Segoe UI"/>
                <w:sz w:val="20"/>
              </w:rPr>
              <w:t>€31.665</w:t>
            </w:r>
          </w:p>
        </w:tc>
        <w:tc>
          <w:tcPr>
            <w:tcW w:type="dxa" w:w="1701"/>
          </w:tcPr>
          <w:p>
            <w:pPr>
              <w:spacing w:before="40" w:after="40"/>
            </w:pPr>
            <w:r/>
            <w:r>
              <w:rPr>
                <w:rFonts w:ascii="Segoe UI" w:hAnsi="Segoe UI"/>
                <w:sz w:val="20"/>
              </w:rPr>
              <w:t>€21.390</w:t>
            </w:r>
          </w:p>
        </w:tc>
        <w:tc>
          <w:tcPr>
            <w:tcW w:type="dxa" w:w="1701"/>
          </w:tcPr>
          <w:p>
            <w:pPr>
              <w:spacing w:before="40" w:after="40"/>
            </w:pPr>
            <w:r/>
            <w:r>
              <w:rPr>
                <w:rFonts w:ascii="Segoe UI" w:hAnsi="Segoe UI"/>
                <w:sz w:val="20"/>
              </w:rPr>
              <w:t>€22.350</w:t>
            </w:r>
          </w:p>
        </w:tc>
      </w:tr>
    </w:tbl>
    <w:p>
      <w:pPr>
        <w:pStyle w:val="Heading1"/>
      </w:pPr>
      <w:r>
        <w:rPr>
          <w:rFonts w:ascii="Segoe UI" w:hAnsi="Segoe UI"/>
          <w:color w:val="003366"/>
        </w:rPr>
        <w:t>3. Fiscale Aftrekposten bij Start</w:t>
      </w:r>
    </w:p>
    <w:p>
      <w:pPr>
        <w:spacing w:after="120"/>
      </w:pPr>
      <w:r>
        <w:rPr>
          <w:rFonts w:ascii="Segoe UI" w:hAnsi="Segoe UI"/>
          <w:color w:val="1F2937"/>
          <w:sz w:val="22"/>
        </w:rPr>
        <w:t>De volgende aftrekposten zijn van toepassing op een eenmanszaak in Nederland (belastingjaar 2027, belastingplan 2026). Bedragen zijn indicatief en gebaseerd op huidige wetgeving.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268"/>
          </w:tcPr>
          <w:p>
            <w:pPr>
              <w:spacing w:before="40" w:after="40"/>
              <w:jc w:val="center"/>
            </w:pPr>
            <w:r/>
            <w:r>
              <w:rPr>
                <w:rFonts w:ascii="Segoe UI" w:hAnsi="Segoe UI"/>
                <w:b/>
                <w:color w:val="FFFFFF"/>
                <w:sz w:val="20"/>
              </w:rPr>
              <w:t>Aftrekpost</w:t>
            </w:r>
          </w:p>
        </w:tc>
        <w:tc>
          <w:tcPr>
            <w:tcW w:type="dxa" w:w="1417"/>
          </w:tcPr>
          <w:p>
            <w:pPr>
              <w:spacing w:before="40" w:after="40"/>
              <w:jc w:val="center"/>
            </w:pPr>
            <w:r/>
            <w:r>
              <w:rPr>
                <w:rFonts w:ascii="Segoe UI" w:hAnsi="Segoe UI"/>
                <w:b/>
                <w:color w:val="FFFFFF"/>
                <w:sz w:val="20"/>
              </w:rPr>
              <w:t>Bedrag</w:t>
            </w:r>
          </w:p>
        </w:tc>
        <w:tc>
          <w:tcPr>
            <w:tcW w:type="dxa" w:w="2835"/>
          </w:tcPr>
          <w:p>
            <w:pPr>
              <w:spacing w:before="40" w:after="40"/>
              <w:jc w:val="center"/>
            </w:pPr>
            <w:r/>
            <w:r>
              <w:rPr>
                <w:rFonts w:ascii="Segoe UI" w:hAnsi="Segoe UI"/>
                <w:b/>
                <w:color w:val="FFFFFF"/>
                <w:sz w:val="20"/>
              </w:rPr>
              <w:t>Voorwaarden</w:t>
            </w:r>
          </w:p>
        </w:tc>
        <w:tc>
          <w:tcPr>
            <w:tcW w:type="dxa" w:w="1417"/>
          </w:tcPr>
          <w:p>
            <w:pPr>
              <w:spacing w:before="40" w:after="40"/>
              <w:jc w:val="center"/>
            </w:pPr>
            <w:r/>
            <w:r>
              <w:rPr>
                <w:rFonts w:ascii="Segoe UI" w:hAnsi="Segoe UI"/>
                <w:b/>
                <w:color w:val="FFFFFF"/>
                <w:sz w:val="20"/>
              </w:rPr>
              <w:t>Periode</w:t>
            </w:r>
          </w:p>
        </w:tc>
      </w:tr>
      <w:tr>
        <w:tc>
          <w:tcPr>
            <w:tcW w:type="dxa" w:w="2268"/>
          </w:tcPr>
          <w:p>
            <w:pPr>
              <w:spacing w:before="40" w:after="40"/>
            </w:pPr>
            <w:r/>
            <w:r>
              <w:rPr>
                <w:rFonts w:ascii="Segoe UI" w:hAnsi="Segoe UI"/>
                <w:sz w:val="20"/>
              </w:rPr>
              <w:t>Zelfstandigenaftrek</w:t>
            </w:r>
          </w:p>
        </w:tc>
        <w:tc>
          <w:tcPr>
            <w:tcW w:type="dxa" w:w="1417"/>
          </w:tcPr>
          <w:p>
            <w:pPr>
              <w:spacing w:before="40" w:after="40"/>
            </w:pPr>
            <w:r/>
            <w:r>
              <w:rPr>
                <w:rFonts w:ascii="Segoe UI" w:hAnsi="Segoe UI"/>
                <w:sz w:val="20"/>
              </w:rPr>
              <w:t>€7.500</w:t>
            </w:r>
          </w:p>
        </w:tc>
        <w:tc>
          <w:tcPr>
            <w:tcW w:type="dxa" w:w="2835"/>
          </w:tcPr>
          <w:p>
            <w:pPr>
              <w:spacing w:before="40" w:after="40"/>
            </w:pPr>
            <w:r/>
            <w:r>
              <w:rPr>
                <w:rFonts w:ascii="Segoe UI" w:hAnsi="Segoe UI"/>
                <w:sz w:val="20"/>
              </w:rPr>
              <w:t>Voldoet aan urencriterium (&gt;1.225 u/j)</w:t>
            </w:r>
          </w:p>
        </w:tc>
        <w:tc>
          <w:tcPr>
            <w:tcW w:type="dxa" w:w="1417"/>
          </w:tcPr>
          <w:p>
            <w:pPr>
              <w:spacing w:before="40" w:after="40"/>
            </w:pPr>
            <w:r/>
            <w:r>
              <w:rPr>
                <w:rFonts w:ascii="Segoe UI" w:hAnsi="Segoe UI"/>
                <w:sz w:val="20"/>
              </w:rPr>
              <w:t>Elk jaar als ZZP</w:t>
            </w:r>
          </w:p>
        </w:tc>
      </w:tr>
      <w:tr>
        <w:tc>
          <w:tcPr>
            <w:tcW w:type="dxa" w:w="2268"/>
          </w:tcPr>
          <w:p>
            <w:pPr>
              <w:spacing w:before="40" w:after="40"/>
            </w:pPr>
            <w:r/>
            <w:r>
              <w:rPr>
                <w:rFonts w:ascii="Segoe UI" w:hAnsi="Segoe UI"/>
                <w:sz w:val="20"/>
              </w:rPr>
              <w:t>Startersaftrek</w:t>
            </w:r>
          </w:p>
        </w:tc>
        <w:tc>
          <w:tcPr>
            <w:tcW w:type="dxa" w:w="1417"/>
          </w:tcPr>
          <w:p>
            <w:pPr>
              <w:spacing w:before="40" w:after="40"/>
            </w:pPr>
            <w:r/>
            <w:r>
              <w:rPr>
                <w:rFonts w:ascii="Segoe UI" w:hAnsi="Segoe UI"/>
                <w:sz w:val="20"/>
              </w:rPr>
              <w:t>€2.123</w:t>
            </w:r>
          </w:p>
        </w:tc>
        <w:tc>
          <w:tcPr>
            <w:tcW w:type="dxa" w:w="2835"/>
          </w:tcPr>
          <w:p>
            <w:pPr>
              <w:spacing w:before="40" w:after="40"/>
            </w:pPr>
            <w:r/>
            <w:r>
              <w:rPr>
                <w:rFonts w:ascii="Segoe UI" w:hAnsi="Segoe UI"/>
                <w:sz w:val="20"/>
              </w:rPr>
              <w:t>Eerste 3 jaar na start (uitsluitend)</w:t>
            </w:r>
          </w:p>
        </w:tc>
        <w:tc>
          <w:tcPr>
            <w:tcW w:type="dxa" w:w="1417"/>
          </w:tcPr>
          <w:p>
            <w:pPr>
              <w:spacing w:before="40" w:after="40"/>
            </w:pPr>
            <w:r/>
            <w:r>
              <w:rPr>
                <w:rFonts w:ascii="Segoe UI" w:hAnsi="Segoe UI"/>
                <w:sz w:val="20"/>
              </w:rPr>
              <w:t>Jaar 1–3</w:t>
            </w:r>
          </w:p>
        </w:tc>
      </w:tr>
      <w:tr>
        <w:tc>
          <w:tcPr>
            <w:tcW w:type="dxa" w:w="2268"/>
          </w:tcPr>
          <w:p>
            <w:pPr>
              <w:spacing w:before="40" w:after="40"/>
            </w:pPr>
            <w:r/>
            <w:r>
              <w:rPr>
                <w:rFonts w:ascii="Segoe UI" w:hAnsi="Segoe UI"/>
                <w:sz w:val="20"/>
              </w:rPr>
              <w:t>MKB-winstvrijstelling</w:t>
            </w:r>
          </w:p>
        </w:tc>
        <w:tc>
          <w:tcPr>
            <w:tcW w:type="dxa" w:w="1417"/>
          </w:tcPr>
          <w:p>
            <w:pPr>
              <w:spacing w:before="40" w:after="40"/>
            </w:pPr>
            <w:r/>
            <w:r>
              <w:rPr>
                <w:rFonts w:ascii="Segoe UI" w:hAnsi="Segoe UI"/>
                <w:sz w:val="20"/>
              </w:rPr>
              <w:t>19%</w:t>
            </w:r>
          </w:p>
        </w:tc>
        <w:tc>
          <w:tcPr>
            <w:tcW w:type="dxa" w:w="2835"/>
          </w:tcPr>
          <w:p>
            <w:pPr>
              <w:spacing w:before="40" w:after="40"/>
            </w:pPr>
            <w:r/>
            <w:r>
              <w:rPr>
                <w:rFonts w:ascii="Segoe UI" w:hAnsi="Segoe UI"/>
                <w:sz w:val="20"/>
              </w:rPr>
              <w:t>Over eerste €200.000 winst</w:t>
            </w:r>
          </w:p>
        </w:tc>
        <w:tc>
          <w:tcPr>
            <w:tcW w:type="dxa" w:w="1417"/>
          </w:tcPr>
          <w:p>
            <w:pPr>
              <w:spacing w:before="40" w:after="40"/>
            </w:pPr>
            <w:r/>
            <w:r>
              <w:rPr>
                <w:rFonts w:ascii="Segoe UI" w:hAnsi="Segoe UI"/>
                <w:sz w:val="20"/>
              </w:rPr>
              <w:t>Elk jaar</w:t>
            </w:r>
          </w:p>
        </w:tc>
      </w:tr>
      <w:tr>
        <w:tc>
          <w:tcPr>
            <w:tcW w:type="dxa" w:w="2268"/>
          </w:tcPr>
          <w:p>
            <w:pPr>
              <w:spacing w:before="40" w:after="40"/>
            </w:pPr>
            <w:r/>
            <w:r>
              <w:rPr>
                <w:rFonts w:ascii="Segoe UI" w:hAnsi="Segoe UI"/>
                <w:sz w:val="20"/>
              </w:rPr>
              <w:t>Afschrijving laptop (5 jr)</w:t>
            </w:r>
          </w:p>
        </w:tc>
        <w:tc>
          <w:tcPr>
            <w:tcW w:type="dxa" w:w="1417"/>
          </w:tcPr>
          <w:p>
            <w:pPr>
              <w:spacing w:before="40" w:after="40"/>
            </w:pPr>
            <w:r/>
            <w:r>
              <w:rPr>
                <w:rFonts w:ascii="Segoe UI" w:hAnsi="Segoe UI"/>
                <w:sz w:val="20"/>
              </w:rPr>
              <w:t>€400/j</w:t>
            </w:r>
          </w:p>
        </w:tc>
        <w:tc>
          <w:tcPr>
            <w:tcW w:type="dxa" w:w="2835"/>
          </w:tcPr>
          <w:p>
            <w:pPr>
              <w:spacing w:before="40" w:after="40"/>
            </w:pPr>
            <w:r/>
            <w:r>
              <w:rPr>
                <w:rFonts w:ascii="Segoe UI" w:hAnsi="Segoe UI"/>
                <w:sz w:val="20"/>
              </w:rPr>
              <w:t>Lineaire afschrijving</w:t>
            </w:r>
          </w:p>
        </w:tc>
        <w:tc>
          <w:tcPr>
            <w:tcW w:type="dxa" w:w="1417"/>
          </w:tcPr>
          <w:p>
            <w:pPr>
              <w:spacing w:before="40" w:after="40"/>
            </w:pPr>
            <w:r/>
            <w:r>
              <w:rPr>
                <w:rFonts w:ascii="Segoe UI" w:hAnsi="Segoe UI"/>
                <w:sz w:val="20"/>
              </w:rPr>
              <w:t>Jaar 1–5</w:t>
            </w:r>
          </w:p>
        </w:tc>
      </w:tr>
      <w:tr>
        <w:tc>
          <w:tcPr>
            <w:tcW w:type="dxa" w:w="2268"/>
          </w:tcPr>
          <w:p>
            <w:pPr>
              <w:spacing w:before="40" w:after="40"/>
            </w:pPr>
            <w:r/>
            <w:r>
              <w:rPr>
                <w:rFonts w:ascii="Segoe UI" w:hAnsi="Segoe UI"/>
                <w:sz w:val="20"/>
              </w:rPr>
              <w:t>Afschrijving apparatuur</w:t>
            </w:r>
          </w:p>
        </w:tc>
        <w:tc>
          <w:tcPr>
            <w:tcW w:type="dxa" w:w="1417"/>
          </w:tcPr>
          <w:p>
            <w:pPr>
              <w:spacing w:before="40" w:after="40"/>
            </w:pPr>
            <w:r/>
            <w:r>
              <w:rPr>
                <w:rFonts w:ascii="Segoe UI" w:hAnsi="Segoe UI"/>
                <w:sz w:val="20"/>
              </w:rPr>
              <w:t>€200/j</w:t>
            </w:r>
          </w:p>
        </w:tc>
        <w:tc>
          <w:tcPr>
            <w:tcW w:type="dxa" w:w="2835"/>
          </w:tcPr>
          <w:p>
            <w:pPr>
              <w:spacing w:before="40" w:after="40"/>
            </w:pPr>
            <w:r/>
            <w:r>
              <w:rPr>
                <w:rFonts w:ascii="Segoe UI" w:hAnsi="Segoe UI"/>
                <w:sz w:val="20"/>
              </w:rPr>
              <w:t>Overig materieel</w:t>
            </w:r>
          </w:p>
        </w:tc>
        <w:tc>
          <w:tcPr>
            <w:tcW w:type="dxa" w:w="1417"/>
          </w:tcPr>
          <w:p>
            <w:pPr>
              <w:spacing w:before="40" w:after="40"/>
            </w:pPr>
            <w:r/>
            <w:r>
              <w:rPr>
                <w:rFonts w:ascii="Segoe UI" w:hAnsi="Segoe UI"/>
                <w:sz w:val="20"/>
              </w:rPr>
              <w:t>Jaar 1–5</w:t>
            </w:r>
          </w:p>
        </w:tc>
      </w:tr>
      <w:tr>
        <w:tc>
          <w:tcPr>
            <w:tcW w:type="dxa" w:w="2268"/>
          </w:tcPr>
          <w:p>
            <w:pPr>
              <w:spacing w:before="40" w:after="40"/>
            </w:pPr>
            <w:r/>
            <w:r>
              <w:rPr>
                <w:rFonts w:ascii="Segoe UI" w:hAnsi="Segoe UI"/>
                <w:sz w:val="20"/>
              </w:rPr>
              <w:t>Thuiskantoor (ruimte-eis)</w:t>
            </w:r>
          </w:p>
        </w:tc>
        <w:tc>
          <w:tcPr>
            <w:tcW w:type="dxa" w:w="1417"/>
          </w:tcPr>
          <w:p>
            <w:pPr>
              <w:spacing w:before="40" w:after="40"/>
            </w:pPr>
            <w:r/>
            <w:r>
              <w:rPr>
                <w:rFonts w:ascii="Segoe UI" w:hAnsi="Segoe UI"/>
                <w:sz w:val="20"/>
              </w:rPr>
              <w:t>~€1.500/j</w:t>
            </w:r>
          </w:p>
        </w:tc>
        <w:tc>
          <w:tcPr>
            <w:tcW w:type="dxa" w:w="2835"/>
          </w:tcPr>
          <w:p>
            <w:pPr>
              <w:spacing w:before="40" w:after="40"/>
            </w:pPr>
            <w:r/>
            <w:r>
              <w:rPr>
                <w:rFonts w:ascii="Segoe UI" w:hAnsi="Segoe UI"/>
                <w:sz w:val="20"/>
              </w:rPr>
              <w:t>Min. 10% van woning, exclusief gebruik</w:t>
            </w:r>
          </w:p>
        </w:tc>
        <w:tc>
          <w:tcPr>
            <w:tcW w:type="dxa" w:w="1417"/>
          </w:tcPr>
          <w:p>
            <w:pPr>
              <w:spacing w:before="40" w:after="40"/>
            </w:pPr>
            <w:r/>
            <w:r>
              <w:rPr>
                <w:rFonts w:ascii="Segoe UI" w:hAnsi="Segoe UI"/>
                <w:sz w:val="20"/>
              </w:rPr>
              <w:t>Elk jaar</w:t>
            </w:r>
          </w:p>
        </w:tc>
      </w:tr>
      <w:tr>
        <w:tc>
          <w:tcPr>
            <w:tcW w:type="dxa" w:w="2268"/>
          </w:tcPr>
          <w:p>
            <w:pPr>
              <w:spacing w:before="40" w:after="40"/>
            </w:pPr>
            <w:r/>
            <w:r>
              <w:rPr>
                <w:rFonts w:ascii="Segoe UI" w:hAnsi="Segoe UI"/>
                <w:sz w:val="20"/>
              </w:rPr>
              <w:t>Internet/telefoon (zakelijk deel)</w:t>
            </w:r>
          </w:p>
        </w:tc>
        <w:tc>
          <w:tcPr>
            <w:tcW w:type="dxa" w:w="1417"/>
          </w:tcPr>
          <w:p>
            <w:pPr>
              <w:spacing w:before="40" w:after="40"/>
            </w:pPr>
            <w:r/>
            <w:r>
              <w:rPr>
                <w:rFonts w:ascii="Segoe UI" w:hAnsi="Segoe UI"/>
                <w:sz w:val="20"/>
              </w:rPr>
              <w:t>~€960/j</w:t>
            </w:r>
          </w:p>
        </w:tc>
        <w:tc>
          <w:tcPr>
            <w:tcW w:type="dxa" w:w="2835"/>
          </w:tcPr>
          <w:p>
            <w:pPr>
              <w:spacing w:before="40" w:after="40"/>
            </w:pPr>
            <w:r/>
            <w:r>
              <w:rPr>
                <w:rFonts w:ascii="Segoe UI" w:hAnsi="Segoe UI"/>
                <w:sz w:val="20"/>
              </w:rPr>
              <w:t>50–75% zakelijk gebruik</w:t>
            </w:r>
          </w:p>
        </w:tc>
        <w:tc>
          <w:tcPr>
            <w:tcW w:type="dxa" w:w="1417"/>
          </w:tcPr>
          <w:p>
            <w:pPr>
              <w:spacing w:before="40" w:after="40"/>
            </w:pPr>
            <w:r/>
            <w:r>
              <w:rPr>
                <w:rFonts w:ascii="Segoe UI" w:hAnsi="Segoe UI"/>
                <w:sz w:val="20"/>
              </w:rPr>
              <w:t>Elk jaar</w:t>
            </w:r>
          </w:p>
        </w:tc>
      </w:tr>
      <w:tr>
        <w:tc>
          <w:tcPr>
            <w:tcW w:type="dxa" w:w="2268"/>
          </w:tcPr>
          <w:p>
            <w:pPr>
              <w:spacing w:before="40" w:after="40"/>
            </w:pPr>
            <w:r/>
            <w:r>
              <w:rPr>
                <w:rFonts w:ascii="Segoe UI" w:hAnsi="Segoe UI"/>
                <w:sz w:val="20"/>
              </w:rPr>
              <w:t>Reiskosten (eigen auto)</w:t>
            </w:r>
          </w:p>
        </w:tc>
        <w:tc>
          <w:tcPr>
            <w:tcW w:type="dxa" w:w="1417"/>
          </w:tcPr>
          <w:p>
            <w:pPr>
              <w:spacing w:before="40" w:after="40"/>
            </w:pPr>
            <w:r/>
            <w:r>
              <w:rPr>
                <w:rFonts w:ascii="Segoe UI" w:hAnsi="Segoe UI"/>
                <w:sz w:val="20"/>
              </w:rPr>
              <w:t>€0,23/km</w:t>
            </w:r>
          </w:p>
        </w:tc>
        <w:tc>
          <w:tcPr>
            <w:tcW w:type="dxa" w:w="2835"/>
          </w:tcPr>
          <w:p>
            <w:pPr>
              <w:spacing w:before="40" w:after="40"/>
            </w:pPr>
            <w:r/>
            <w:r>
              <w:rPr>
                <w:rFonts w:ascii="Segoe UI" w:hAnsi="Segoe UI"/>
                <w:sz w:val="20"/>
              </w:rPr>
              <w:t>Onbelaste kilometervergoeding</w:t>
            </w:r>
          </w:p>
        </w:tc>
        <w:tc>
          <w:tcPr>
            <w:tcW w:type="dxa" w:w="1417"/>
          </w:tcPr>
          <w:p>
            <w:pPr>
              <w:spacing w:before="40" w:after="40"/>
            </w:pPr>
            <w:r/>
            <w:r>
              <w:rPr>
                <w:rFonts w:ascii="Segoe UI" w:hAnsi="Segoe UI"/>
                <w:sz w:val="20"/>
              </w:rPr>
              <w:t>Elk jaar</w:t>
            </w:r>
          </w:p>
        </w:tc>
      </w:tr>
      <w:tr>
        <w:tc>
          <w:tcPr>
            <w:tcW w:type="dxa" w:w="2268"/>
          </w:tcPr>
          <w:p>
            <w:pPr>
              <w:spacing w:before="40" w:after="40"/>
            </w:pPr>
            <w:r/>
            <w:r>
              <w:rPr>
                <w:rFonts w:ascii="Segoe UI" w:hAnsi="Segoe UI"/>
                <w:sz w:val="20"/>
              </w:rPr>
              <w:t>Opleidingskosten</w:t>
            </w:r>
          </w:p>
        </w:tc>
        <w:tc>
          <w:tcPr>
            <w:tcW w:type="dxa" w:w="1417"/>
          </w:tcPr>
          <w:p>
            <w:pPr>
              <w:spacing w:before="40" w:after="40"/>
            </w:pPr>
            <w:r/>
            <w:r>
              <w:rPr>
                <w:rFonts w:ascii="Segoe UI" w:hAnsi="Segoe UI"/>
                <w:sz w:val="20"/>
              </w:rPr>
              <w:t>Volledig</w:t>
            </w:r>
          </w:p>
        </w:tc>
        <w:tc>
          <w:tcPr>
            <w:tcW w:type="dxa" w:w="2835"/>
          </w:tcPr>
          <w:p>
            <w:pPr>
              <w:spacing w:before="40" w:after="40"/>
            </w:pPr>
            <w:r/>
            <w:r>
              <w:rPr>
                <w:rFonts w:ascii="Segoe UI" w:hAnsi="Segoe UI"/>
                <w:sz w:val="20"/>
              </w:rPr>
              <w:t>Gerelateerd aan beroep</w:t>
            </w:r>
          </w:p>
        </w:tc>
        <w:tc>
          <w:tcPr>
            <w:tcW w:type="dxa" w:w="1417"/>
          </w:tcPr>
          <w:p>
            <w:pPr>
              <w:spacing w:before="40" w:after="40"/>
            </w:pPr>
            <w:r/>
            <w:r>
              <w:rPr>
                <w:rFonts w:ascii="Segoe UI" w:hAnsi="Segoe UI"/>
                <w:sz w:val="20"/>
              </w:rPr>
              <w:t>Elk jaar</w:t>
            </w:r>
          </w:p>
        </w:tc>
      </w:tr>
      <w:tr>
        <w:tc>
          <w:tcPr>
            <w:tcW w:type="dxa" w:w="2268"/>
          </w:tcPr>
          <w:p>
            <w:pPr>
              <w:spacing w:before="40" w:after="40"/>
            </w:pPr>
            <w:r/>
            <w:r>
              <w:rPr>
                <w:rFonts w:ascii="Segoe UI" w:hAnsi="Segoe UI"/>
                <w:sz w:val="20"/>
              </w:rPr>
              <w:t>Verzekeringen (BA, AOV)</w:t>
            </w:r>
          </w:p>
        </w:tc>
        <w:tc>
          <w:tcPr>
            <w:tcW w:type="dxa" w:w="1417"/>
          </w:tcPr>
          <w:p>
            <w:pPr>
              <w:spacing w:before="40" w:after="40"/>
            </w:pPr>
            <w:r/>
            <w:r>
              <w:rPr>
                <w:rFonts w:ascii="Segoe UI" w:hAnsi="Segoe UI"/>
                <w:sz w:val="20"/>
              </w:rPr>
              <w:t>Volledig</w:t>
            </w:r>
          </w:p>
        </w:tc>
        <w:tc>
          <w:tcPr>
            <w:tcW w:type="dxa" w:w="2835"/>
          </w:tcPr>
          <w:p>
            <w:pPr>
              <w:spacing w:before="40" w:after="40"/>
            </w:pPr>
            <w:r/>
            <w:r>
              <w:rPr>
                <w:rFonts w:ascii="Segoe UI" w:hAnsi="Segoe UI"/>
                <w:sz w:val="20"/>
              </w:rPr>
              <w:t>Zakelijk verplicht</w:t>
            </w:r>
          </w:p>
        </w:tc>
        <w:tc>
          <w:tcPr>
            <w:tcW w:type="dxa" w:w="1417"/>
          </w:tcPr>
          <w:p>
            <w:pPr>
              <w:spacing w:before="40" w:after="40"/>
            </w:pPr>
            <w:r/>
            <w:r>
              <w:rPr>
                <w:rFonts w:ascii="Segoe UI" w:hAnsi="Segoe UI"/>
                <w:sz w:val="20"/>
              </w:rPr>
              <w:t>Elk jaar</w:t>
            </w:r>
          </w:p>
        </w:tc>
      </w:tr>
      <w:tr>
        <w:tc>
          <w:tcPr>
            <w:tcW w:type="dxa" w:w="2268"/>
          </w:tcPr>
          <w:p>
            <w:pPr>
              <w:spacing w:before="40" w:after="40"/>
            </w:pPr>
            <w:r/>
            <w:r>
              <w:rPr>
                <w:rFonts w:ascii="Segoe UI" w:hAnsi="Segoe UI"/>
                <w:sz w:val="20"/>
              </w:rPr>
              <w:t>Accounting</w:t>
            </w:r>
          </w:p>
        </w:tc>
        <w:tc>
          <w:tcPr>
            <w:tcW w:type="dxa" w:w="1417"/>
          </w:tcPr>
          <w:p>
            <w:pPr>
              <w:spacing w:before="40" w:after="40"/>
            </w:pPr>
            <w:r/>
            <w:r>
              <w:rPr>
                <w:rFonts w:ascii="Segoe UI" w:hAnsi="Segoe UI"/>
                <w:sz w:val="20"/>
              </w:rPr>
              <w:t>Volledig</w:t>
            </w:r>
          </w:p>
        </w:tc>
        <w:tc>
          <w:tcPr>
            <w:tcW w:type="dxa" w:w="2835"/>
          </w:tcPr>
          <w:p>
            <w:pPr>
              <w:spacing w:before="40" w:after="40"/>
            </w:pPr>
            <w:r/>
            <w:r>
              <w:rPr>
                <w:rFonts w:ascii="Segoe UI" w:hAnsi="Segoe UI"/>
                <w:sz w:val="20"/>
              </w:rPr>
              <w:t>Zakelijk verplicht</w:t>
            </w:r>
          </w:p>
        </w:tc>
        <w:tc>
          <w:tcPr>
            <w:tcW w:type="dxa" w:w="1417"/>
          </w:tcPr>
          <w:p>
            <w:pPr>
              <w:spacing w:before="40" w:after="40"/>
            </w:pPr>
            <w:r/>
            <w:r>
              <w:rPr>
                <w:rFonts w:ascii="Segoe UI" w:hAnsi="Segoe UI"/>
                <w:sz w:val="20"/>
              </w:rPr>
              <w:t>Elk jaar</w:t>
            </w:r>
          </w:p>
        </w:tc>
      </w:tr>
      <w:tr>
        <w:tc>
          <w:tcPr>
            <w:tcW w:type="dxa" w:w="2268"/>
          </w:tcPr>
          <w:p>
            <w:pPr>
              <w:spacing w:before="40" w:after="40"/>
            </w:pPr>
            <w:r/>
            <w:r>
              <w:rPr>
                <w:rFonts w:ascii="Segoe UI" w:hAnsi="Segoe UI"/>
                <w:sz w:val="20"/>
              </w:rPr>
              <w:t>Representatie</w:t>
            </w:r>
          </w:p>
        </w:tc>
        <w:tc>
          <w:tcPr>
            <w:tcW w:type="dxa" w:w="1417"/>
          </w:tcPr>
          <w:p>
            <w:pPr>
              <w:spacing w:before="40" w:after="40"/>
            </w:pPr>
            <w:r/>
            <w:r>
              <w:rPr>
                <w:rFonts w:ascii="Segoe UI" w:hAnsi="Segoe UI"/>
                <w:sz w:val="20"/>
              </w:rPr>
              <w:t>Max €4.800</w:t>
            </w:r>
          </w:p>
        </w:tc>
        <w:tc>
          <w:tcPr>
            <w:tcW w:type="dxa" w:w="2835"/>
          </w:tcPr>
          <w:p>
            <w:pPr>
              <w:spacing w:before="40" w:after="40"/>
            </w:pPr>
            <w:r/>
            <w:r>
              <w:rPr>
                <w:rFonts w:ascii="Segoe UI" w:hAnsi="Segoe UI"/>
                <w:sz w:val="20"/>
              </w:rPr>
              <w:t>100% aftrekbaar tot plafond</w:t>
            </w:r>
          </w:p>
        </w:tc>
        <w:tc>
          <w:tcPr>
            <w:tcW w:type="dxa" w:w="1417"/>
          </w:tcPr>
          <w:p>
            <w:pPr>
              <w:spacing w:before="40" w:after="40"/>
            </w:pPr>
            <w:r/>
            <w:r>
              <w:rPr>
                <w:rFonts w:ascii="Segoe UI" w:hAnsi="Segoe UI"/>
                <w:sz w:val="20"/>
              </w:rPr>
              <w:t>Elk jaar</w:t>
            </w:r>
          </w:p>
        </w:tc>
      </w:tr>
    </w:tbl>
    <w:p>
      <w:pPr>
        <w:spacing w:after="120"/>
      </w:pPr>
      <w:r>
        <w:rPr>
          <w:rFonts w:ascii="Segoe UI" w:hAnsi="Segoe UI"/>
          <w:color w:val="1F2937"/>
          <w:sz w:val="22"/>
        </w:rPr>
        <w:t>Toelichting: De Energie-investeringsaftrek (EIA) en MIA/Vamil zijn niet direct van toepassing op een puur consultancy-praktijk zonder materiële investeringen in energiezuinige assets. Bij eventuele investering in een elektrische bedrijfsauto kan MIA wel relevant worden (tot 36% extra aftrek).</w:t>
      </w:r>
    </w:p>
    <w:p>
      <w:pPr>
        <w:pStyle w:val="Heading1"/>
      </w:pPr>
      <w:r>
        <w:rPr>
          <w:rFonts w:ascii="Segoe UI" w:hAnsi="Segoe UI"/>
          <w:color w:val="003366"/>
        </w:rPr>
        <w:t>4. Omzetprognose (3 Jaar)</w:t>
      </w:r>
    </w:p>
    <w:p>
      <w:pPr>
        <w:pStyle w:val="Heading2"/>
      </w:pPr>
      <w:r>
        <w:rPr>
          <w:rFonts w:ascii="Segoe UI" w:hAnsi="Segoe UI"/>
          <w:color w:val="003366"/>
        </w:rPr>
        <w:t>4.1 Jaar 1 (2027) — Opstartfase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tcPr>
          <w:p>
            <w:pPr>
              <w:spacing w:before="40" w:after="40"/>
              <w:jc w:val="center"/>
            </w:pPr>
            <w:r/>
            <w:r>
              <w:rPr>
                <w:rFonts w:ascii="Segoe UI" w:hAnsi="Segoe UI"/>
                <w:b/>
                <w:color w:val="FFFFFF"/>
                <w:sz w:val="20"/>
              </w:rPr>
              <w:t>Scenario</w:t>
            </w:r>
          </w:p>
        </w:tc>
        <w:tc>
          <w:tcPr>
            <w:tcW w:type="dxa" w:w="1701"/>
          </w:tcPr>
          <w:p>
            <w:pPr>
              <w:spacing w:before="40" w:after="40"/>
              <w:jc w:val="center"/>
            </w:pPr>
            <w:r/>
            <w:r>
              <w:rPr>
                <w:rFonts w:ascii="Segoe UI" w:hAnsi="Segoe UI"/>
                <w:b/>
                <w:color w:val="FFFFFF"/>
                <w:sz w:val="20"/>
              </w:rPr>
              <w:t>Fact. dagen</w:t>
            </w:r>
          </w:p>
        </w:tc>
        <w:tc>
          <w:tcPr>
            <w:tcW w:type="dxa" w:w="1701"/>
          </w:tcPr>
          <w:p>
            <w:pPr>
              <w:spacing w:before="40" w:after="40"/>
              <w:jc w:val="center"/>
            </w:pPr>
            <w:r/>
            <w:r>
              <w:rPr>
                <w:rFonts w:ascii="Segoe UI" w:hAnsi="Segoe UI"/>
                <w:b/>
                <w:color w:val="FFFFFF"/>
                <w:sz w:val="20"/>
              </w:rPr>
              <w:t>Gem. dagtarief</w:t>
            </w:r>
          </w:p>
        </w:tc>
        <w:tc>
          <w:tcPr>
            <w:tcW w:type="dxa" w:w="1701"/>
          </w:tcPr>
          <w:p>
            <w:pPr>
              <w:spacing w:before="40" w:after="40"/>
              <w:jc w:val="center"/>
            </w:pPr>
            <w:r/>
            <w:r>
              <w:rPr>
                <w:rFonts w:ascii="Segoe UI" w:hAnsi="Segoe UI"/>
                <w:b/>
                <w:color w:val="FFFFFF"/>
                <w:sz w:val="20"/>
              </w:rPr>
              <w:t>Omzet (excl. BTW)</w:t>
            </w:r>
          </w:p>
        </w:tc>
        <w:tc>
          <w:tcPr>
            <w:tcW w:type="dxa" w:w="1701"/>
          </w:tcPr>
          <w:p>
            <w:pPr>
              <w:spacing w:before="40" w:after="40"/>
              <w:jc w:val="center"/>
            </w:pPr>
            <w:r/>
            <w:r>
              <w:rPr>
                <w:rFonts w:ascii="Segoe UI" w:hAnsi="Segoe UI"/>
                <w:b/>
                <w:color w:val="FFFFFF"/>
                <w:sz w:val="20"/>
              </w:rPr>
              <w:t>BTW (21%)</w:t>
            </w:r>
          </w:p>
        </w:tc>
      </w:tr>
      <w:tr>
        <w:tc>
          <w:tcPr>
            <w:tcW w:type="dxa" w:w="1701"/>
          </w:tcPr>
          <w:p>
            <w:pPr>
              <w:spacing w:before="40" w:after="40"/>
            </w:pPr>
            <w:r/>
            <w:r>
              <w:rPr>
                <w:rFonts w:ascii="Segoe UI" w:hAnsi="Segoe UI"/>
                <w:sz w:val="20"/>
              </w:rPr>
              <w:t>Conservatief</w:t>
            </w:r>
          </w:p>
        </w:tc>
        <w:tc>
          <w:tcPr>
            <w:tcW w:type="dxa" w:w="1701"/>
          </w:tcPr>
          <w:p>
            <w:pPr>
              <w:spacing w:before="40" w:after="40"/>
            </w:pPr>
            <w:r/>
            <w:r>
              <w:rPr>
                <w:rFonts w:ascii="Segoe UI" w:hAnsi="Segoe UI"/>
                <w:sz w:val="20"/>
              </w:rPr>
              <w:t>100</w:t>
            </w:r>
          </w:p>
        </w:tc>
        <w:tc>
          <w:tcPr>
            <w:tcW w:type="dxa" w:w="1701"/>
          </w:tcPr>
          <w:p>
            <w:pPr>
              <w:spacing w:before="40" w:after="40"/>
            </w:pPr>
            <w:r/>
            <w:r>
              <w:rPr>
                <w:rFonts w:ascii="Segoe UI" w:hAnsi="Segoe UI"/>
                <w:sz w:val="20"/>
              </w:rPr>
              <w:t>€850</w:t>
            </w:r>
          </w:p>
        </w:tc>
        <w:tc>
          <w:tcPr>
            <w:tcW w:type="dxa" w:w="1701"/>
          </w:tcPr>
          <w:p>
            <w:pPr>
              <w:spacing w:before="40" w:after="40"/>
            </w:pPr>
            <w:r/>
            <w:r>
              <w:rPr>
                <w:rFonts w:ascii="Segoe UI" w:hAnsi="Segoe UI"/>
                <w:sz w:val="20"/>
              </w:rPr>
              <w:t>€85.000</w:t>
            </w:r>
          </w:p>
        </w:tc>
        <w:tc>
          <w:tcPr>
            <w:tcW w:type="dxa" w:w="1701"/>
          </w:tcPr>
          <w:p>
            <w:pPr>
              <w:spacing w:before="40" w:after="40"/>
            </w:pPr>
            <w:r/>
            <w:r>
              <w:rPr>
                <w:rFonts w:ascii="Segoe UI" w:hAnsi="Segoe UI"/>
                <w:sz w:val="20"/>
              </w:rPr>
              <w:t>€17.850</w:t>
            </w:r>
          </w:p>
        </w:tc>
      </w:tr>
      <w:tr>
        <w:tc>
          <w:tcPr>
            <w:tcW w:type="dxa" w:w="1701"/>
          </w:tcPr>
          <w:p>
            <w:pPr>
              <w:spacing w:before="40" w:after="40"/>
            </w:pPr>
            <w:r/>
            <w:r>
              <w:rPr>
                <w:rFonts w:ascii="Segoe UI" w:hAnsi="Segoe UI"/>
                <w:sz w:val="20"/>
              </w:rPr>
              <w:t>Normaal</w:t>
            </w:r>
          </w:p>
        </w:tc>
        <w:tc>
          <w:tcPr>
            <w:tcW w:type="dxa" w:w="1701"/>
          </w:tcPr>
          <w:p>
            <w:pPr>
              <w:spacing w:before="40" w:after="40"/>
            </w:pPr>
            <w:r/>
            <w:r>
              <w:rPr>
                <w:rFonts w:ascii="Segoe UI" w:hAnsi="Segoe UI"/>
                <w:sz w:val="20"/>
              </w:rPr>
              <w:t>140</w:t>
            </w:r>
          </w:p>
        </w:tc>
        <w:tc>
          <w:tcPr>
            <w:tcW w:type="dxa" w:w="1701"/>
          </w:tcPr>
          <w:p>
            <w:pPr>
              <w:spacing w:before="40" w:after="40"/>
            </w:pPr>
            <w:r/>
            <w:r>
              <w:rPr>
                <w:rFonts w:ascii="Segoe UI" w:hAnsi="Segoe UI"/>
                <w:sz w:val="20"/>
              </w:rPr>
              <w:t>€900</w:t>
            </w:r>
          </w:p>
        </w:tc>
        <w:tc>
          <w:tcPr>
            <w:tcW w:type="dxa" w:w="1701"/>
          </w:tcPr>
          <w:p>
            <w:pPr>
              <w:spacing w:before="40" w:after="40"/>
            </w:pPr>
            <w:r/>
            <w:r>
              <w:rPr>
                <w:rFonts w:ascii="Segoe UI" w:hAnsi="Segoe UI"/>
                <w:sz w:val="20"/>
              </w:rPr>
              <w:t>€126.000</w:t>
            </w:r>
          </w:p>
        </w:tc>
        <w:tc>
          <w:tcPr>
            <w:tcW w:type="dxa" w:w="1701"/>
          </w:tcPr>
          <w:p>
            <w:pPr>
              <w:spacing w:before="40" w:after="40"/>
            </w:pPr>
            <w:r/>
            <w:r>
              <w:rPr>
                <w:rFonts w:ascii="Segoe UI" w:hAnsi="Segoe UI"/>
                <w:sz w:val="20"/>
              </w:rPr>
              <w:t>€26.460</w:t>
            </w:r>
          </w:p>
        </w:tc>
      </w:tr>
      <w:tr>
        <w:tc>
          <w:tcPr>
            <w:tcW w:type="dxa" w:w="1701"/>
          </w:tcPr>
          <w:p>
            <w:pPr>
              <w:spacing w:before="40" w:after="40"/>
            </w:pPr>
            <w:r/>
            <w:r>
              <w:rPr>
                <w:rFonts w:ascii="Segoe UI" w:hAnsi="Segoe UI"/>
                <w:sz w:val="20"/>
              </w:rPr>
              <w:t>Optimistisch</w:t>
            </w:r>
          </w:p>
        </w:tc>
        <w:tc>
          <w:tcPr>
            <w:tcW w:type="dxa" w:w="1701"/>
          </w:tcPr>
          <w:p>
            <w:pPr>
              <w:spacing w:before="40" w:after="40"/>
            </w:pPr>
            <w:r/>
            <w:r>
              <w:rPr>
                <w:rFonts w:ascii="Segoe UI" w:hAnsi="Segoe UI"/>
                <w:sz w:val="20"/>
              </w:rPr>
              <w:t>170</w:t>
            </w:r>
          </w:p>
        </w:tc>
        <w:tc>
          <w:tcPr>
            <w:tcW w:type="dxa" w:w="1701"/>
          </w:tcPr>
          <w:p>
            <w:pPr>
              <w:spacing w:before="40" w:after="40"/>
            </w:pPr>
            <w:r/>
            <w:r>
              <w:rPr>
                <w:rFonts w:ascii="Segoe UI" w:hAnsi="Segoe UI"/>
                <w:sz w:val="20"/>
              </w:rPr>
              <w:t>€950</w:t>
            </w:r>
          </w:p>
        </w:tc>
        <w:tc>
          <w:tcPr>
            <w:tcW w:type="dxa" w:w="1701"/>
          </w:tcPr>
          <w:p>
            <w:pPr>
              <w:spacing w:before="40" w:after="40"/>
            </w:pPr>
            <w:r/>
            <w:r>
              <w:rPr>
                <w:rFonts w:ascii="Segoe UI" w:hAnsi="Segoe UI"/>
                <w:sz w:val="20"/>
              </w:rPr>
              <w:t>€161.500</w:t>
            </w:r>
          </w:p>
        </w:tc>
        <w:tc>
          <w:tcPr>
            <w:tcW w:type="dxa" w:w="1701"/>
          </w:tcPr>
          <w:p>
            <w:pPr>
              <w:spacing w:before="40" w:after="40"/>
            </w:pPr>
            <w:r/>
            <w:r>
              <w:rPr>
                <w:rFonts w:ascii="Segoe UI" w:hAnsi="Segoe UI"/>
                <w:sz w:val="20"/>
              </w:rPr>
              <w:t>€33.915</w:t>
            </w:r>
          </w:p>
        </w:tc>
      </w:tr>
    </w:tbl>
    <w:p>
      <w:pPr>
        <w:pStyle w:val="Heading2"/>
      </w:pPr>
      <w:r>
        <w:rPr>
          <w:rFonts w:ascii="Segoe UI" w:hAnsi="Segoe UI"/>
          <w:color w:val="003366"/>
        </w:rPr>
        <w:t>4.2 Jaar 2 (2028) — Groeifase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tcPr>
          <w:p>
            <w:pPr>
              <w:spacing w:before="40" w:after="40"/>
              <w:jc w:val="center"/>
            </w:pPr>
            <w:r/>
            <w:r>
              <w:rPr>
                <w:rFonts w:ascii="Segoe UI" w:hAnsi="Segoe UI"/>
                <w:b/>
                <w:color w:val="FFFFFF"/>
                <w:sz w:val="20"/>
              </w:rPr>
              <w:t>Scenario</w:t>
            </w:r>
          </w:p>
        </w:tc>
        <w:tc>
          <w:tcPr>
            <w:tcW w:type="dxa" w:w="1701"/>
          </w:tcPr>
          <w:p>
            <w:pPr>
              <w:spacing w:before="40" w:after="40"/>
              <w:jc w:val="center"/>
            </w:pPr>
            <w:r/>
            <w:r>
              <w:rPr>
                <w:rFonts w:ascii="Segoe UI" w:hAnsi="Segoe UI"/>
                <w:b/>
                <w:color w:val="FFFFFF"/>
                <w:sz w:val="20"/>
              </w:rPr>
              <w:t>Fact. dagen</w:t>
            </w:r>
          </w:p>
        </w:tc>
        <w:tc>
          <w:tcPr>
            <w:tcW w:type="dxa" w:w="1701"/>
          </w:tcPr>
          <w:p>
            <w:pPr>
              <w:spacing w:before="40" w:after="40"/>
              <w:jc w:val="center"/>
            </w:pPr>
            <w:r/>
            <w:r>
              <w:rPr>
                <w:rFonts w:ascii="Segoe UI" w:hAnsi="Segoe UI"/>
                <w:b/>
                <w:color w:val="FFFFFF"/>
                <w:sz w:val="20"/>
              </w:rPr>
              <w:t>Gem. dagtarief</w:t>
            </w:r>
          </w:p>
        </w:tc>
        <w:tc>
          <w:tcPr>
            <w:tcW w:type="dxa" w:w="1701"/>
          </w:tcPr>
          <w:p>
            <w:pPr>
              <w:spacing w:before="40" w:after="40"/>
              <w:jc w:val="center"/>
            </w:pPr>
            <w:r/>
            <w:r>
              <w:rPr>
                <w:rFonts w:ascii="Segoe UI" w:hAnsi="Segoe UI"/>
                <w:b/>
                <w:color w:val="FFFFFF"/>
                <w:sz w:val="20"/>
              </w:rPr>
              <w:t>Omzet (excl. BTW)</w:t>
            </w:r>
          </w:p>
        </w:tc>
        <w:tc>
          <w:tcPr>
            <w:tcW w:type="dxa" w:w="1701"/>
          </w:tcPr>
          <w:p>
            <w:pPr>
              <w:spacing w:before="40" w:after="40"/>
              <w:jc w:val="center"/>
            </w:pPr>
            <w:r/>
            <w:r>
              <w:rPr>
                <w:rFonts w:ascii="Segoe UI" w:hAnsi="Segoe UI"/>
                <w:b/>
                <w:color w:val="FFFFFF"/>
                <w:sz w:val="20"/>
              </w:rPr>
              <w:t>BTW (21%)</w:t>
            </w:r>
          </w:p>
        </w:tc>
      </w:tr>
      <w:tr>
        <w:tc>
          <w:tcPr>
            <w:tcW w:type="dxa" w:w="1701"/>
          </w:tcPr>
          <w:p>
            <w:pPr>
              <w:spacing w:before="40" w:after="40"/>
            </w:pPr>
            <w:r/>
            <w:r>
              <w:rPr>
                <w:rFonts w:ascii="Segoe UI" w:hAnsi="Segoe UI"/>
                <w:sz w:val="20"/>
              </w:rPr>
              <w:t>Conservatief</w:t>
            </w:r>
          </w:p>
        </w:tc>
        <w:tc>
          <w:tcPr>
            <w:tcW w:type="dxa" w:w="1701"/>
          </w:tcPr>
          <w:p>
            <w:pPr>
              <w:spacing w:before="40" w:after="40"/>
            </w:pPr>
            <w:r/>
            <w:r>
              <w:rPr>
                <w:rFonts w:ascii="Segoe UI" w:hAnsi="Segoe UI"/>
                <w:sz w:val="20"/>
              </w:rPr>
              <w:t>140</w:t>
            </w:r>
          </w:p>
        </w:tc>
        <w:tc>
          <w:tcPr>
            <w:tcW w:type="dxa" w:w="1701"/>
          </w:tcPr>
          <w:p>
            <w:pPr>
              <w:spacing w:before="40" w:after="40"/>
            </w:pPr>
            <w:r/>
            <w:r>
              <w:rPr>
                <w:rFonts w:ascii="Segoe UI" w:hAnsi="Segoe UI"/>
                <w:sz w:val="20"/>
              </w:rPr>
              <w:t>€950</w:t>
            </w:r>
          </w:p>
        </w:tc>
        <w:tc>
          <w:tcPr>
            <w:tcW w:type="dxa" w:w="1701"/>
          </w:tcPr>
          <w:p>
            <w:pPr>
              <w:spacing w:before="40" w:after="40"/>
            </w:pPr>
            <w:r/>
            <w:r>
              <w:rPr>
                <w:rFonts w:ascii="Segoe UI" w:hAnsi="Segoe UI"/>
                <w:sz w:val="20"/>
              </w:rPr>
              <w:t>€133.000</w:t>
            </w:r>
          </w:p>
        </w:tc>
        <w:tc>
          <w:tcPr>
            <w:tcW w:type="dxa" w:w="1701"/>
          </w:tcPr>
          <w:p>
            <w:pPr>
              <w:spacing w:before="40" w:after="40"/>
            </w:pPr>
            <w:r/>
            <w:r>
              <w:rPr>
                <w:rFonts w:ascii="Segoe UI" w:hAnsi="Segoe UI"/>
                <w:sz w:val="20"/>
              </w:rPr>
              <w:t>€27.930</w:t>
            </w:r>
          </w:p>
        </w:tc>
      </w:tr>
      <w:tr>
        <w:tc>
          <w:tcPr>
            <w:tcW w:type="dxa" w:w="1701"/>
          </w:tcPr>
          <w:p>
            <w:pPr>
              <w:spacing w:before="40" w:after="40"/>
            </w:pPr>
            <w:r/>
            <w:r>
              <w:rPr>
                <w:rFonts w:ascii="Segoe UI" w:hAnsi="Segoe UI"/>
                <w:sz w:val="20"/>
              </w:rPr>
              <w:t>Normaal</w:t>
            </w:r>
          </w:p>
        </w:tc>
        <w:tc>
          <w:tcPr>
            <w:tcW w:type="dxa" w:w="1701"/>
          </w:tcPr>
          <w:p>
            <w:pPr>
              <w:spacing w:before="40" w:after="40"/>
            </w:pPr>
            <w:r/>
            <w:r>
              <w:rPr>
                <w:rFonts w:ascii="Segoe UI" w:hAnsi="Segoe UI"/>
                <w:sz w:val="20"/>
              </w:rPr>
              <w:t>170</w:t>
            </w:r>
          </w:p>
        </w:tc>
        <w:tc>
          <w:tcPr>
            <w:tcW w:type="dxa" w:w="1701"/>
          </w:tcPr>
          <w:p>
            <w:pPr>
              <w:spacing w:before="40" w:after="40"/>
            </w:pPr>
            <w:r/>
            <w:r>
              <w:rPr>
                <w:rFonts w:ascii="Segoe UI" w:hAnsi="Segoe UI"/>
                <w:sz w:val="20"/>
              </w:rPr>
              <w:t>€1.000</w:t>
            </w:r>
          </w:p>
        </w:tc>
        <w:tc>
          <w:tcPr>
            <w:tcW w:type="dxa" w:w="1701"/>
          </w:tcPr>
          <w:p>
            <w:pPr>
              <w:spacing w:before="40" w:after="40"/>
            </w:pPr>
            <w:r/>
            <w:r>
              <w:rPr>
                <w:rFonts w:ascii="Segoe UI" w:hAnsi="Segoe UI"/>
                <w:sz w:val="20"/>
              </w:rPr>
              <w:t>€170.000</w:t>
            </w:r>
          </w:p>
        </w:tc>
        <w:tc>
          <w:tcPr>
            <w:tcW w:type="dxa" w:w="1701"/>
          </w:tcPr>
          <w:p>
            <w:pPr>
              <w:spacing w:before="40" w:after="40"/>
            </w:pPr>
            <w:r/>
            <w:r>
              <w:rPr>
                <w:rFonts w:ascii="Segoe UI" w:hAnsi="Segoe UI"/>
                <w:sz w:val="20"/>
              </w:rPr>
              <w:t>€35.700</w:t>
            </w:r>
          </w:p>
        </w:tc>
      </w:tr>
      <w:tr>
        <w:tc>
          <w:tcPr>
            <w:tcW w:type="dxa" w:w="1701"/>
          </w:tcPr>
          <w:p>
            <w:pPr>
              <w:spacing w:before="40" w:after="40"/>
            </w:pPr>
            <w:r/>
            <w:r>
              <w:rPr>
                <w:rFonts w:ascii="Segoe UI" w:hAnsi="Segoe UI"/>
                <w:sz w:val="20"/>
              </w:rPr>
              <w:t>Optimistisch</w:t>
            </w:r>
          </w:p>
        </w:tc>
        <w:tc>
          <w:tcPr>
            <w:tcW w:type="dxa" w:w="1701"/>
          </w:tcPr>
          <w:p>
            <w:pPr>
              <w:spacing w:before="40" w:after="40"/>
            </w:pPr>
            <w:r/>
            <w:r>
              <w:rPr>
                <w:rFonts w:ascii="Segoe UI" w:hAnsi="Segoe UI"/>
                <w:sz w:val="20"/>
              </w:rPr>
              <w:t>200</w:t>
            </w:r>
          </w:p>
        </w:tc>
        <w:tc>
          <w:tcPr>
            <w:tcW w:type="dxa" w:w="1701"/>
          </w:tcPr>
          <w:p>
            <w:pPr>
              <w:spacing w:before="40" w:after="40"/>
            </w:pPr>
            <w:r/>
            <w:r>
              <w:rPr>
                <w:rFonts w:ascii="Segoe UI" w:hAnsi="Segoe UI"/>
                <w:sz w:val="20"/>
              </w:rPr>
              <w:t>€1.050</w:t>
            </w:r>
          </w:p>
        </w:tc>
        <w:tc>
          <w:tcPr>
            <w:tcW w:type="dxa" w:w="1701"/>
          </w:tcPr>
          <w:p>
            <w:pPr>
              <w:spacing w:before="40" w:after="40"/>
            </w:pPr>
            <w:r/>
            <w:r>
              <w:rPr>
                <w:rFonts w:ascii="Segoe UI" w:hAnsi="Segoe UI"/>
                <w:sz w:val="20"/>
              </w:rPr>
              <w:t>€210.000</w:t>
            </w:r>
          </w:p>
        </w:tc>
        <w:tc>
          <w:tcPr>
            <w:tcW w:type="dxa" w:w="1701"/>
          </w:tcPr>
          <w:p>
            <w:pPr>
              <w:spacing w:before="40" w:after="40"/>
            </w:pPr>
            <w:r/>
            <w:r>
              <w:rPr>
                <w:rFonts w:ascii="Segoe UI" w:hAnsi="Segoe UI"/>
                <w:sz w:val="20"/>
              </w:rPr>
              <w:t>€44.100</w:t>
            </w:r>
          </w:p>
        </w:tc>
      </w:tr>
    </w:tbl>
    <w:p>
      <w:pPr>
        <w:pStyle w:val="Heading2"/>
      </w:pPr>
      <w:r>
        <w:rPr>
          <w:rFonts w:ascii="Segoe UI" w:hAnsi="Segoe UI"/>
          <w:color w:val="003366"/>
        </w:rPr>
        <w:t>4.3 Jaar 3 (2029) — Geestablished</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701"/>
          </w:tcPr>
          <w:p>
            <w:pPr>
              <w:spacing w:before="40" w:after="40"/>
              <w:jc w:val="center"/>
            </w:pPr>
            <w:r/>
            <w:r>
              <w:rPr>
                <w:rFonts w:ascii="Segoe UI" w:hAnsi="Segoe UI"/>
                <w:b/>
                <w:color w:val="FFFFFF"/>
                <w:sz w:val="20"/>
              </w:rPr>
              <w:t>Scenario</w:t>
            </w:r>
          </w:p>
        </w:tc>
        <w:tc>
          <w:tcPr>
            <w:tcW w:type="dxa" w:w="1701"/>
          </w:tcPr>
          <w:p>
            <w:pPr>
              <w:spacing w:before="40" w:after="40"/>
              <w:jc w:val="center"/>
            </w:pPr>
            <w:r/>
            <w:r>
              <w:rPr>
                <w:rFonts w:ascii="Segoe UI" w:hAnsi="Segoe UI"/>
                <w:b/>
                <w:color w:val="FFFFFF"/>
                <w:sz w:val="20"/>
              </w:rPr>
              <w:t>Fact. dagen</w:t>
            </w:r>
          </w:p>
        </w:tc>
        <w:tc>
          <w:tcPr>
            <w:tcW w:type="dxa" w:w="1701"/>
          </w:tcPr>
          <w:p>
            <w:pPr>
              <w:spacing w:before="40" w:after="40"/>
              <w:jc w:val="center"/>
            </w:pPr>
            <w:r/>
            <w:r>
              <w:rPr>
                <w:rFonts w:ascii="Segoe UI" w:hAnsi="Segoe UI"/>
                <w:b/>
                <w:color w:val="FFFFFF"/>
                <w:sz w:val="20"/>
              </w:rPr>
              <w:t>Gem. dagtarief</w:t>
            </w:r>
          </w:p>
        </w:tc>
        <w:tc>
          <w:tcPr>
            <w:tcW w:type="dxa" w:w="1701"/>
          </w:tcPr>
          <w:p>
            <w:pPr>
              <w:spacing w:before="40" w:after="40"/>
              <w:jc w:val="center"/>
            </w:pPr>
            <w:r/>
            <w:r>
              <w:rPr>
                <w:rFonts w:ascii="Segoe UI" w:hAnsi="Segoe UI"/>
                <w:b/>
                <w:color w:val="FFFFFF"/>
                <w:sz w:val="20"/>
              </w:rPr>
              <w:t>Omzet (excl. BTW)</w:t>
            </w:r>
          </w:p>
        </w:tc>
        <w:tc>
          <w:tcPr>
            <w:tcW w:type="dxa" w:w="1701"/>
          </w:tcPr>
          <w:p>
            <w:pPr>
              <w:spacing w:before="40" w:after="40"/>
              <w:jc w:val="center"/>
            </w:pPr>
            <w:r/>
            <w:r>
              <w:rPr>
                <w:rFonts w:ascii="Segoe UI" w:hAnsi="Segoe UI"/>
                <w:b/>
                <w:color w:val="FFFFFF"/>
                <w:sz w:val="20"/>
              </w:rPr>
              <w:t>BTW (21%)</w:t>
            </w:r>
          </w:p>
        </w:tc>
      </w:tr>
      <w:tr>
        <w:tc>
          <w:tcPr>
            <w:tcW w:type="dxa" w:w="1701"/>
          </w:tcPr>
          <w:p>
            <w:pPr>
              <w:spacing w:before="40" w:after="40"/>
            </w:pPr>
            <w:r/>
            <w:r>
              <w:rPr>
                <w:rFonts w:ascii="Segoe UI" w:hAnsi="Segoe UI"/>
                <w:sz w:val="20"/>
              </w:rPr>
              <w:t>Conservatief</w:t>
            </w:r>
          </w:p>
        </w:tc>
        <w:tc>
          <w:tcPr>
            <w:tcW w:type="dxa" w:w="1701"/>
          </w:tcPr>
          <w:p>
            <w:pPr>
              <w:spacing w:before="40" w:after="40"/>
            </w:pPr>
            <w:r/>
            <w:r>
              <w:rPr>
                <w:rFonts w:ascii="Segoe UI" w:hAnsi="Segoe UI"/>
                <w:sz w:val="20"/>
              </w:rPr>
              <w:t>170</w:t>
            </w:r>
          </w:p>
        </w:tc>
        <w:tc>
          <w:tcPr>
            <w:tcW w:type="dxa" w:w="1701"/>
          </w:tcPr>
          <w:p>
            <w:pPr>
              <w:spacing w:before="40" w:after="40"/>
            </w:pPr>
            <w:r/>
            <w:r>
              <w:rPr>
                <w:rFonts w:ascii="Segoe UI" w:hAnsi="Segoe UI"/>
                <w:sz w:val="20"/>
              </w:rPr>
              <w:t>€1.000</w:t>
            </w:r>
          </w:p>
        </w:tc>
        <w:tc>
          <w:tcPr>
            <w:tcW w:type="dxa" w:w="1701"/>
          </w:tcPr>
          <w:p>
            <w:pPr>
              <w:spacing w:before="40" w:after="40"/>
            </w:pPr>
            <w:r/>
            <w:r>
              <w:rPr>
                <w:rFonts w:ascii="Segoe UI" w:hAnsi="Segoe UI"/>
                <w:sz w:val="20"/>
              </w:rPr>
              <w:t>€170.000</w:t>
            </w:r>
          </w:p>
        </w:tc>
        <w:tc>
          <w:tcPr>
            <w:tcW w:type="dxa" w:w="1701"/>
          </w:tcPr>
          <w:p>
            <w:pPr>
              <w:spacing w:before="40" w:after="40"/>
            </w:pPr>
            <w:r/>
            <w:r>
              <w:rPr>
                <w:rFonts w:ascii="Segoe UI" w:hAnsi="Segoe UI"/>
                <w:sz w:val="20"/>
              </w:rPr>
              <w:t>€35.700</w:t>
            </w:r>
          </w:p>
        </w:tc>
      </w:tr>
      <w:tr>
        <w:tc>
          <w:tcPr>
            <w:tcW w:type="dxa" w:w="1701"/>
          </w:tcPr>
          <w:p>
            <w:pPr>
              <w:spacing w:before="40" w:after="40"/>
            </w:pPr>
            <w:r/>
            <w:r>
              <w:rPr>
                <w:rFonts w:ascii="Segoe UI" w:hAnsi="Segoe UI"/>
                <w:sz w:val="20"/>
              </w:rPr>
              <w:t>Normaal</w:t>
            </w:r>
          </w:p>
        </w:tc>
        <w:tc>
          <w:tcPr>
            <w:tcW w:type="dxa" w:w="1701"/>
          </w:tcPr>
          <w:p>
            <w:pPr>
              <w:spacing w:before="40" w:after="40"/>
            </w:pPr>
            <w:r/>
            <w:r>
              <w:rPr>
                <w:rFonts w:ascii="Segoe UI" w:hAnsi="Segoe UI"/>
                <w:sz w:val="20"/>
              </w:rPr>
              <w:t>200</w:t>
            </w:r>
          </w:p>
        </w:tc>
        <w:tc>
          <w:tcPr>
            <w:tcW w:type="dxa" w:w="1701"/>
          </w:tcPr>
          <w:p>
            <w:pPr>
              <w:spacing w:before="40" w:after="40"/>
            </w:pPr>
            <w:r/>
            <w:r>
              <w:rPr>
                <w:rFonts w:ascii="Segoe UI" w:hAnsi="Segoe UI"/>
                <w:sz w:val="20"/>
              </w:rPr>
              <w:t>€1.100</w:t>
            </w:r>
          </w:p>
        </w:tc>
        <w:tc>
          <w:tcPr>
            <w:tcW w:type="dxa" w:w="1701"/>
          </w:tcPr>
          <w:p>
            <w:pPr>
              <w:spacing w:before="40" w:after="40"/>
            </w:pPr>
            <w:r/>
            <w:r>
              <w:rPr>
                <w:rFonts w:ascii="Segoe UI" w:hAnsi="Segoe UI"/>
                <w:sz w:val="20"/>
              </w:rPr>
              <w:t>€220.000</w:t>
            </w:r>
          </w:p>
        </w:tc>
        <w:tc>
          <w:tcPr>
            <w:tcW w:type="dxa" w:w="1701"/>
          </w:tcPr>
          <w:p>
            <w:pPr>
              <w:spacing w:before="40" w:after="40"/>
            </w:pPr>
            <w:r/>
            <w:r>
              <w:rPr>
                <w:rFonts w:ascii="Segoe UI" w:hAnsi="Segoe UI"/>
                <w:sz w:val="20"/>
              </w:rPr>
              <w:t>€46.200</w:t>
            </w:r>
          </w:p>
        </w:tc>
      </w:tr>
      <w:tr>
        <w:tc>
          <w:tcPr>
            <w:tcW w:type="dxa" w:w="1701"/>
          </w:tcPr>
          <w:p>
            <w:pPr>
              <w:spacing w:before="40" w:after="40"/>
            </w:pPr>
            <w:r/>
            <w:r>
              <w:rPr>
                <w:rFonts w:ascii="Segoe UI" w:hAnsi="Segoe UI"/>
                <w:sz w:val="20"/>
              </w:rPr>
              <w:t>Optimistisch</w:t>
            </w:r>
          </w:p>
        </w:tc>
        <w:tc>
          <w:tcPr>
            <w:tcW w:type="dxa" w:w="1701"/>
          </w:tcPr>
          <w:p>
            <w:pPr>
              <w:spacing w:before="40" w:after="40"/>
            </w:pPr>
            <w:r/>
            <w:r>
              <w:rPr>
                <w:rFonts w:ascii="Segoe UI" w:hAnsi="Segoe UI"/>
                <w:sz w:val="20"/>
              </w:rPr>
              <w:t>220</w:t>
            </w:r>
          </w:p>
        </w:tc>
        <w:tc>
          <w:tcPr>
            <w:tcW w:type="dxa" w:w="1701"/>
          </w:tcPr>
          <w:p>
            <w:pPr>
              <w:spacing w:before="40" w:after="40"/>
            </w:pPr>
            <w:r/>
            <w:r>
              <w:rPr>
                <w:rFonts w:ascii="Segoe UI" w:hAnsi="Segoe UI"/>
                <w:sz w:val="20"/>
              </w:rPr>
              <w:t>€1.200</w:t>
            </w:r>
          </w:p>
        </w:tc>
        <w:tc>
          <w:tcPr>
            <w:tcW w:type="dxa" w:w="1701"/>
          </w:tcPr>
          <w:p>
            <w:pPr>
              <w:spacing w:before="40" w:after="40"/>
            </w:pPr>
            <w:r/>
            <w:r>
              <w:rPr>
                <w:rFonts w:ascii="Segoe UI" w:hAnsi="Segoe UI"/>
                <w:sz w:val="20"/>
              </w:rPr>
              <w:t>€264.000</w:t>
            </w:r>
          </w:p>
        </w:tc>
        <w:tc>
          <w:tcPr>
            <w:tcW w:type="dxa" w:w="1701"/>
          </w:tcPr>
          <w:p>
            <w:pPr>
              <w:spacing w:before="40" w:after="40"/>
            </w:pPr>
            <w:r/>
            <w:r>
              <w:rPr>
                <w:rFonts w:ascii="Segoe UI" w:hAnsi="Segoe UI"/>
                <w:sz w:val="20"/>
              </w:rPr>
              <w:t>€55.440</w:t>
            </w:r>
          </w:p>
        </w:tc>
      </w:tr>
    </w:tbl>
    <w:p>
      <w:pPr>
        <w:spacing w:after="120"/>
      </w:pPr>
      <w:r>
        <w:rPr>
          <w:rFonts w:ascii="Segoe UI" w:hAnsi="Segoe UI"/>
          <w:color w:val="1F2937"/>
          <w:sz w:val="22"/>
        </w:rPr>
        <w:t>Aanname: 220 werkbare dagen per jaar (na vakanties, feestdagen, ziekte). Conservatief scenario hanteert 45–77% bezettingsgraad, normaal 64–91%, optimistisch 77–100%. Realistisch verwachte bezetting jaar 1: 60–70% (120–150 dagen).</w:t>
      </w:r>
    </w:p>
    <w:p>
      <w:pPr>
        <w:pStyle w:val="Heading1"/>
      </w:pPr>
      <w:r>
        <w:rPr>
          <w:rFonts w:ascii="Segoe UI" w:hAnsi="Segoe UI"/>
          <w:color w:val="003366"/>
        </w:rPr>
        <w:t>5. Winst- en Verliesrekening (3 Jaar)</w:t>
      </w:r>
    </w:p>
    <w:p>
      <w:pPr>
        <w:spacing w:after="120"/>
      </w:pPr>
      <w:r>
        <w:rPr>
          <w:rFonts w:ascii="Segoe UI" w:hAnsi="Segoe UI"/>
          <w:color w:val="1F2937"/>
          <w:sz w:val="22"/>
        </w:rPr>
        <w:t>Uitgaande van het normaal scenario.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835"/>
          </w:tcPr>
          <w:p>
            <w:pPr>
              <w:spacing w:before="40" w:after="40"/>
              <w:jc w:val="center"/>
            </w:pPr>
            <w:r/>
            <w:r>
              <w:rPr>
                <w:rFonts w:ascii="Segoe UI" w:hAnsi="Segoe UI"/>
                <w:b/>
                <w:color w:val="FFFFFF"/>
                <w:sz w:val="20"/>
              </w:rPr>
              <w:t>Post</w:t>
            </w:r>
          </w:p>
        </w:tc>
        <w:tc>
          <w:tcPr>
            <w:tcW w:type="dxa" w:w="1984"/>
          </w:tcPr>
          <w:p>
            <w:pPr>
              <w:spacing w:before="40" w:after="40"/>
              <w:jc w:val="center"/>
            </w:pPr>
            <w:r/>
            <w:r>
              <w:rPr>
                <w:rFonts w:ascii="Segoe UI" w:hAnsi="Segoe UI"/>
                <w:b/>
                <w:color w:val="FFFFFF"/>
                <w:sz w:val="20"/>
              </w:rPr>
              <w:t>Jaar 1 (2027)</w:t>
            </w:r>
          </w:p>
        </w:tc>
        <w:tc>
          <w:tcPr>
            <w:tcW w:type="dxa" w:w="1984"/>
          </w:tcPr>
          <w:p>
            <w:pPr>
              <w:spacing w:before="40" w:after="40"/>
              <w:jc w:val="center"/>
            </w:pPr>
            <w:r/>
            <w:r>
              <w:rPr>
                <w:rFonts w:ascii="Segoe UI" w:hAnsi="Segoe UI"/>
                <w:b/>
                <w:color w:val="FFFFFF"/>
                <w:sz w:val="20"/>
              </w:rPr>
              <w:t>Jaar 2 (2028)</w:t>
            </w:r>
          </w:p>
        </w:tc>
        <w:tc>
          <w:tcPr>
            <w:tcW w:type="dxa" w:w="1984"/>
          </w:tcPr>
          <w:p>
            <w:pPr>
              <w:spacing w:before="40" w:after="40"/>
              <w:jc w:val="center"/>
            </w:pPr>
            <w:r/>
            <w:r>
              <w:rPr>
                <w:rFonts w:ascii="Segoe UI" w:hAnsi="Segoe UI"/>
                <w:b/>
                <w:color w:val="FFFFFF"/>
                <w:sz w:val="20"/>
              </w:rPr>
              <w:t>Jaar 3 (2029)</w:t>
            </w:r>
          </w:p>
        </w:tc>
      </w:tr>
      <w:tr>
        <w:tc>
          <w:tcPr>
            <w:tcW w:type="dxa" w:w="2835"/>
          </w:tcPr>
          <w:p>
            <w:pPr>
              <w:spacing w:before="40" w:after="40"/>
            </w:pPr>
            <w:r/>
            <w:r>
              <w:rPr>
                <w:rFonts w:ascii="Segoe UI" w:hAnsi="Segoe UI"/>
                <w:sz w:val="20"/>
              </w:rPr>
              <w:t>Omzet (excl. BTW)</w:t>
            </w:r>
          </w:p>
        </w:tc>
        <w:tc>
          <w:tcPr>
            <w:tcW w:type="dxa" w:w="1984"/>
          </w:tcPr>
          <w:p>
            <w:pPr>
              <w:spacing w:before="40" w:after="40"/>
            </w:pPr>
            <w:r/>
            <w:r>
              <w:rPr>
                <w:rFonts w:ascii="Segoe UI" w:hAnsi="Segoe UI"/>
                <w:sz w:val="20"/>
              </w:rPr>
              <w:t>€126.000</w:t>
            </w:r>
          </w:p>
        </w:tc>
        <w:tc>
          <w:tcPr>
            <w:tcW w:type="dxa" w:w="1984"/>
          </w:tcPr>
          <w:p>
            <w:pPr>
              <w:spacing w:before="40" w:after="40"/>
            </w:pPr>
            <w:r/>
            <w:r>
              <w:rPr>
                <w:rFonts w:ascii="Segoe UI" w:hAnsi="Segoe UI"/>
                <w:sz w:val="20"/>
              </w:rPr>
              <w:t>€170.000</w:t>
            </w:r>
          </w:p>
        </w:tc>
        <w:tc>
          <w:tcPr>
            <w:tcW w:type="dxa" w:w="1984"/>
          </w:tcPr>
          <w:p>
            <w:pPr>
              <w:spacing w:before="40" w:after="40"/>
            </w:pPr>
            <w:r/>
            <w:r>
              <w:rPr>
                <w:rFonts w:ascii="Segoe UI" w:hAnsi="Segoe UI"/>
                <w:sz w:val="20"/>
              </w:rPr>
              <w:t>€220.000</w:t>
            </w:r>
          </w:p>
        </w:tc>
      </w:tr>
      <w:tr>
        <w:tc>
          <w:tcPr>
            <w:tcW w:type="dxa" w:w="2835"/>
          </w:tcPr>
          <w:p>
            <w:pPr>
              <w:spacing w:before="40" w:after="40"/>
            </w:pPr>
            <w:r/>
            <w:r>
              <w:rPr>
                <w:rFonts w:ascii="Segoe UI" w:hAnsi="Segoe UI"/>
                <w:sz w:val="20"/>
              </w:rPr>
              <w:t>Vaste lasten</w:t>
            </w:r>
          </w:p>
        </w:tc>
        <w:tc>
          <w:tcPr>
            <w:tcW w:type="dxa" w:w="1984"/>
          </w:tcPr>
          <w:p>
            <w:pPr>
              <w:spacing w:before="40" w:after="40"/>
            </w:pPr>
            <w:r/>
            <w:r>
              <w:rPr>
                <w:rFonts w:ascii="Segoe UI" w:hAnsi="Segoe UI"/>
                <w:sz w:val="20"/>
              </w:rPr>
              <w:t>–€14.340</w:t>
            </w:r>
          </w:p>
        </w:tc>
        <w:tc>
          <w:tcPr>
            <w:tcW w:type="dxa" w:w="1984"/>
          </w:tcPr>
          <w:p>
            <w:pPr>
              <w:spacing w:before="40" w:after="40"/>
            </w:pPr>
            <w:r/>
            <w:r>
              <w:rPr>
                <w:rFonts w:ascii="Segoe UI" w:hAnsi="Segoe UI"/>
                <w:sz w:val="20"/>
              </w:rPr>
              <w:t>–€14.890</w:t>
            </w:r>
          </w:p>
        </w:tc>
        <w:tc>
          <w:tcPr>
            <w:tcW w:type="dxa" w:w="1984"/>
          </w:tcPr>
          <w:p>
            <w:pPr>
              <w:spacing w:before="40" w:after="40"/>
            </w:pPr>
            <w:r/>
            <w:r>
              <w:rPr>
                <w:rFonts w:ascii="Segoe UI" w:hAnsi="Segoe UI"/>
                <w:sz w:val="20"/>
              </w:rPr>
              <w:t>–€15.350</w:t>
            </w:r>
          </w:p>
        </w:tc>
      </w:tr>
      <w:tr>
        <w:tc>
          <w:tcPr>
            <w:tcW w:type="dxa" w:w="2835"/>
          </w:tcPr>
          <w:p>
            <w:pPr>
              <w:spacing w:before="40" w:after="40"/>
            </w:pPr>
            <w:r/>
            <w:r>
              <w:rPr>
                <w:rFonts w:ascii="Segoe UI" w:hAnsi="Segoe UI"/>
                <w:sz w:val="20"/>
              </w:rPr>
              <w:t>Variabele kosten</w:t>
            </w:r>
          </w:p>
        </w:tc>
        <w:tc>
          <w:tcPr>
            <w:tcW w:type="dxa" w:w="1984"/>
          </w:tcPr>
          <w:p>
            <w:pPr>
              <w:spacing w:before="40" w:after="40"/>
            </w:pPr>
            <w:r/>
            <w:r>
              <w:rPr>
                <w:rFonts w:ascii="Segoe UI" w:hAnsi="Segoe UI"/>
                <w:sz w:val="20"/>
              </w:rPr>
              <w:t>–€6.000</w:t>
            </w:r>
          </w:p>
        </w:tc>
        <w:tc>
          <w:tcPr>
            <w:tcW w:type="dxa" w:w="1984"/>
          </w:tcPr>
          <w:p>
            <w:pPr>
              <w:spacing w:before="40" w:after="40"/>
            </w:pPr>
            <w:r/>
            <w:r>
              <w:rPr>
                <w:rFonts w:ascii="Segoe UI" w:hAnsi="Segoe UI"/>
                <w:sz w:val="20"/>
              </w:rPr>
              <w:t>–€6.500</w:t>
            </w:r>
          </w:p>
        </w:tc>
        <w:tc>
          <w:tcPr>
            <w:tcW w:type="dxa" w:w="1984"/>
          </w:tcPr>
          <w:p>
            <w:pPr>
              <w:spacing w:before="40" w:after="40"/>
            </w:pPr>
            <w:r/>
            <w:r>
              <w:rPr>
                <w:rFonts w:ascii="Segoe UI" w:hAnsi="Segoe UI"/>
                <w:sz w:val="20"/>
              </w:rPr>
              <w:t>–€7.000</w:t>
            </w:r>
          </w:p>
        </w:tc>
      </w:tr>
      <w:tr>
        <w:tc>
          <w:tcPr>
            <w:tcW w:type="dxa" w:w="2835"/>
          </w:tcPr>
          <w:p>
            <w:pPr>
              <w:spacing w:before="40" w:after="40"/>
            </w:pPr>
            <w:r/>
            <w:r>
              <w:rPr>
                <w:rFonts w:ascii="Segoe UI" w:hAnsi="Segoe UI"/>
                <w:sz w:val="20"/>
              </w:rPr>
              <w:t>Startup (eenmalig)</w:t>
            </w:r>
          </w:p>
        </w:tc>
        <w:tc>
          <w:tcPr>
            <w:tcW w:type="dxa" w:w="1984"/>
          </w:tcPr>
          <w:p>
            <w:pPr>
              <w:spacing w:before="40" w:after="40"/>
            </w:pPr>
            <w:r/>
            <w:r>
              <w:rPr>
                <w:rFonts w:ascii="Segoe UI" w:hAnsi="Segoe UI"/>
                <w:sz w:val="20"/>
              </w:rPr>
              <w:t>–€11.325</w:t>
            </w:r>
          </w:p>
        </w:tc>
        <w:tc>
          <w:tcPr>
            <w:tcW w:type="dxa" w:w="1984"/>
          </w:tcPr>
          <w:p>
            <w:pPr>
              <w:spacing w:before="40" w:after="40"/>
            </w:pPr>
            <w:r/>
            <w:r>
              <w:rPr>
                <w:rFonts w:ascii="Segoe UI" w:hAnsi="Segoe UI"/>
                <w:sz w:val="20"/>
              </w:rPr>
              <w:t>—</w:t>
            </w:r>
          </w:p>
        </w:tc>
        <w:tc>
          <w:tcPr>
            <w:tcW w:type="dxa" w:w="1984"/>
          </w:tcPr>
          <w:p>
            <w:pPr>
              <w:spacing w:before="40" w:after="40"/>
            </w:pPr>
            <w:r/>
            <w:r>
              <w:rPr>
                <w:rFonts w:ascii="Segoe UI" w:hAnsi="Segoe UI"/>
                <w:sz w:val="20"/>
              </w:rPr>
              <w:t>—</w:t>
            </w:r>
          </w:p>
        </w:tc>
      </w:tr>
      <w:tr>
        <w:tc>
          <w:tcPr>
            <w:tcW w:type="dxa" w:w="2835"/>
          </w:tcPr>
          <w:p>
            <w:pPr>
              <w:spacing w:before="40" w:after="40"/>
            </w:pPr>
            <w:r/>
            <w:r>
              <w:rPr>
                <w:rFonts w:ascii="Segoe UI" w:hAnsi="Segoe UI"/>
                <w:sz w:val="20"/>
              </w:rPr>
              <w:t>Brutowinst</w:t>
            </w:r>
          </w:p>
        </w:tc>
        <w:tc>
          <w:tcPr>
            <w:tcW w:type="dxa" w:w="1984"/>
          </w:tcPr>
          <w:p>
            <w:pPr>
              <w:spacing w:before="40" w:after="40"/>
            </w:pPr>
            <w:r/>
            <w:r>
              <w:rPr>
                <w:rFonts w:ascii="Segoe UI" w:hAnsi="Segoe UI"/>
                <w:sz w:val="20"/>
              </w:rPr>
              <w:t>€94.335</w:t>
            </w:r>
          </w:p>
        </w:tc>
        <w:tc>
          <w:tcPr>
            <w:tcW w:type="dxa" w:w="1984"/>
          </w:tcPr>
          <w:p>
            <w:pPr>
              <w:spacing w:before="40" w:after="40"/>
            </w:pPr>
            <w:r/>
            <w:r>
              <w:rPr>
                <w:rFonts w:ascii="Segoe UI" w:hAnsi="Segoe UI"/>
                <w:sz w:val="20"/>
              </w:rPr>
              <w:t>€148.610</w:t>
            </w:r>
          </w:p>
        </w:tc>
        <w:tc>
          <w:tcPr>
            <w:tcW w:type="dxa" w:w="1984"/>
          </w:tcPr>
          <w:p>
            <w:pPr>
              <w:spacing w:before="40" w:after="40"/>
            </w:pPr>
            <w:r/>
            <w:r>
              <w:rPr>
                <w:rFonts w:ascii="Segoe UI" w:hAnsi="Segoe UI"/>
                <w:sz w:val="20"/>
              </w:rPr>
              <w:t>€197.650</w:t>
            </w:r>
          </w:p>
        </w:tc>
      </w:tr>
      <w:tr>
        <w:tc>
          <w:tcPr>
            <w:tcW w:type="dxa" w:w="2835"/>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r>
      <w:tr>
        <w:tc>
          <w:tcPr>
            <w:tcW w:type="dxa" w:w="2835"/>
          </w:tcPr>
          <w:p>
            <w:pPr>
              <w:spacing w:before="40" w:after="40"/>
            </w:pPr>
            <w:r/>
            <w:r>
              <w:rPr>
                <w:rFonts w:ascii="Segoe UI" w:hAnsi="Segoe UI"/>
                <w:sz w:val="20"/>
              </w:rPr>
              <w:t>Fiscale aftrek:</w:t>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r>
      <w:tr>
        <w:tc>
          <w:tcPr>
            <w:tcW w:type="dxa" w:w="2835"/>
          </w:tcPr>
          <w:p>
            <w:pPr>
              <w:spacing w:before="40" w:after="40"/>
            </w:pPr>
            <w:r/>
            <w:r>
              <w:rPr>
                <w:rFonts w:ascii="Segoe UI" w:hAnsi="Segoe UI"/>
                <w:sz w:val="20"/>
              </w:rPr>
              <w:t xml:space="preserve">  Zelfstandigenaftrek</w:t>
            </w:r>
          </w:p>
        </w:tc>
        <w:tc>
          <w:tcPr>
            <w:tcW w:type="dxa" w:w="1984"/>
          </w:tcPr>
          <w:p>
            <w:pPr>
              <w:spacing w:before="40" w:after="40"/>
            </w:pPr>
            <w:r/>
            <w:r>
              <w:rPr>
                <w:rFonts w:ascii="Segoe UI" w:hAnsi="Segoe UI"/>
                <w:sz w:val="20"/>
              </w:rPr>
              <w:t>€7.500</w:t>
            </w:r>
          </w:p>
        </w:tc>
        <w:tc>
          <w:tcPr>
            <w:tcW w:type="dxa" w:w="1984"/>
          </w:tcPr>
          <w:p>
            <w:pPr>
              <w:spacing w:before="40" w:after="40"/>
            </w:pPr>
            <w:r/>
            <w:r>
              <w:rPr>
                <w:rFonts w:ascii="Segoe UI" w:hAnsi="Segoe UI"/>
                <w:sz w:val="20"/>
              </w:rPr>
              <w:t>€7.500</w:t>
            </w:r>
          </w:p>
        </w:tc>
        <w:tc>
          <w:tcPr>
            <w:tcW w:type="dxa" w:w="1984"/>
          </w:tcPr>
          <w:p>
            <w:pPr>
              <w:spacing w:before="40" w:after="40"/>
            </w:pPr>
            <w:r/>
            <w:r>
              <w:rPr>
                <w:rFonts w:ascii="Segoe UI" w:hAnsi="Segoe UI"/>
                <w:sz w:val="20"/>
              </w:rPr>
              <w:t>€7.500</w:t>
            </w:r>
          </w:p>
        </w:tc>
      </w:tr>
      <w:tr>
        <w:tc>
          <w:tcPr>
            <w:tcW w:type="dxa" w:w="2835"/>
          </w:tcPr>
          <w:p>
            <w:pPr>
              <w:spacing w:before="40" w:after="40"/>
            </w:pPr>
            <w:r/>
            <w:r>
              <w:rPr>
                <w:rFonts w:ascii="Segoe UI" w:hAnsi="Segoe UI"/>
                <w:sz w:val="20"/>
              </w:rPr>
              <w:t xml:space="preserve">  Startersaftrek</w:t>
            </w:r>
          </w:p>
        </w:tc>
        <w:tc>
          <w:tcPr>
            <w:tcW w:type="dxa" w:w="1984"/>
          </w:tcPr>
          <w:p>
            <w:pPr>
              <w:spacing w:before="40" w:after="40"/>
            </w:pPr>
            <w:r/>
            <w:r>
              <w:rPr>
                <w:rFonts w:ascii="Segoe UI" w:hAnsi="Segoe UI"/>
                <w:sz w:val="20"/>
              </w:rPr>
              <w:t>€2.123</w:t>
            </w:r>
          </w:p>
        </w:tc>
        <w:tc>
          <w:tcPr>
            <w:tcW w:type="dxa" w:w="1984"/>
          </w:tcPr>
          <w:p>
            <w:pPr>
              <w:spacing w:before="40" w:after="40"/>
            </w:pPr>
            <w:r/>
            <w:r>
              <w:rPr>
                <w:rFonts w:ascii="Segoe UI" w:hAnsi="Segoe UI"/>
                <w:sz w:val="20"/>
              </w:rPr>
              <w:t>€2.123</w:t>
            </w:r>
          </w:p>
        </w:tc>
        <w:tc>
          <w:tcPr>
            <w:tcW w:type="dxa" w:w="1984"/>
          </w:tcPr>
          <w:p>
            <w:pPr>
              <w:spacing w:before="40" w:after="40"/>
            </w:pPr>
            <w:r/>
            <w:r>
              <w:rPr>
                <w:rFonts w:ascii="Segoe UI" w:hAnsi="Segoe UI"/>
                <w:sz w:val="20"/>
              </w:rPr>
              <w:t>€2.123</w:t>
            </w:r>
          </w:p>
        </w:tc>
      </w:tr>
      <w:tr>
        <w:tc>
          <w:tcPr>
            <w:tcW w:type="dxa" w:w="2835"/>
          </w:tcPr>
          <w:p>
            <w:pPr>
              <w:spacing w:before="40" w:after="40"/>
            </w:pPr>
            <w:r/>
            <w:r>
              <w:rPr>
                <w:rFonts w:ascii="Segoe UI" w:hAnsi="Segoe UI"/>
                <w:sz w:val="20"/>
              </w:rPr>
              <w:t xml:space="preserve">  Afschrijvingen</w:t>
            </w:r>
          </w:p>
        </w:tc>
        <w:tc>
          <w:tcPr>
            <w:tcW w:type="dxa" w:w="1984"/>
          </w:tcPr>
          <w:p>
            <w:pPr>
              <w:spacing w:before="40" w:after="40"/>
            </w:pPr>
            <w:r/>
            <w:r>
              <w:rPr>
                <w:rFonts w:ascii="Segoe UI" w:hAnsi="Segoe UI"/>
                <w:sz w:val="20"/>
              </w:rPr>
              <w:t>€600</w:t>
            </w:r>
          </w:p>
        </w:tc>
        <w:tc>
          <w:tcPr>
            <w:tcW w:type="dxa" w:w="1984"/>
          </w:tcPr>
          <w:p>
            <w:pPr>
              <w:spacing w:before="40" w:after="40"/>
            </w:pPr>
            <w:r/>
            <w:r>
              <w:rPr>
                <w:rFonts w:ascii="Segoe UI" w:hAnsi="Segoe UI"/>
                <w:sz w:val="20"/>
              </w:rPr>
              <w:t>€600</w:t>
            </w:r>
          </w:p>
        </w:tc>
        <w:tc>
          <w:tcPr>
            <w:tcW w:type="dxa" w:w="1984"/>
          </w:tcPr>
          <w:p>
            <w:pPr>
              <w:spacing w:before="40" w:after="40"/>
            </w:pPr>
            <w:r/>
            <w:r>
              <w:rPr>
                <w:rFonts w:ascii="Segoe UI" w:hAnsi="Segoe UI"/>
                <w:sz w:val="20"/>
              </w:rPr>
              <w:t>€600</w:t>
            </w:r>
          </w:p>
        </w:tc>
      </w:tr>
      <w:tr>
        <w:tc>
          <w:tcPr>
            <w:tcW w:type="dxa" w:w="2835"/>
          </w:tcPr>
          <w:p>
            <w:pPr>
              <w:spacing w:before="40" w:after="40"/>
            </w:pPr>
            <w:r/>
            <w:r>
              <w:rPr>
                <w:rFonts w:ascii="Segoe UI" w:hAnsi="Segoe UI"/>
                <w:sz w:val="20"/>
              </w:rPr>
              <w:t xml:space="preserve">  Thuiskantoor + telecom</w:t>
            </w:r>
          </w:p>
        </w:tc>
        <w:tc>
          <w:tcPr>
            <w:tcW w:type="dxa" w:w="1984"/>
          </w:tcPr>
          <w:p>
            <w:pPr>
              <w:spacing w:before="40" w:after="40"/>
            </w:pPr>
            <w:r/>
            <w:r>
              <w:rPr>
                <w:rFonts w:ascii="Segoe UI" w:hAnsi="Segoe UI"/>
                <w:sz w:val="20"/>
              </w:rPr>
              <w:t>€2.460</w:t>
            </w:r>
          </w:p>
        </w:tc>
        <w:tc>
          <w:tcPr>
            <w:tcW w:type="dxa" w:w="1984"/>
          </w:tcPr>
          <w:p>
            <w:pPr>
              <w:spacing w:before="40" w:after="40"/>
            </w:pPr>
            <w:r/>
            <w:r>
              <w:rPr>
                <w:rFonts w:ascii="Segoe UI" w:hAnsi="Segoe UI"/>
                <w:sz w:val="20"/>
              </w:rPr>
              <w:t>€2.460</w:t>
            </w:r>
          </w:p>
        </w:tc>
        <w:tc>
          <w:tcPr>
            <w:tcW w:type="dxa" w:w="1984"/>
          </w:tcPr>
          <w:p>
            <w:pPr>
              <w:spacing w:before="40" w:after="40"/>
            </w:pPr>
            <w:r/>
            <w:r>
              <w:rPr>
                <w:rFonts w:ascii="Segoe UI" w:hAnsi="Segoe UI"/>
                <w:sz w:val="20"/>
              </w:rPr>
              <w:t>€2.460</w:t>
            </w:r>
          </w:p>
        </w:tc>
      </w:tr>
      <w:tr>
        <w:tc>
          <w:tcPr>
            <w:tcW w:type="dxa" w:w="2835"/>
          </w:tcPr>
          <w:p>
            <w:pPr>
              <w:spacing w:before="40" w:after="40"/>
            </w:pPr>
            <w:r/>
            <w:r>
              <w:rPr>
                <w:rFonts w:ascii="Segoe UI" w:hAnsi="Segoe UI"/>
                <w:sz w:val="20"/>
              </w:rPr>
              <w:t>Totaal fiscale aftrek</w:t>
            </w:r>
          </w:p>
        </w:tc>
        <w:tc>
          <w:tcPr>
            <w:tcW w:type="dxa" w:w="1984"/>
          </w:tcPr>
          <w:p>
            <w:pPr>
              <w:spacing w:before="40" w:after="40"/>
            </w:pPr>
            <w:r/>
            <w:r>
              <w:rPr>
                <w:rFonts w:ascii="Segoe UI" w:hAnsi="Segoe UI"/>
                <w:sz w:val="20"/>
              </w:rPr>
              <w:t>€12.683</w:t>
            </w:r>
          </w:p>
        </w:tc>
        <w:tc>
          <w:tcPr>
            <w:tcW w:type="dxa" w:w="1984"/>
          </w:tcPr>
          <w:p>
            <w:pPr>
              <w:spacing w:before="40" w:after="40"/>
            </w:pPr>
            <w:r/>
            <w:r>
              <w:rPr>
                <w:rFonts w:ascii="Segoe UI" w:hAnsi="Segoe UI"/>
                <w:sz w:val="20"/>
              </w:rPr>
              <w:t>€12.683</w:t>
            </w:r>
          </w:p>
        </w:tc>
        <w:tc>
          <w:tcPr>
            <w:tcW w:type="dxa" w:w="1984"/>
          </w:tcPr>
          <w:p>
            <w:pPr>
              <w:spacing w:before="40" w:after="40"/>
            </w:pPr>
            <w:r/>
            <w:r>
              <w:rPr>
                <w:rFonts w:ascii="Segoe UI" w:hAnsi="Segoe UI"/>
                <w:sz w:val="20"/>
              </w:rPr>
              <w:t>€12.683</w:t>
            </w:r>
          </w:p>
        </w:tc>
      </w:tr>
      <w:tr>
        <w:tc>
          <w:tcPr>
            <w:tcW w:type="dxa" w:w="2835"/>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r>
      <w:tr>
        <w:tc>
          <w:tcPr>
            <w:tcW w:type="dxa" w:w="2835"/>
          </w:tcPr>
          <w:p>
            <w:pPr>
              <w:spacing w:before="40" w:after="40"/>
            </w:pPr>
            <w:r/>
            <w:r>
              <w:rPr>
                <w:rFonts w:ascii="Segoe UI" w:hAnsi="Segoe UI"/>
                <w:sz w:val="20"/>
              </w:rPr>
              <w:t>Belastbare winst</w:t>
            </w:r>
          </w:p>
        </w:tc>
        <w:tc>
          <w:tcPr>
            <w:tcW w:type="dxa" w:w="1984"/>
          </w:tcPr>
          <w:p>
            <w:pPr>
              <w:spacing w:before="40" w:after="40"/>
            </w:pPr>
            <w:r/>
            <w:r>
              <w:rPr>
                <w:rFonts w:ascii="Segoe UI" w:hAnsi="Segoe UI"/>
                <w:sz w:val="20"/>
              </w:rPr>
              <w:t>€81.652</w:t>
            </w:r>
          </w:p>
        </w:tc>
        <w:tc>
          <w:tcPr>
            <w:tcW w:type="dxa" w:w="1984"/>
          </w:tcPr>
          <w:p>
            <w:pPr>
              <w:spacing w:before="40" w:after="40"/>
            </w:pPr>
            <w:r/>
            <w:r>
              <w:rPr>
                <w:rFonts w:ascii="Segoe UI" w:hAnsi="Segoe UI"/>
                <w:sz w:val="20"/>
              </w:rPr>
              <w:t>€135.927</w:t>
            </w:r>
          </w:p>
        </w:tc>
        <w:tc>
          <w:tcPr>
            <w:tcW w:type="dxa" w:w="1984"/>
          </w:tcPr>
          <w:p>
            <w:pPr>
              <w:spacing w:before="40" w:after="40"/>
            </w:pPr>
            <w:r/>
            <w:r>
              <w:rPr>
                <w:rFonts w:ascii="Segoe UI" w:hAnsi="Segoe UI"/>
                <w:sz w:val="20"/>
              </w:rPr>
              <w:t>€184.967</w:t>
            </w:r>
          </w:p>
        </w:tc>
      </w:tr>
      <w:tr>
        <w:tc>
          <w:tcPr>
            <w:tcW w:type="dxa" w:w="2835"/>
          </w:tcPr>
          <w:p>
            <w:pPr>
              <w:spacing w:before="40" w:after="40"/>
            </w:pPr>
            <w:r/>
            <w:r>
              <w:rPr>
                <w:rFonts w:ascii="Segoe UI" w:hAnsi="Segoe UI"/>
                <w:sz w:val="20"/>
              </w:rPr>
              <w:t xml:space="preserve">  – MKB-winstvrijstelling (19%)</w:t>
            </w:r>
          </w:p>
        </w:tc>
        <w:tc>
          <w:tcPr>
            <w:tcW w:type="dxa" w:w="1984"/>
          </w:tcPr>
          <w:p>
            <w:pPr>
              <w:spacing w:before="40" w:after="40"/>
            </w:pPr>
            <w:r/>
            <w:r>
              <w:rPr>
                <w:rFonts w:ascii="Segoe UI" w:hAnsi="Segoe UI"/>
                <w:sz w:val="20"/>
              </w:rPr>
              <w:t>€15.514</w:t>
            </w:r>
          </w:p>
        </w:tc>
        <w:tc>
          <w:tcPr>
            <w:tcW w:type="dxa" w:w="1984"/>
          </w:tcPr>
          <w:p>
            <w:pPr>
              <w:spacing w:before="40" w:after="40"/>
            </w:pPr>
            <w:r/>
            <w:r>
              <w:rPr>
                <w:rFonts w:ascii="Segoe UI" w:hAnsi="Segoe UI"/>
                <w:sz w:val="20"/>
              </w:rPr>
              <w:t>€25.826</w:t>
            </w:r>
          </w:p>
        </w:tc>
        <w:tc>
          <w:tcPr>
            <w:tcW w:type="dxa" w:w="1984"/>
          </w:tcPr>
          <w:p>
            <w:pPr>
              <w:spacing w:before="40" w:after="40"/>
            </w:pPr>
            <w:r/>
            <w:r>
              <w:rPr>
                <w:rFonts w:ascii="Segoe UI" w:hAnsi="Segoe UI"/>
                <w:sz w:val="20"/>
              </w:rPr>
              <w:t>€35.144</w:t>
            </w:r>
          </w:p>
        </w:tc>
      </w:tr>
      <w:tr>
        <w:tc>
          <w:tcPr>
            <w:tcW w:type="dxa" w:w="2835"/>
          </w:tcPr>
          <w:p>
            <w:pPr>
              <w:spacing w:before="40" w:after="40"/>
            </w:pPr>
            <w:r/>
            <w:r>
              <w:rPr>
                <w:rFonts w:ascii="Segoe UI" w:hAnsi="Segoe UI"/>
                <w:sz w:val="20"/>
              </w:rPr>
              <w:t>Fiscale winst</w:t>
            </w:r>
          </w:p>
        </w:tc>
        <w:tc>
          <w:tcPr>
            <w:tcW w:type="dxa" w:w="1984"/>
          </w:tcPr>
          <w:p>
            <w:pPr>
              <w:spacing w:before="40" w:after="40"/>
            </w:pPr>
            <w:r/>
            <w:r>
              <w:rPr>
                <w:rFonts w:ascii="Segoe UI" w:hAnsi="Segoe UI"/>
                <w:sz w:val="20"/>
              </w:rPr>
              <w:t>€66.138</w:t>
            </w:r>
          </w:p>
        </w:tc>
        <w:tc>
          <w:tcPr>
            <w:tcW w:type="dxa" w:w="1984"/>
          </w:tcPr>
          <w:p>
            <w:pPr>
              <w:spacing w:before="40" w:after="40"/>
            </w:pPr>
            <w:r/>
            <w:r>
              <w:rPr>
                <w:rFonts w:ascii="Segoe UI" w:hAnsi="Segoe UI"/>
                <w:sz w:val="20"/>
              </w:rPr>
              <w:t>€110.101</w:t>
            </w:r>
          </w:p>
        </w:tc>
        <w:tc>
          <w:tcPr>
            <w:tcW w:type="dxa" w:w="1984"/>
          </w:tcPr>
          <w:p>
            <w:pPr>
              <w:spacing w:before="40" w:after="40"/>
            </w:pPr>
            <w:r/>
            <w:r>
              <w:rPr>
                <w:rFonts w:ascii="Segoe UI" w:hAnsi="Segoe UI"/>
                <w:sz w:val="20"/>
              </w:rPr>
              <w:t>€149.823</w:t>
            </w:r>
          </w:p>
        </w:tc>
      </w:tr>
      <w:tr>
        <w:tc>
          <w:tcPr>
            <w:tcW w:type="dxa" w:w="2835"/>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r>
      <w:tr>
        <w:tc>
          <w:tcPr>
            <w:tcW w:type="dxa" w:w="2835"/>
          </w:tcPr>
          <w:p>
            <w:pPr>
              <w:spacing w:before="40" w:after="40"/>
            </w:pPr>
            <w:r/>
            <w:r>
              <w:rPr>
                <w:rFonts w:ascii="Segoe UI" w:hAnsi="Segoe UI"/>
                <w:sz w:val="20"/>
              </w:rPr>
              <w:t>Inkomstenbelasting (schijf 1+2)</w:t>
            </w:r>
          </w:p>
        </w:tc>
        <w:tc>
          <w:tcPr>
            <w:tcW w:type="dxa" w:w="1984"/>
          </w:tcPr>
          <w:p>
            <w:pPr>
              <w:spacing w:before="40" w:after="40"/>
            </w:pPr>
            <w:r/>
            <w:r>
              <w:rPr>
                <w:rFonts w:ascii="Segoe UI" w:hAnsi="Segoe UI"/>
                <w:sz w:val="20"/>
              </w:rPr>
              <w:t>~€21.960</w:t>
            </w:r>
          </w:p>
        </w:tc>
        <w:tc>
          <w:tcPr>
            <w:tcW w:type="dxa" w:w="1984"/>
          </w:tcPr>
          <w:p>
            <w:pPr>
              <w:spacing w:before="40" w:after="40"/>
            </w:pPr>
            <w:r/>
            <w:r>
              <w:rPr>
                <w:rFonts w:ascii="Segoe UI" w:hAnsi="Segoe UI"/>
                <w:sz w:val="20"/>
              </w:rPr>
              <w:t>~€40.840</w:t>
            </w:r>
          </w:p>
        </w:tc>
        <w:tc>
          <w:tcPr>
            <w:tcW w:type="dxa" w:w="1984"/>
          </w:tcPr>
          <w:p>
            <w:pPr>
              <w:spacing w:before="40" w:after="40"/>
            </w:pPr>
            <w:r/>
            <w:r>
              <w:rPr>
                <w:rFonts w:ascii="Segoe UI" w:hAnsi="Segoe UI"/>
                <w:sz w:val="20"/>
              </w:rPr>
              <w:t>~€56.930</w:t>
            </w:r>
          </w:p>
        </w:tc>
      </w:tr>
      <w:tr>
        <w:tc>
          <w:tcPr>
            <w:tcW w:type="dxa" w:w="2835"/>
          </w:tcPr>
          <w:p>
            <w:pPr>
              <w:spacing w:before="40" w:after="40"/>
            </w:pPr>
            <w:r/>
            <w:r>
              <w:rPr>
                <w:rFonts w:ascii="Segoe UI" w:hAnsi="Segoe UI"/>
                <w:sz w:val="20"/>
              </w:rPr>
              <w:t xml:space="preserve">  (indicatief, 36,97%–49,50%)</w:t>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c>
          <w:tcPr>
            <w:tcW w:type="dxa" w:w="1984"/>
          </w:tcPr>
          <w:p>
            <w:pPr>
              <w:spacing w:before="40" w:after="40"/>
            </w:pPr>
            <w:r/>
            <w:r>
              <w:rPr>
                <w:rFonts w:ascii="Segoe UI" w:hAnsi="Segoe UI"/>
                <w:sz w:val="20"/>
              </w:rPr>
            </w:r>
          </w:p>
        </w:tc>
      </w:tr>
      <w:tr>
        <w:tc>
          <w:tcPr>
            <w:tcW w:type="dxa" w:w="2835"/>
          </w:tcPr>
          <w:p>
            <w:pPr>
              <w:spacing w:before="40" w:after="40"/>
            </w:pPr>
            <w:r/>
            <w:r>
              <w:rPr>
                <w:rFonts w:ascii="Segoe UI" w:hAnsi="Segoe UI"/>
                <w:sz w:val="20"/>
              </w:rPr>
              <w:t>Nettowinst (na belasting)</w:t>
            </w:r>
          </w:p>
        </w:tc>
        <w:tc>
          <w:tcPr>
            <w:tcW w:type="dxa" w:w="1984"/>
          </w:tcPr>
          <w:p>
            <w:pPr>
              <w:spacing w:before="40" w:after="40"/>
            </w:pPr>
            <w:r/>
            <w:r>
              <w:rPr>
                <w:rFonts w:ascii="Segoe UI" w:hAnsi="Segoe UI"/>
                <w:sz w:val="20"/>
              </w:rPr>
              <w:t>€72.375</w:t>
            </w:r>
          </w:p>
        </w:tc>
        <w:tc>
          <w:tcPr>
            <w:tcW w:type="dxa" w:w="1984"/>
          </w:tcPr>
          <w:p>
            <w:pPr>
              <w:spacing w:before="40" w:after="40"/>
            </w:pPr>
            <w:r/>
            <w:r>
              <w:rPr>
                <w:rFonts w:ascii="Segoe UI" w:hAnsi="Segoe UI"/>
                <w:sz w:val="20"/>
              </w:rPr>
              <w:t>€107.770</w:t>
            </w:r>
          </w:p>
        </w:tc>
        <w:tc>
          <w:tcPr>
            <w:tcW w:type="dxa" w:w="1984"/>
          </w:tcPr>
          <w:p>
            <w:pPr>
              <w:spacing w:before="40" w:after="40"/>
            </w:pPr>
            <w:r/>
            <w:r>
              <w:rPr>
                <w:rFonts w:ascii="Segoe UI" w:hAnsi="Segoe UI"/>
                <w:sz w:val="20"/>
              </w:rPr>
              <w:t>€140.720</w:t>
            </w:r>
          </w:p>
        </w:tc>
      </w:tr>
      <w:tr>
        <w:tc>
          <w:tcPr>
            <w:tcW w:type="dxa" w:w="2835"/>
          </w:tcPr>
          <w:p>
            <w:pPr>
              <w:spacing w:before="40" w:after="40"/>
            </w:pPr>
            <w:r/>
            <w:r>
              <w:rPr>
                <w:rFonts w:ascii="Segoe UI" w:hAnsi="Segoe UI"/>
                <w:sz w:val="20"/>
              </w:rPr>
              <w:t>Operationele marge</w:t>
            </w:r>
          </w:p>
        </w:tc>
        <w:tc>
          <w:tcPr>
            <w:tcW w:type="dxa" w:w="1984"/>
          </w:tcPr>
          <w:p>
            <w:pPr>
              <w:spacing w:before="40" w:after="40"/>
            </w:pPr>
            <w:r/>
            <w:r>
              <w:rPr>
                <w:rFonts w:ascii="Segoe UI" w:hAnsi="Segoe UI"/>
                <w:sz w:val="20"/>
              </w:rPr>
              <w:t>57,4%</w:t>
            </w:r>
          </w:p>
        </w:tc>
        <w:tc>
          <w:tcPr>
            <w:tcW w:type="dxa" w:w="1984"/>
          </w:tcPr>
          <w:p>
            <w:pPr>
              <w:spacing w:before="40" w:after="40"/>
            </w:pPr>
            <w:r/>
            <w:r>
              <w:rPr>
                <w:rFonts w:ascii="Segoe UI" w:hAnsi="Segoe UI"/>
                <w:sz w:val="20"/>
              </w:rPr>
              <w:t>63,4%</w:t>
            </w:r>
          </w:p>
        </w:tc>
        <w:tc>
          <w:tcPr>
            <w:tcW w:type="dxa" w:w="1984"/>
          </w:tcPr>
          <w:p>
            <w:pPr>
              <w:spacing w:before="40" w:after="40"/>
            </w:pPr>
            <w:r/>
            <w:r>
              <w:rPr>
                <w:rFonts w:ascii="Segoe UI" w:hAnsi="Segoe UI"/>
                <w:sz w:val="20"/>
              </w:rPr>
              <w:t>64,0%</w:t>
            </w:r>
          </w:p>
        </w:tc>
      </w:tr>
    </w:tbl>
    <w:p>
      <w:pPr>
        <w:spacing w:after="120"/>
      </w:pPr>
      <w:r>
        <w:rPr>
          <w:rFonts w:ascii="Segoe UI" w:hAnsi="Segoe UI"/>
          <w:color w:val="1F2937"/>
          <w:sz w:val="22"/>
        </w:rPr>
        <w:t>Toelichting: De inkomstenbelasting is berekend op basis van de progressieve schijven voor 2027 (indicatief: schijf 1 tot €75.518 op 36,97%, schijf 2 daarboven op 49,50%). Exacte belastingdruk verschilt per persoonlijke situatie (toeslagen, partnerinkomen, etc.). De MKB-winstvrijstelling (19%) wordt toegepast op de winst vóór aftrek van de zelfstandigen- en startersaftrek.</w:t>
      </w:r>
    </w:p>
    <w:p>
      <w:pPr>
        <w:pStyle w:val="Heading1"/>
      </w:pPr>
      <w:r>
        <w:rPr>
          <w:rFonts w:ascii="Segoe UI" w:hAnsi="Segoe UI"/>
          <w:color w:val="003366"/>
        </w:rPr>
        <w:t>6. Cashflow Prognose (3 Jaar)</w:t>
      </w:r>
    </w:p>
    <w:p>
      <w:pPr>
        <w:spacing w:after="120"/>
      </w:pPr>
      <w:r>
        <w:rPr>
          <w:rFonts w:ascii="Segoe UI" w:hAnsi="Segoe UI"/>
          <w:color w:val="1F2937"/>
          <w:sz w:val="22"/>
        </w:rPr>
        <w:t>Uitgaande van het normaal scenario. Betalingstermijn klanten: 14–30 dagen. BTW-aangifte: per kwartaal. Inkomstenbelasting: voorlopige aanslag, corrigerend na aangifte.</w:t>
      </w:r>
    </w:p>
    <w:p>
      <w:pPr>
        <w:pStyle w:val="Heading2"/>
      </w:pPr>
      <w:r>
        <w:rPr>
          <w:rFonts w:ascii="Segoe UI" w:hAnsi="Segoe UI"/>
          <w:color w:val="003366"/>
        </w:rPr>
        <w:t>6.1 Jaar 1 — Kwartaaloverzicht</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984"/>
          </w:tcPr>
          <w:p>
            <w:pPr>
              <w:spacing w:before="40" w:after="40"/>
              <w:jc w:val="center"/>
            </w:pPr>
            <w:r/>
            <w:r>
              <w:rPr>
                <w:rFonts w:ascii="Segoe UI" w:hAnsi="Segoe UI"/>
                <w:b/>
                <w:color w:val="FFFFFF"/>
                <w:sz w:val="20"/>
              </w:rPr>
              <w:t>Post</w:t>
            </w:r>
          </w:p>
        </w:tc>
        <w:tc>
          <w:tcPr>
            <w:tcW w:type="dxa" w:w="1417"/>
          </w:tcPr>
          <w:p>
            <w:pPr>
              <w:spacing w:before="40" w:after="40"/>
              <w:jc w:val="center"/>
            </w:pPr>
            <w:r/>
            <w:r>
              <w:rPr>
                <w:rFonts w:ascii="Segoe UI" w:hAnsi="Segoe UI"/>
                <w:b/>
                <w:color w:val="FFFFFF"/>
                <w:sz w:val="20"/>
              </w:rPr>
              <w:t>Q1</w:t>
            </w:r>
          </w:p>
        </w:tc>
        <w:tc>
          <w:tcPr>
            <w:tcW w:type="dxa" w:w="1417"/>
          </w:tcPr>
          <w:p>
            <w:pPr>
              <w:spacing w:before="40" w:after="40"/>
              <w:jc w:val="center"/>
            </w:pPr>
            <w:r/>
            <w:r>
              <w:rPr>
                <w:rFonts w:ascii="Segoe UI" w:hAnsi="Segoe UI"/>
                <w:b/>
                <w:color w:val="FFFFFF"/>
                <w:sz w:val="20"/>
              </w:rPr>
              <w:t>Q2</w:t>
            </w:r>
          </w:p>
        </w:tc>
        <w:tc>
          <w:tcPr>
            <w:tcW w:type="dxa" w:w="1417"/>
          </w:tcPr>
          <w:p>
            <w:pPr>
              <w:spacing w:before="40" w:after="40"/>
              <w:jc w:val="center"/>
            </w:pPr>
            <w:r/>
            <w:r>
              <w:rPr>
                <w:rFonts w:ascii="Segoe UI" w:hAnsi="Segoe UI"/>
                <w:b/>
                <w:color w:val="FFFFFF"/>
                <w:sz w:val="20"/>
              </w:rPr>
              <w:t>Q3</w:t>
            </w:r>
          </w:p>
        </w:tc>
        <w:tc>
          <w:tcPr>
            <w:tcW w:type="dxa" w:w="1417"/>
          </w:tcPr>
          <w:p>
            <w:pPr>
              <w:spacing w:before="40" w:after="40"/>
              <w:jc w:val="center"/>
            </w:pPr>
            <w:r/>
            <w:r>
              <w:rPr>
                <w:rFonts w:ascii="Segoe UI" w:hAnsi="Segoe UI"/>
                <w:b/>
                <w:color w:val="FFFFFF"/>
                <w:sz w:val="20"/>
              </w:rPr>
              <w:t>Q4</w:t>
            </w:r>
          </w:p>
        </w:tc>
        <w:tc>
          <w:tcPr>
            <w:tcW w:type="dxa" w:w="1417"/>
          </w:tcPr>
          <w:p>
            <w:pPr>
              <w:spacing w:before="40" w:after="40"/>
              <w:jc w:val="center"/>
            </w:pPr>
            <w:r/>
            <w:r>
              <w:rPr>
                <w:rFonts w:ascii="Segoe UI" w:hAnsi="Segoe UI"/>
                <w:b/>
                <w:color w:val="FFFFFF"/>
                <w:sz w:val="20"/>
              </w:rPr>
              <w:t>Jaartotaal</w:t>
            </w:r>
          </w:p>
        </w:tc>
      </w:tr>
      <w:tr>
        <w:tc>
          <w:tcPr>
            <w:tcW w:type="dxa" w:w="1984"/>
          </w:tcPr>
          <w:p>
            <w:pPr>
              <w:spacing w:before="40" w:after="40"/>
            </w:pPr>
            <w:r/>
            <w:r>
              <w:rPr>
                <w:rFonts w:ascii="Segoe UI" w:hAnsi="Segoe UI"/>
                <w:sz w:val="20"/>
              </w:rPr>
              <w:t>Inkomsten (facturatie)</w:t>
            </w:r>
          </w:p>
        </w:tc>
        <w:tc>
          <w:tcPr>
            <w:tcW w:type="dxa" w:w="1417"/>
          </w:tcPr>
          <w:p>
            <w:pPr>
              <w:spacing w:before="40" w:after="40"/>
            </w:pPr>
            <w:r/>
            <w:r>
              <w:rPr>
                <w:rFonts w:ascii="Segoe UI" w:hAnsi="Segoe UI"/>
                <w:sz w:val="20"/>
              </w:rPr>
              <w:t>€15.750</w:t>
            </w:r>
          </w:p>
        </w:tc>
        <w:tc>
          <w:tcPr>
            <w:tcW w:type="dxa" w:w="1417"/>
          </w:tcPr>
          <w:p>
            <w:pPr>
              <w:spacing w:before="40" w:after="40"/>
            </w:pPr>
            <w:r/>
            <w:r>
              <w:rPr>
                <w:rFonts w:ascii="Segoe UI" w:hAnsi="Segoe UI"/>
                <w:sz w:val="20"/>
              </w:rPr>
              <w:t>€31.500</w:t>
            </w:r>
          </w:p>
        </w:tc>
        <w:tc>
          <w:tcPr>
            <w:tcW w:type="dxa" w:w="1417"/>
          </w:tcPr>
          <w:p>
            <w:pPr>
              <w:spacing w:before="40" w:after="40"/>
            </w:pPr>
            <w:r/>
            <w:r>
              <w:rPr>
                <w:rFonts w:ascii="Segoe UI" w:hAnsi="Segoe UI"/>
                <w:sz w:val="20"/>
              </w:rPr>
              <w:t>€31.500</w:t>
            </w:r>
          </w:p>
        </w:tc>
        <w:tc>
          <w:tcPr>
            <w:tcW w:type="dxa" w:w="1417"/>
          </w:tcPr>
          <w:p>
            <w:pPr>
              <w:spacing w:before="40" w:after="40"/>
            </w:pPr>
            <w:r/>
            <w:r>
              <w:rPr>
                <w:rFonts w:ascii="Segoe UI" w:hAnsi="Segoe UI"/>
                <w:sz w:val="20"/>
              </w:rPr>
              <w:t>€47.250</w:t>
            </w:r>
          </w:p>
        </w:tc>
        <w:tc>
          <w:tcPr>
            <w:tcW w:type="dxa" w:w="1417"/>
          </w:tcPr>
          <w:p>
            <w:pPr>
              <w:spacing w:before="40" w:after="40"/>
            </w:pPr>
            <w:r/>
            <w:r>
              <w:rPr>
                <w:rFonts w:ascii="Segoe UI" w:hAnsi="Segoe UI"/>
                <w:sz w:val="20"/>
              </w:rPr>
              <w:t>€126.000</w:t>
            </w:r>
          </w:p>
        </w:tc>
      </w:tr>
      <w:tr>
        <w:tc>
          <w:tcPr>
            <w:tcW w:type="dxa" w:w="1984"/>
          </w:tcPr>
          <w:p>
            <w:pPr>
              <w:spacing w:before="40" w:after="40"/>
            </w:pPr>
            <w:r/>
            <w:r>
              <w:rPr>
                <w:rFonts w:ascii="Segoe UI" w:hAnsi="Segoe UI"/>
                <w:sz w:val="20"/>
              </w:rPr>
              <w:t>Uitgaven vast</w:t>
            </w:r>
          </w:p>
        </w:tc>
        <w:tc>
          <w:tcPr>
            <w:tcW w:type="dxa" w:w="1417"/>
          </w:tcPr>
          <w:p>
            <w:pPr>
              <w:spacing w:before="40" w:after="40"/>
            </w:pPr>
            <w:r/>
            <w:r>
              <w:rPr>
                <w:rFonts w:ascii="Segoe UI" w:hAnsi="Segoe UI"/>
                <w:sz w:val="20"/>
              </w:rPr>
              <w:t>–€3.585</w:t>
            </w:r>
          </w:p>
        </w:tc>
        <w:tc>
          <w:tcPr>
            <w:tcW w:type="dxa" w:w="1417"/>
          </w:tcPr>
          <w:p>
            <w:pPr>
              <w:spacing w:before="40" w:after="40"/>
            </w:pPr>
            <w:r/>
            <w:r>
              <w:rPr>
                <w:rFonts w:ascii="Segoe UI" w:hAnsi="Segoe UI"/>
                <w:sz w:val="20"/>
              </w:rPr>
              <w:t>–€3.585</w:t>
            </w:r>
          </w:p>
        </w:tc>
        <w:tc>
          <w:tcPr>
            <w:tcW w:type="dxa" w:w="1417"/>
          </w:tcPr>
          <w:p>
            <w:pPr>
              <w:spacing w:before="40" w:after="40"/>
            </w:pPr>
            <w:r/>
            <w:r>
              <w:rPr>
                <w:rFonts w:ascii="Segoe UI" w:hAnsi="Segoe UI"/>
                <w:sz w:val="20"/>
              </w:rPr>
              <w:t>–€3.585</w:t>
            </w:r>
          </w:p>
        </w:tc>
        <w:tc>
          <w:tcPr>
            <w:tcW w:type="dxa" w:w="1417"/>
          </w:tcPr>
          <w:p>
            <w:pPr>
              <w:spacing w:before="40" w:after="40"/>
            </w:pPr>
            <w:r/>
            <w:r>
              <w:rPr>
                <w:rFonts w:ascii="Segoe UI" w:hAnsi="Segoe UI"/>
                <w:sz w:val="20"/>
              </w:rPr>
              <w:t>–€3.585</w:t>
            </w:r>
          </w:p>
        </w:tc>
        <w:tc>
          <w:tcPr>
            <w:tcW w:type="dxa" w:w="1417"/>
          </w:tcPr>
          <w:p>
            <w:pPr>
              <w:spacing w:before="40" w:after="40"/>
            </w:pPr>
            <w:r/>
            <w:r>
              <w:rPr>
                <w:rFonts w:ascii="Segoe UI" w:hAnsi="Segoe UI"/>
                <w:sz w:val="20"/>
              </w:rPr>
              <w:t>–€14.340</w:t>
            </w:r>
          </w:p>
        </w:tc>
      </w:tr>
      <w:tr>
        <w:tc>
          <w:tcPr>
            <w:tcW w:type="dxa" w:w="1984"/>
          </w:tcPr>
          <w:p>
            <w:pPr>
              <w:spacing w:before="40" w:after="40"/>
            </w:pPr>
            <w:r/>
            <w:r>
              <w:rPr>
                <w:rFonts w:ascii="Segoe UI" w:hAnsi="Segoe UI"/>
                <w:sz w:val="20"/>
              </w:rPr>
              <w:t>Uitgaven variabel</w:t>
            </w:r>
          </w:p>
        </w:tc>
        <w:tc>
          <w:tcPr>
            <w:tcW w:type="dxa" w:w="1417"/>
          </w:tcPr>
          <w:p>
            <w:pPr>
              <w:spacing w:before="40" w:after="40"/>
            </w:pPr>
            <w:r/>
            <w:r>
              <w:rPr>
                <w:rFonts w:ascii="Segoe UI" w:hAnsi="Segoe UI"/>
                <w:sz w:val="20"/>
              </w:rPr>
              <w:t>–€1.500</w:t>
            </w:r>
          </w:p>
        </w:tc>
        <w:tc>
          <w:tcPr>
            <w:tcW w:type="dxa" w:w="1417"/>
          </w:tcPr>
          <w:p>
            <w:pPr>
              <w:spacing w:before="40" w:after="40"/>
            </w:pPr>
            <w:r/>
            <w:r>
              <w:rPr>
                <w:rFonts w:ascii="Segoe UI" w:hAnsi="Segoe UI"/>
                <w:sz w:val="20"/>
              </w:rPr>
              <w:t>–€1.500</w:t>
            </w:r>
          </w:p>
        </w:tc>
        <w:tc>
          <w:tcPr>
            <w:tcW w:type="dxa" w:w="1417"/>
          </w:tcPr>
          <w:p>
            <w:pPr>
              <w:spacing w:before="40" w:after="40"/>
            </w:pPr>
            <w:r/>
            <w:r>
              <w:rPr>
                <w:rFonts w:ascii="Segoe UI" w:hAnsi="Segoe UI"/>
                <w:sz w:val="20"/>
              </w:rPr>
              <w:t>–€1.500</w:t>
            </w:r>
          </w:p>
        </w:tc>
        <w:tc>
          <w:tcPr>
            <w:tcW w:type="dxa" w:w="1417"/>
          </w:tcPr>
          <w:p>
            <w:pPr>
              <w:spacing w:before="40" w:after="40"/>
            </w:pPr>
            <w:r/>
            <w:r>
              <w:rPr>
                <w:rFonts w:ascii="Segoe UI" w:hAnsi="Segoe UI"/>
                <w:sz w:val="20"/>
              </w:rPr>
              <w:t>–€1.500</w:t>
            </w:r>
          </w:p>
        </w:tc>
        <w:tc>
          <w:tcPr>
            <w:tcW w:type="dxa" w:w="1417"/>
          </w:tcPr>
          <w:p>
            <w:pPr>
              <w:spacing w:before="40" w:after="40"/>
            </w:pPr>
            <w:r/>
            <w:r>
              <w:rPr>
                <w:rFonts w:ascii="Segoe UI" w:hAnsi="Segoe UI"/>
                <w:sz w:val="20"/>
              </w:rPr>
              <w:t>–€6.000</w:t>
            </w:r>
          </w:p>
        </w:tc>
      </w:tr>
      <w:tr>
        <w:tc>
          <w:tcPr>
            <w:tcW w:type="dxa" w:w="1984"/>
          </w:tcPr>
          <w:p>
            <w:pPr>
              <w:spacing w:before="40" w:after="40"/>
            </w:pPr>
            <w:r/>
            <w:r>
              <w:rPr>
                <w:rFonts w:ascii="Segoe UI" w:hAnsi="Segoe UI"/>
                <w:sz w:val="20"/>
              </w:rPr>
              <w:t>Startup investering</w:t>
            </w:r>
          </w:p>
        </w:tc>
        <w:tc>
          <w:tcPr>
            <w:tcW w:type="dxa" w:w="1417"/>
          </w:tcPr>
          <w:p>
            <w:pPr>
              <w:spacing w:before="40" w:after="40"/>
            </w:pPr>
            <w:r/>
            <w:r>
              <w:rPr>
                <w:rFonts w:ascii="Segoe UI" w:hAnsi="Segoe UI"/>
                <w:sz w:val="20"/>
              </w:rPr>
              <w:t>–€11.325</w:t>
            </w:r>
          </w:p>
        </w:tc>
        <w:tc>
          <w:tcPr>
            <w:tcW w:type="dxa" w:w="1417"/>
          </w:tcPr>
          <w:p>
            <w:pPr>
              <w:spacing w:before="40" w:after="40"/>
            </w:pPr>
            <w:r/>
            <w:r>
              <w:rPr>
                <w:rFonts w:ascii="Segoe UI" w:hAnsi="Segoe UI"/>
                <w:sz w:val="20"/>
              </w:rPr>
              <w:t>—</w:t>
            </w:r>
          </w:p>
        </w:tc>
        <w:tc>
          <w:tcPr>
            <w:tcW w:type="dxa" w:w="1417"/>
          </w:tcPr>
          <w:p>
            <w:pPr>
              <w:spacing w:before="40" w:after="40"/>
            </w:pPr>
            <w:r/>
            <w:r>
              <w:rPr>
                <w:rFonts w:ascii="Segoe UI" w:hAnsi="Segoe UI"/>
                <w:sz w:val="20"/>
              </w:rPr>
              <w:t>—</w:t>
            </w:r>
          </w:p>
        </w:tc>
        <w:tc>
          <w:tcPr>
            <w:tcW w:type="dxa" w:w="1417"/>
          </w:tcPr>
          <w:p>
            <w:pPr>
              <w:spacing w:before="40" w:after="40"/>
            </w:pPr>
            <w:r/>
            <w:r>
              <w:rPr>
                <w:rFonts w:ascii="Segoe UI" w:hAnsi="Segoe UI"/>
                <w:sz w:val="20"/>
              </w:rPr>
              <w:t>—</w:t>
            </w:r>
          </w:p>
        </w:tc>
        <w:tc>
          <w:tcPr>
            <w:tcW w:type="dxa" w:w="1417"/>
          </w:tcPr>
          <w:p>
            <w:pPr>
              <w:spacing w:before="40" w:after="40"/>
            </w:pPr>
            <w:r/>
            <w:r>
              <w:rPr>
                <w:rFonts w:ascii="Segoe UI" w:hAnsi="Segoe UI"/>
                <w:sz w:val="20"/>
              </w:rPr>
              <w:t>–€11.325</w:t>
            </w:r>
          </w:p>
        </w:tc>
      </w:tr>
      <w:tr>
        <w:tc>
          <w:tcPr>
            <w:tcW w:type="dxa" w:w="1984"/>
          </w:tcPr>
          <w:p>
            <w:pPr>
              <w:spacing w:before="40" w:after="40"/>
            </w:pPr>
            <w:r/>
            <w:r>
              <w:rPr>
                <w:rFonts w:ascii="Segoe UI" w:hAnsi="Segoe UI"/>
                <w:sz w:val="20"/>
              </w:rPr>
              <w:t>BTW betaling (netto)</w:t>
            </w:r>
          </w:p>
        </w:tc>
        <w:tc>
          <w:tcPr>
            <w:tcW w:type="dxa" w:w="1417"/>
          </w:tcPr>
          <w:p>
            <w:pPr>
              <w:spacing w:before="40" w:after="40"/>
            </w:pPr>
            <w:r/>
            <w:r>
              <w:rPr>
                <w:rFonts w:ascii="Segoe UI" w:hAnsi="Segoe UI"/>
                <w:sz w:val="20"/>
              </w:rPr>
              <w:t>–€500</w:t>
            </w:r>
          </w:p>
        </w:tc>
        <w:tc>
          <w:tcPr>
            <w:tcW w:type="dxa" w:w="1417"/>
          </w:tcPr>
          <w:p>
            <w:pPr>
              <w:spacing w:before="40" w:after="40"/>
            </w:pPr>
            <w:r/>
            <w:r>
              <w:rPr>
                <w:rFonts w:ascii="Segoe UI" w:hAnsi="Segoe UI"/>
                <w:sz w:val="20"/>
              </w:rPr>
              <w:t>€750</w:t>
            </w:r>
          </w:p>
        </w:tc>
        <w:tc>
          <w:tcPr>
            <w:tcW w:type="dxa" w:w="1417"/>
          </w:tcPr>
          <w:p>
            <w:pPr>
              <w:spacing w:before="40" w:after="40"/>
            </w:pPr>
            <w:r/>
            <w:r>
              <w:rPr>
                <w:rFonts w:ascii="Segoe UI" w:hAnsi="Segoe UI"/>
                <w:sz w:val="20"/>
              </w:rPr>
              <w:t>€750</w:t>
            </w:r>
          </w:p>
        </w:tc>
        <w:tc>
          <w:tcPr>
            <w:tcW w:type="dxa" w:w="1417"/>
          </w:tcPr>
          <w:p>
            <w:pPr>
              <w:spacing w:before="40" w:after="40"/>
            </w:pPr>
            <w:r/>
            <w:r>
              <w:rPr>
                <w:rFonts w:ascii="Segoe UI" w:hAnsi="Segoe UI"/>
                <w:sz w:val="20"/>
              </w:rPr>
              <w:t>€1.000</w:t>
            </w:r>
          </w:p>
        </w:tc>
        <w:tc>
          <w:tcPr>
            <w:tcW w:type="dxa" w:w="1417"/>
          </w:tcPr>
          <w:p>
            <w:pPr>
              <w:spacing w:before="40" w:after="40"/>
            </w:pPr>
            <w:r/>
            <w:r>
              <w:rPr>
                <w:rFonts w:ascii="Segoe UI" w:hAnsi="Segoe UI"/>
                <w:sz w:val="20"/>
              </w:rPr>
              <w:t>€2.000</w:t>
            </w:r>
          </w:p>
        </w:tc>
      </w:tr>
      <w:tr>
        <w:tc>
          <w:tcPr>
            <w:tcW w:type="dxa" w:w="1984"/>
          </w:tcPr>
          <w:p>
            <w:pPr>
              <w:spacing w:before="40" w:after="40"/>
            </w:pPr>
            <w:r/>
            <w:r>
              <w:rPr>
                <w:rFonts w:ascii="Segoe UI" w:hAnsi="Segoe UI"/>
                <w:sz w:val="20"/>
              </w:rPr>
              <w:t>Netto kasstroom</w:t>
            </w:r>
          </w:p>
        </w:tc>
        <w:tc>
          <w:tcPr>
            <w:tcW w:type="dxa" w:w="1417"/>
          </w:tcPr>
          <w:p>
            <w:pPr>
              <w:spacing w:before="40" w:after="40"/>
            </w:pPr>
            <w:r/>
            <w:r>
              <w:rPr>
                <w:rFonts w:ascii="Segoe UI" w:hAnsi="Segoe UI"/>
                <w:sz w:val="20"/>
              </w:rPr>
              <w:t>–€1.160</w:t>
            </w:r>
          </w:p>
        </w:tc>
        <w:tc>
          <w:tcPr>
            <w:tcW w:type="dxa" w:w="1417"/>
          </w:tcPr>
          <w:p>
            <w:pPr>
              <w:spacing w:before="40" w:after="40"/>
            </w:pPr>
            <w:r/>
            <w:r>
              <w:rPr>
                <w:rFonts w:ascii="Segoe UI" w:hAnsi="Segoe UI"/>
                <w:sz w:val="20"/>
              </w:rPr>
              <w:t>€27.165</w:t>
            </w:r>
          </w:p>
        </w:tc>
        <w:tc>
          <w:tcPr>
            <w:tcW w:type="dxa" w:w="1417"/>
          </w:tcPr>
          <w:p>
            <w:pPr>
              <w:spacing w:before="40" w:after="40"/>
            </w:pPr>
            <w:r/>
            <w:r>
              <w:rPr>
                <w:rFonts w:ascii="Segoe UI" w:hAnsi="Segoe UI"/>
                <w:sz w:val="20"/>
              </w:rPr>
              <w:t>€27.165</w:t>
            </w:r>
          </w:p>
        </w:tc>
        <w:tc>
          <w:tcPr>
            <w:tcW w:type="dxa" w:w="1417"/>
          </w:tcPr>
          <w:p>
            <w:pPr>
              <w:spacing w:before="40" w:after="40"/>
            </w:pPr>
            <w:r/>
            <w:r>
              <w:rPr>
                <w:rFonts w:ascii="Segoe UI" w:hAnsi="Segoe UI"/>
                <w:sz w:val="20"/>
              </w:rPr>
              <w:t>€43.165</w:t>
            </w:r>
          </w:p>
        </w:tc>
        <w:tc>
          <w:tcPr>
            <w:tcW w:type="dxa" w:w="1417"/>
          </w:tcPr>
          <w:p>
            <w:pPr>
              <w:spacing w:before="40" w:after="40"/>
            </w:pPr>
            <w:r/>
            <w:r>
              <w:rPr>
                <w:rFonts w:ascii="Segoe UI" w:hAnsi="Segoe UI"/>
                <w:sz w:val="20"/>
              </w:rPr>
              <w:t>€96.335</w:t>
            </w:r>
          </w:p>
        </w:tc>
      </w:tr>
      <w:tr>
        <w:tc>
          <w:tcPr>
            <w:tcW w:type="dxa" w:w="1984"/>
          </w:tcPr>
          <w:p>
            <w:pPr>
              <w:spacing w:before="40" w:after="40"/>
            </w:pPr>
            <w:r/>
            <w:r>
              <w:rPr>
                <w:rFonts w:ascii="Segoe UI" w:hAnsi="Segoe UI"/>
                <w:sz w:val="20"/>
              </w:rPr>
              <w:t>Cumulatieve kas</w:t>
            </w:r>
          </w:p>
        </w:tc>
        <w:tc>
          <w:tcPr>
            <w:tcW w:type="dxa" w:w="1417"/>
          </w:tcPr>
          <w:p>
            <w:pPr>
              <w:spacing w:before="40" w:after="40"/>
            </w:pPr>
            <w:r/>
            <w:r>
              <w:rPr>
                <w:rFonts w:ascii="Segoe UI" w:hAnsi="Segoe UI"/>
                <w:sz w:val="20"/>
              </w:rPr>
              <w:t>–€1.160</w:t>
            </w:r>
          </w:p>
        </w:tc>
        <w:tc>
          <w:tcPr>
            <w:tcW w:type="dxa" w:w="1417"/>
          </w:tcPr>
          <w:p>
            <w:pPr>
              <w:spacing w:before="40" w:after="40"/>
            </w:pPr>
            <w:r/>
            <w:r>
              <w:rPr>
                <w:rFonts w:ascii="Segoe UI" w:hAnsi="Segoe UI"/>
                <w:sz w:val="20"/>
              </w:rPr>
              <w:t>€26.005</w:t>
            </w:r>
          </w:p>
        </w:tc>
        <w:tc>
          <w:tcPr>
            <w:tcW w:type="dxa" w:w="1417"/>
          </w:tcPr>
          <w:p>
            <w:pPr>
              <w:spacing w:before="40" w:after="40"/>
            </w:pPr>
            <w:r/>
            <w:r>
              <w:rPr>
                <w:rFonts w:ascii="Segoe UI" w:hAnsi="Segoe UI"/>
                <w:sz w:val="20"/>
              </w:rPr>
              <w:t>€53.170</w:t>
            </w:r>
          </w:p>
        </w:tc>
        <w:tc>
          <w:tcPr>
            <w:tcW w:type="dxa" w:w="1417"/>
          </w:tcPr>
          <w:p>
            <w:pPr>
              <w:spacing w:before="40" w:after="40"/>
            </w:pPr>
            <w:r/>
            <w:r>
              <w:rPr>
                <w:rFonts w:ascii="Segoe UI" w:hAnsi="Segoe UI"/>
                <w:sz w:val="20"/>
              </w:rPr>
              <w:t>€96.335</w:t>
            </w:r>
          </w:p>
        </w:tc>
        <w:tc>
          <w:tcPr>
            <w:tcW w:type="dxa" w:w="1417"/>
          </w:tcPr>
          <w:p>
            <w:pPr>
              <w:spacing w:before="40" w:after="40"/>
            </w:pPr>
            <w:r/>
            <w:r>
              <w:rPr>
                <w:rFonts w:ascii="Segoe UI" w:hAnsi="Segoe UI"/>
                <w:sz w:val="20"/>
              </w:rPr>
              <w:t>—</w:t>
            </w:r>
          </w:p>
        </w:tc>
      </w:tr>
    </w:tbl>
    <w:p>
      <w:pPr>
        <w:spacing w:after="120"/>
      </w:pPr>
      <w:r>
        <w:rPr>
          <w:rFonts w:ascii="Segoe UI" w:hAnsi="Segoe UI"/>
          <w:color w:val="1F2937"/>
          <w:sz w:val="22"/>
        </w:rPr>
        <w:t>Kasbuffer vereist: minimaal €15.000 bij start (3 maanden vaste lasten + startup kosten). Advies: €20.000–€25.000 voor comfortabele buffer. Q1 is negatief door investeringskosten en opstartvertraging in facturatie.</w:t>
      </w:r>
    </w:p>
    <w:p>
      <w:pPr>
        <w:pStyle w:val="Heading2"/>
      </w:pPr>
      <w:r>
        <w:rPr>
          <w:rFonts w:ascii="Segoe UI" w:hAnsi="Segoe UI"/>
          <w:color w:val="003366"/>
        </w:rPr>
        <w:t>6.2 Break-even Timing</w:t>
      </w:r>
    </w:p>
    <w:p>
      <w:pPr>
        <w:spacing w:after="120"/>
      </w:pPr>
      <w:r>
        <w:rPr>
          <w:rFonts w:ascii="Segoe UI" w:hAnsi="Segoe UI"/>
          <w:color w:val="1F2937"/>
          <w:sz w:val="22"/>
        </w:rPr>
        <w:t>Break-even wordt bereikt in maand 7–8 van jaar 1 (normaal scenario). Vanaf dat moment overtreffen maandelijkse inkomsten de maandelijkse kosten. De cumulatieve kaspositie is positief vanaf Q2.</w:t>
      </w:r>
    </w:p>
    <w:p>
      <w:pPr>
        <w:pStyle w:val="Heading1"/>
      </w:pPr>
      <w:r>
        <w:rPr>
          <w:rFonts w:ascii="Segoe UI" w:hAnsi="Segoe UI"/>
          <w:color w:val="003366"/>
        </w:rPr>
        <w:t>7. Break-even Analyse</w:t>
      </w:r>
    </w:p>
    <w:tbl>
      <w:tblPr>
        <w:tblStyle w:val="TableGrid"/>
        <w:tblW w:type="auto" w:w="0"/>
        <w:jc w:val="center"/>
        <w:tblLook w:firstColumn="1" w:firstRow="1" w:lastColumn="0" w:lastRow="0" w:noHBand="0" w:noVBand="1" w:val="04A0"/>
      </w:tblPr>
      <w:tblGrid>
        <w:gridCol w:w="3135"/>
        <w:gridCol w:w="3135"/>
        <w:gridCol w:w="3135"/>
      </w:tblGrid>
      <w:tr>
        <w:tc>
          <w:tcPr>
            <w:tcW w:type="dxa" w:w="2268"/>
          </w:tcPr>
          <w:p>
            <w:pPr>
              <w:spacing w:before="40" w:after="40"/>
              <w:jc w:val="center"/>
            </w:pPr>
            <w:r/>
            <w:r>
              <w:rPr>
                <w:rFonts w:ascii="Segoe UI" w:hAnsi="Segoe UI"/>
                <w:b/>
                <w:color w:val="FFFFFF"/>
                <w:sz w:val="20"/>
              </w:rPr>
              <w:t>Parameter</w:t>
            </w:r>
          </w:p>
        </w:tc>
        <w:tc>
          <w:tcPr>
            <w:tcW w:type="dxa" w:w="1417"/>
          </w:tcPr>
          <w:p>
            <w:pPr>
              <w:spacing w:before="40" w:after="40"/>
              <w:jc w:val="center"/>
            </w:pPr>
            <w:r/>
            <w:r>
              <w:rPr>
                <w:rFonts w:ascii="Segoe UI" w:hAnsi="Segoe UI"/>
                <w:b/>
                <w:color w:val="FFFFFF"/>
                <w:sz w:val="20"/>
              </w:rPr>
              <w:t>Waarde</w:t>
            </w:r>
          </w:p>
        </w:tc>
        <w:tc>
          <w:tcPr>
            <w:tcW w:type="dxa" w:w="4535"/>
          </w:tcPr>
          <w:p>
            <w:pPr>
              <w:spacing w:before="40" w:after="40"/>
              <w:jc w:val="center"/>
            </w:pPr>
            <w:r/>
            <w:r>
              <w:rPr>
                <w:rFonts w:ascii="Segoe UI" w:hAnsi="Segoe UI"/>
                <w:b/>
                <w:color w:val="FFFFFF"/>
                <w:sz w:val="20"/>
              </w:rPr>
              <w:t>Berekening</w:t>
            </w:r>
          </w:p>
        </w:tc>
      </w:tr>
      <w:tr>
        <w:tc>
          <w:tcPr>
            <w:tcW w:type="dxa" w:w="2268"/>
          </w:tcPr>
          <w:p>
            <w:pPr>
              <w:spacing w:before="40" w:after="40"/>
            </w:pPr>
            <w:r/>
            <w:r>
              <w:rPr>
                <w:rFonts w:ascii="Segoe UI" w:hAnsi="Segoe UI"/>
                <w:sz w:val="20"/>
              </w:rPr>
              <w:t>Maandelijkse vaste lasten</w:t>
            </w:r>
          </w:p>
        </w:tc>
        <w:tc>
          <w:tcPr>
            <w:tcW w:type="dxa" w:w="1417"/>
          </w:tcPr>
          <w:p>
            <w:pPr>
              <w:spacing w:before="40" w:after="40"/>
            </w:pPr>
            <w:r/>
            <w:r>
              <w:rPr>
                <w:rFonts w:ascii="Segoe UI" w:hAnsi="Segoe UI"/>
                <w:sz w:val="20"/>
              </w:rPr>
              <w:t>€1.195</w:t>
            </w:r>
          </w:p>
        </w:tc>
        <w:tc>
          <w:tcPr>
            <w:tcW w:type="dxa" w:w="4535"/>
          </w:tcPr>
          <w:p>
            <w:pPr>
              <w:spacing w:before="40" w:after="40"/>
            </w:pPr>
            <w:r/>
            <w:r>
              <w:rPr>
                <w:rFonts w:ascii="Segoe UI" w:hAnsi="Segoe UI"/>
                <w:sz w:val="20"/>
              </w:rPr>
              <w:t>Excl. variabele kosten</w:t>
            </w:r>
          </w:p>
        </w:tc>
      </w:tr>
      <w:tr>
        <w:tc>
          <w:tcPr>
            <w:tcW w:type="dxa" w:w="2268"/>
          </w:tcPr>
          <w:p>
            <w:pPr>
              <w:spacing w:before="40" w:after="40"/>
            </w:pPr>
            <w:r/>
            <w:r>
              <w:rPr>
                <w:rFonts w:ascii="Segoe UI" w:hAnsi="Segoe UI"/>
                <w:sz w:val="20"/>
              </w:rPr>
              <w:t>Variabele kosten per dag</w:t>
            </w:r>
          </w:p>
        </w:tc>
        <w:tc>
          <w:tcPr>
            <w:tcW w:type="dxa" w:w="1417"/>
          </w:tcPr>
          <w:p>
            <w:pPr>
              <w:spacing w:before="40" w:after="40"/>
            </w:pPr>
            <w:r/>
            <w:r>
              <w:rPr>
                <w:rFonts w:ascii="Segoe UI" w:hAnsi="Segoe UI"/>
                <w:sz w:val="20"/>
              </w:rPr>
              <w:t>€43</w:t>
            </w:r>
          </w:p>
        </w:tc>
        <w:tc>
          <w:tcPr>
            <w:tcW w:type="dxa" w:w="4535"/>
          </w:tcPr>
          <w:p>
            <w:pPr>
              <w:spacing w:before="40" w:after="40"/>
            </w:pPr>
            <w:r/>
            <w:r>
              <w:rPr>
                <w:rFonts w:ascii="Segoe UI" w:hAnsi="Segoe UI"/>
                <w:sz w:val="20"/>
              </w:rPr>
              <w:t>€6.000 ÷ 140 dagen</w:t>
            </w:r>
          </w:p>
        </w:tc>
      </w:tr>
      <w:tr>
        <w:tc>
          <w:tcPr>
            <w:tcW w:type="dxa" w:w="2268"/>
          </w:tcPr>
          <w:p>
            <w:pPr>
              <w:spacing w:before="40" w:after="40"/>
            </w:pPr>
            <w:r/>
            <w:r>
              <w:rPr>
                <w:rFonts w:ascii="Segoe UI" w:hAnsi="Segoe UI"/>
                <w:sz w:val="20"/>
              </w:rPr>
              <w:t>Totale kosten per dag</w:t>
            </w:r>
          </w:p>
        </w:tc>
        <w:tc>
          <w:tcPr>
            <w:tcW w:type="dxa" w:w="1417"/>
          </w:tcPr>
          <w:p>
            <w:pPr>
              <w:spacing w:before="40" w:after="40"/>
            </w:pPr>
            <w:r/>
            <w:r>
              <w:rPr>
                <w:rFonts w:ascii="Segoe UI" w:hAnsi="Segoe UI"/>
                <w:sz w:val="20"/>
              </w:rPr>
              <w:t>€1.238</w:t>
            </w:r>
          </w:p>
        </w:tc>
        <w:tc>
          <w:tcPr>
            <w:tcW w:type="dxa" w:w="4535"/>
          </w:tcPr>
          <w:p>
            <w:pPr>
              <w:spacing w:before="40" w:after="40"/>
            </w:pPr>
            <w:r/>
            <w:r>
              <w:rPr>
                <w:rFonts w:ascii="Segoe UI" w:hAnsi="Segoe UI"/>
                <w:sz w:val="20"/>
              </w:rPr>
              <w:t>Vast + variabel per fact. dag</w:t>
            </w:r>
          </w:p>
        </w:tc>
      </w:tr>
      <w:tr>
        <w:tc>
          <w:tcPr>
            <w:tcW w:type="dxa" w:w="2268"/>
          </w:tcPr>
          <w:p>
            <w:pPr>
              <w:spacing w:before="40" w:after="40"/>
            </w:pPr>
            <w:r/>
            <w:r>
              <w:rPr>
                <w:rFonts w:ascii="Segoe UI" w:hAnsi="Segoe UI"/>
                <w:sz w:val="20"/>
              </w:rPr>
              <w:t>Break-even dagen/maand</w:t>
            </w:r>
          </w:p>
        </w:tc>
        <w:tc>
          <w:tcPr>
            <w:tcW w:type="dxa" w:w="1417"/>
          </w:tcPr>
          <w:p>
            <w:pPr>
              <w:spacing w:before="40" w:after="40"/>
            </w:pPr>
            <w:r/>
            <w:r>
              <w:rPr>
                <w:rFonts w:ascii="Segoe UI" w:hAnsi="Segoe UI"/>
                <w:sz w:val="20"/>
              </w:rPr>
              <w:t>1,5 dagen</w:t>
            </w:r>
          </w:p>
        </w:tc>
        <w:tc>
          <w:tcPr>
            <w:tcW w:type="dxa" w:w="4535"/>
          </w:tcPr>
          <w:p>
            <w:pPr>
              <w:spacing w:before="40" w:after="40"/>
            </w:pPr>
            <w:r/>
            <w:r>
              <w:rPr>
                <w:rFonts w:ascii="Segoe UI" w:hAnsi="Segoe UI"/>
                <w:sz w:val="20"/>
              </w:rPr>
              <w:t>€1.238 ÷ €850 (starttarief)</w:t>
            </w:r>
          </w:p>
        </w:tc>
      </w:tr>
      <w:tr>
        <w:tc>
          <w:tcPr>
            <w:tcW w:type="dxa" w:w="2268"/>
          </w:tcPr>
          <w:p>
            <w:pPr>
              <w:spacing w:before="40" w:after="40"/>
            </w:pPr>
            <w:r/>
            <w:r>
              <w:rPr>
                <w:rFonts w:ascii="Segoe UI" w:hAnsi="Segoe UI"/>
                <w:sz w:val="20"/>
              </w:rPr>
              <w:t>Break-even dagen/jaar</w:t>
            </w:r>
          </w:p>
        </w:tc>
        <w:tc>
          <w:tcPr>
            <w:tcW w:type="dxa" w:w="1417"/>
          </w:tcPr>
          <w:p>
            <w:pPr>
              <w:spacing w:before="40" w:after="40"/>
            </w:pPr>
            <w:r/>
            <w:r>
              <w:rPr>
                <w:rFonts w:ascii="Segoe UI" w:hAnsi="Segoe UI"/>
                <w:sz w:val="20"/>
              </w:rPr>
              <w:t>18 dagen</w:t>
            </w:r>
          </w:p>
        </w:tc>
        <w:tc>
          <w:tcPr>
            <w:tcW w:type="dxa" w:w="4535"/>
          </w:tcPr>
          <w:p>
            <w:pPr>
              <w:spacing w:before="40" w:after="40"/>
            </w:pPr>
            <w:r/>
            <w:r>
              <w:rPr>
                <w:rFonts w:ascii="Segoe UI" w:hAnsi="Segoe UI"/>
                <w:sz w:val="20"/>
              </w:rPr>
              <w:t>€14.340 ÷ €850 × 140 ÷ 12</w:t>
            </w:r>
          </w:p>
        </w:tc>
      </w:tr>
      <w:tr>
        <w:tc>
          <w:tcPr>
            <w:tcW w:type="dxa" w:w="2268"/>
          </w:tcPr>
          <w:p>
            <w:pPr>
              <w:spacing w:before="40" w:after="40"/>
            </w:pPr>
            <w:r/>
            <w:r>
              <w:rPr>
                <w:rFonts w:ascii="Segoe UI" w:hAnsi="Segoe UI"/>
                <w:sz w:val="20"/>
              </w:rPr>
              <w:t>Min. dagtarief bij 10 dgn/maand</w:t>
            </w:r>
          </w:p>
        </w:tc>
        <w:tc>
          <w:tcPr>
            <w:tcW w:type="dxa" w:w="1417"/>
          </w:tcPr>
          <w:p>
            <w:pPr>
              <w:spacing w:before="40" w:after="40"/>
            </w:pPr>
            <w:r/>
            <w:r>
              <w:rPr>
                <w:rFonts w:ascii="Segoe UI" w:hAnsi="Segoe UI"/>
                <w:sz w:val="20"/>
              </w:rPr>
              <w:t>€124</w:t>
            </w:r>
          </w:p>
        </w:tc>
        <w:tc>
          <w:tcPr>
            <w:tcW w:type="dxa" w:w="4535"/>
          </w:tcPr>
          <w:p>
            <w:pPr>
              <w:spacing w:before="40" w:after="40"/>
            </w:pPr>
            <w:r/>
            <w:r>
              <w:rPr>
                <w:rFonts w:ascii="Segoe UI" w:hAnsi="Segoe UI"/>
                <w:sz w:val="20"/>
              </w:rPr>
              <w:t>€1.238 × 10 ÷ 100 (deelse facturatie)</w:t>
            </w:r>
          </w:p>
        </w:tc>
      </w:tr>
      <w:tr>
        <w:tc>
          <w:tcPr>
            <w:tcW w:type="dxa" w:w="2268"/>
          </w:tcPr>
          <w:p>
            <w:pPr>
              <w:spacing w:before="40" w:after="40"/>
            </w:pPr>
            <w:r/>
            <w:r>
              <w:rPr>
                <w:rFonts w:ascii="Segoe UI" w:hAnsi="Segoe UI"/>
                <w:sz w:val="20"/>
              </w:rPr>
              <w:t>Min. dagtarief bij 8 dgn/maand</w:t>
            </w:r>
          </w:p>
        </w:tc>
        <w:tc>
          <w:tcPr>
            <w:tcW w:type="dxa" w:w="1417"/>
          </w:tcPr>
          <w:p>
            <w:pPr>
              <w:spacing w:before="40" w:after="40"/>
            </w:pPr>
            <w:r/>
            <w:r>
              <w:rPr>
                <w:rFonts w:ascii="Segoe UI" w:hAnsi="Segoe UI"/>
                <w:sz w:val="20"/>
              </w:rPr>
              <w:t>€155</w:t>
            </w:r>
          </w:p>
        </w:tc>
        <w:tc>
          <w:tcPr>
            <w:tcW w:type="dxa" w:w="4535"/>
          </w:tcPr>
          <w:p>
            <w:pPr>
              <w:spacing w:before="40" w:after="40"/>
            </w:pPr>
            <w:r/>
            <w:r>
              <w:rPr>
                <w:rFonts w:ascii="Segoe UI" w:hAnsi="Segoe UI"/>
                <w:sz w:val="20"/>
              </w:rPr>
              <w:t>€1.238 × 8 ÷ ...</w:t>
            </w:r>
          </w:p>
        </w:tc>
      </w:tr>
    </w:tbl>
    <w:p>
      <w:pPr>
        <w:spacing w:after="120"/>
      </w:pPr>
      <w:r>
        <w:rPr>
          <w:rFonts w:ascii="Segoe UI" w:hAnsi="Segoe UI"/>
          <w:color w:val="1F2937"/>
          <w:sz w:val="22"/>
        </w:rPr>
        <w:t>Conclusie: break-even is uiterst bereikbaar. Bij een starttarief van €850/dag zijn slechts 1,5 factureerbare dagen per maand nodig om de vaste lasten te dekken. Dit biedt een aanzienlijke veiligheidsmarge. Zelfs bij een bezettingsgraad van 20% (44 dagen/jaar) resteert een nettowinst van ~€26.000.</w:t>
      </w:r>
    </w:p>
    <w:p>
      <w:pPr>
        <w:pStyle w:val="Heading1"/>
      </w:pPr>
      <w:r>
        <w:rPr>
          <w:rFonts w:ascii="Segoe UI" w:hAnsi="Segoe UI"/>
          <w:color w:val="003366"/>
        </w:rPr>
        <w:t>8. Financiële Risico's &amp; Buffers</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tcPr>
          <w:p>
            <w:pPr>
              <w:spacing w:before="40" w:after="40"/>
              <w:jc w:val="center"/>
            </w:pPr>
            <w:r/>
            <w:r>
              <w:rPr>
                <w:rFonts w:ascii="Segoe UI" w:hAnsi="Segoe UI"/>
                <w:b/>
                <w:color w:val="FFFFFF"/>
                <w:sz w:val="20"/>
              </w:rPr>
              <w:t>Risico</w:t>
            </w:r>
          </w:p>
        </w:tc>
        <w:tc>
          <w:tcPr>
            <w:tcW w:type="dxa" w:w="1134"/>
          </w:tcPr>
          <w:p>
            <w:pPr>
              <w:spacing w:before="40" w:after="40"/>
              <w:jc w:val="center"/>
            </w:pPr>
            <w:r/>
            <w:r>
              <w:rPr>
                <w:rFonts w:ascii="Segoe UI" w:hAnsi="Segoe UI"/>
                <w:b/>
                <w:color w:val="FFFFFF"/>
                <w:sz w:val="20"/>
              </w:rPr>
              <w:t>Impact</w:t>
            </w:r>
          </w:p>
        </w:tc>
        <w:tc>
          <w:tcPr>
            <w:tcW w:type="dxa" w:w="1417"/>
          </w:tcPr>
          <w:p>
            <w:pPr>
              <w:spacing w:before="40" w:after="40"/>
              <w:jc w:val="center"/>
            </w:pPr>
            <w:r/>
            <w:r>
              <w:rPr>
                <w:rFonts w:ascii="Segoe UI" w:hAnsi="Segoe UI"/>
                <w:b/>
                <w:color w:val="FFFFFF"/>
                <w:sz w:val="20"/>
              </w:rPr>
              <w:t>Waarschijnlijkheid</w:t>
            </w:r>
          </w:p>
        </w:tc>
        <w:tc>
          <w:tcPr>
            <w:tcW w:type="dxa" w:w="4535"/>
          </w:tcPr>
          <w:p>
            <w:pPr>
              <w:spacing w:before="40" w:after="40"/>
              <w:jc w:val="center"/>
            </w:pPr>
            <w:r/>
            <w:r>
              <w:rPr>
                <w:rFonts w:ascii="Segoe UI" w:hAnsi="Segoe UI"/>
                <w:b/>
                <w:color w:val="FFFFFF"/>
                <w:sz w:val="20"/>
              </w:rPr>
              <w:t>Mitigatie</w:t>
            </w:r>
          </w:p>
        </w:tc>
      </w:tr>
      <w:tr>
        <w:tc>
          <w:tcPr>
            <w:tcW w:type="dxa" w:w="1984"/>
          </w:tcPr>
          <w:p>
            <w:pPr>
              <w:spacing w:before="40" w:after="40"/>
            </w:pPr>
            <w:r/>
            <w:r>
              <w:rPr>
                <w:rFonts w:ascii="Segoe UI" w:hAnsi="Segoe UI"/>
                <w:sz w:val="20"/>
              </w:rPr>
              <w:t>Seizoensfluctuaties</w:t>
            </w:r>
          </w:p>
        </w:tc>
        <w:tc>
          <w:tcPr>
            <w:tcW w:type="dxa" w:w="1134"/>
          </w:tcPr>
          <w:p>
            <w:pPr>
              <w:spacing w:before="40" w:after="40"/>
            </w:pPr>
            <w:r/>
            <w:r>
              <w:rPr>
                <w:rFonts w:ascii="Segoe UI" w:hAnsi="Segoe UI"/>
                <w:sz w:val="20"/>
              </w:rPr>
              <w:t>Middel</w:t>
            </w:r>
          </w:p>
        </w:tc>
        <w:tc>
          <w:tcPr>
            <w:tcW w:type="dxa" w:w="1417"/>
          </w:tcPr>
          <w:p>
            <w:pPr>
              <w:spacing w:before="40" w:after="40"/>
            </w:pPr>
            <w:r/>
            <w:r>
              <w:rPr>
                <w:rFonts w:ascii="Segoe UI" w:hAnsi="Segoe UI"/>
                <w:sz w:val="20"/>
              </w:rPr>
              <w:t>Middel</w:t>
            </w:r>
          </w:p>
        </w:tc>
        <w:tc>
          <w:tcPr>
            <w:tcW w:type="dxa" w:w="4535"/>
          </w:tcPr>
          <w:p>
            <w:pPr>
              <w:spacing w:before="40" w:after="40"/>
            </w:pPr>
            <w:r/>
            <w:r>
              <w:rPr>
                <w:rFonts w:ascii="Segoe UI" w:hAnsi="Segoe UI"/>
                <w:sz w:val="20"/>
              </w:rPr>
              <w:t>Buffer: €20K; Q2/Q3 marketing push</w:t>
            </w:r>
          </w:p>
        </w:tc>
      </w:tr>
      <w:tr>
        <w:tc>
          <w:tcPr>
            <w:tcW w:type="dxa" w:w="1984"/>
          </w:tcPr>
          <w:p>
            <w:pPr>
              <w:spacing w:before="40" w:after="40"/>
            </w:pPr>
            <w:r/>
            <w:r>
              <w:rPr>
                <w:rFonts w:ascii="Segoe UI" w:hAnsi="Segoe UI"/>
                <w:sz w:val="20"/>
              </w:rPr>
              <w:t>Klantconcentratie</w:t>
            </w:r>
          </w:p>
        </w:tc>
        <w:tc>
          <w:tcPr>
            <w:tcW w:type="dxa" w:w="1134"/>
          </w:tcPr>
          <w:p>
            <w:pPr>
              <w:spacing w:before="40" w:after="40"/>
            </w:pPr>
            <w:r/>
            <w:r>
              <w:rPr>
                <w:rFonts w:ascii="Segoe UI" w:hAnsi="Segoe UI"/>
                <w:sz w:val="20"/>
              </w:rPr>
              <w:t>Hoog</w:t>
            </w:r>
          </w:p>
        </w:tc>
        <w:tc>
          <w:tcPr>
            <w:tcW w:type="dxa" w:w="1417"/>
          </w:tcPr>
          <w:p>
            <w:pPr>
              <w:spacing w:before="40" w:after="40"/>
            </w:pPr>
            <w:r/>
            <w:r>
              <w:rPr>
                <w:rFonts w:ascii="Segoe UI" w:hAnsi="Segoe UI"/>
                <w:sz w:val="20"/>
              </w:rPr>
              <w:t>Middel</w:t>
            </w:r>
          </w:p>
        </w:tc>
        <w:tc>
          <w:tcPr>
            <w:tcW w:type="dxa" w:w="4535"/>
          </w:tcPr>
          <w:p>
            <w:pPr>
              <w:spacing w:before="40" w:after="40"/>
            </w:pPr>
            <w:r/>
            <w:r>
              <w:rPr>
                <w:rFonts w:ascii="Segoe UI" w:hAnsi="Segoe UI"/>
                <w:sz w:val="20"/>
              </w:rPr>
              <w:t>Max 40% omzet per klant; actief pipelining</w:t>
            </w:r>
          </w:p>
        </w:tc>
      </w:tr>
      <w:tr>
        <w:tc>
          <w:tcPr>
            <w:tcW w:type="dxa" w:w="1984"/>
          </w:tcPr>
          <w:p>
            <w:pPr>
              <w:spacing w:before="40" w:after="40"/>
            </w:pPr>
            <w:r/>
            <w:r>
              <w:rPr>
                <w:rFonts w:ascii="Segoe UI" w:hAnsi="Segoe UI"/>
                <w:sz w:val="20"/>
              </w:rPr>
              <w:t>Ziekte-uitval</w:t>
            </w:r>
          </w:p>
        </w:tc>
        <w:tc>
          <w:tcPr>
            <w:tcW w:type="dxa" w:w="1134"/>
          </w:tcPr>
          <w:p>
            <w:pPr>
              <w:spacing w:before="40" w:after="40"/>
            </w:pPr>
            <w:r/>
            <w:r>
              <w:rPr>
                <w:rFonts w:ascii="Segoe UI" w:hAnsi="Segoe UI"/>
                <w:sz w:val="20"/>
              </w:rPr>
              <w:t>Hoog</w:t>
            </w:r>
          </w:p>
        </w:tc>
        <w:tc>
          <w:tcPr>
            <w:tcW w:type="dxa" w:w="1417"/>
          </w:tcPr>
          <w:p>
            <w:pPr>
              <w:spacing w:before="40" w:after="40"/>
            </w:pPr>
            <w:r/>
            <w:r>
              <w:rPr>
                <w:rFonts w:ascii="Segoe UI" w:hAnsi="Segoe UI"/>
                <w:sz w:val="20"/>
              </w:rPr>
              <w:t>Laag</w:t>
            </w:r>
          </w:p>
        </w:tc>
        <w:tc>
          <w:tcPr>
            <w:tcW w:type="dxa" w:w="4535"/>
          </w:tcPr>
          <w:p>
            <w:pPr>
              <w:spacing w:before="40" w:after="40"/>
            </w:pPr>
            <w:r/>
            <w:r>
              <w:rPr>
                <w:rFonts w:ascii="Segoe UI" w:hAnsi="Segoe UI"/>
                <w:sz w:val="20"/>
              </w:rPr>
              <w:t>AOV-verzekering (€200/mnd); buffer 3 mnd</w:t>
            </w:r>
          </w:p>
        </w:tc>
      </w:tr>
      <w:tr>
        <w:tc>
          <w:tcPr>
            <w:tcW w:type="dxa" w:w="1984"/>
          </w:tcPr>
          <w:p>
            <w:pPr>
              <w:spacing w:before="40" w:after="40"/>
            </w:pPr>
            <w:r/>
            <w:r>
              <w:rPr>
                <w:rFonts w:ascii="Segoe UI" w:hAnsi="Segoe UI"/>
                <w:sz w:val="20"/>
              </w:rPr>
              <w:t>Late betalingen</w:t>
            </w:r>
          </w:p>
        </w:tc>
        <w:tc>
          <w:tcPr>
            <w:tcW w:type="dxa" w:w="1134"/>
          </w:tcPr>
          <w:p>
            <w:pPr>
              <w:spacing w:before="40" w:after="40"/>
            </w:pPr>
            <w:r/>
            <w:r>
              <w:rPr>
                <w:rFonts w:ascii="Segoe UI" w:hAnsi="Segoe UI"/>
                <w:sz w:val="20"/>
              </w:rPr>
              <w:t>Middel</w:t>
            </w:r>
          </w:p>
        </w:tc>
        <w:tc>
          <w:tcPr>
            <w:tcW w:type="dxa" w:w="1417"/>
          </w:tcPr>
          <w:p>
            <w:pPr>
              <w:spacing w:before="40" w:after="40"/>
            </w:pPr>
            <w:r/>
            <w:r>
              <w:rPr>
                <w:rFonts w:ascii="Segoe UI" w:hAnsi="Segoe UI"/>
                <w:sz w:val="20"/>
              </w:rPr>
              <w:t>Middel</w:t>
            </w:r>
          </w:p>
        </w:tc>
        <w:tc>
          <w:tcPr>
            <w:tcW w:type="dxa" w:w="4535"/>
          </w:tcPr>
          <w:p>
            <w:pPr>
              <w:spacing w:before="40" w:after="40"/>
            </w:pPr>
            <w:r/>
            <w:r>
              <w:rPr>
                <w:rFonts w:ascii="Segoe UI" w:hAnsi="Segoe UI"/>
                <w:sz w:val="20"/>
              </w:rPr>
              <w:t>Betalingstermijn 14 dagen; follow-up protocol</w:t>
            </w:r>
          </w:p>
        </w:tc>
      </w:tr>
      <w:tr>
        <w:tc>
          <w:tcPr>
            <w:tcW w:type="dxa" w:w="1984"/>
          </w:tcPr>
          <w:p>
            <w:pPr>
              <w:spacing w:before="40" w:after="40"/>
            </w:pPr>
            <w:r/>
            <w:r>
              <w:rPr>
                <w:rFonts w:ascii="Segoe UI" w:hAnsi="Segoe UI"/>
                <w:sz w:val="20"/>
              </w:rPr>
              <w:t>Tariefdruk (concurrentie)</w:t>
            </w:r>
          </w:p>
        </w:tc>
        <w:tc>
          <w:tcPr>
            <w:tcW w:type="dxa" w:w="1134"/>
          </w:tcPr>
          <w:p>
            <w:pPr>
              <w:spacing w:before="40" w:after="40"/>
            </w:pPr>
            <w:r/>
            <w:r>
              <w:rPr>
                <w:rFonts w:ascii="Segoe UI" w:hAnsi="Segoe UI"/>
                <w:sz w:val="20"/>
              </w:rPr>
              <w:t>Middel</w:t>
            </w:r>
          </w:p>
        </w:tc>
        <w:tc>
          <w:tcPr>
            <w:tcW w:type="dxa" w:w="1417"/>
          </w:tcPr>
          <w:p>
            <w:pPr>
              <w:spacing w:before="40" w:after="40"/>
            </w:pPr>
            <w:r/>
            <w:r>
              <w:rPr>
                <w:rFonts w:ascii="Segoe UI" w:hAnsi="Segoe UI"/>
                <w:sz w:val="20"/>
              </w:rPr>
              <w:t>Laag</w:t>
            </w:r>
          </w:p>
        </w:tc>
        <w:tc>
          <w:tcPr>
            <w:tcW w:type="dxa" w:w="4535"/>
          </w:tcPr>
          <w:p>
            <w:pPr>
              <w:spacing w:before="40" w:after="40"/>
            </w:pPr>
            <w:r/>
            <w:r>
              <w:rPr>
                <w:rFonts w:ascii="Segoe UI" w:hAnsi="Segoe UI"/>
                <w:sz w:val="20"/>
              </w:rPr>
              <w:t>Niche positionering; kwaliteit &gt; prijs</w:t>
            </w:r>
          </w:p>
        </w:tc>
      </w:tr>
      <w:tr>
        <w:tc>
          <w:tcPr>
            <w:tcW w:type="dxa" w:w="1984"/>
          </w:tcPr>
          <w:p>
            <w:pPr>
              <w:spacing w:before="40" w:after="40"/>
            </w:pPr>
            <w:r/>
            <w:r>
              <w:rPr>
                <w:rFonts w:ascii="Segoe UI" w:hAnsi="Segoe UI"/>
                <w:sz w:val="20"/>
              </w:rPr>
              <w:t>Wetgeving/Fiscale wijzigingen</w:t>
            </w:r>
          </w:p>
        </w:tc>
        <w:tc>
          <w:tcPr>
            <w:tcW w:type="dxa" w:w="1134"/>
          </w:tcPr>
          <w:p>
            <w:pPr>
              <w:spacing w:before="40" w:after="40"/>
            </w:pPr>
            <w:r/>
            <w:r>
              <w:rPr>
                <w:rFonts w:ascii="Segoe UI" w:hAnsi="Segoe UI"/>
                <w:sz w:val="20"/>
              </w:rPr>
              <w:t>Middel</w:t>
            </w:r>
          </w:p>
        </w:tc>
        <w:tc>
          <w:tcPr>
            <w:tcW w:type="dxa" w:w="1417"/>
          </w:tcPr>
          <w:p>
            <w:pPr>
              <w:spacing w:before="40" w:after="40"/>
            </w:pPr>
            <w:r/>
            <w:r>
              <w:rPr>
                <w:rFonts w:ascii="Segoe UI" w:hAnsi="Segoe UI"/>
                <w:sz w:val="20"/>
              </w:rPr>
              <w:t>Laag</w:t>
            </w:r>
          </w:p>
        </w:tc>
        <w:tc>
          <w:tcPr>
            <w:tcW w:type="dxa" w:w="4535"/>
          </w:tcPr>
          <w:p>
            <w:pPr>
              <w:spacing w:before="40" w:after="40"/>
            </w:pPr>
            <w:r/>
            <w:r>
              <w:rPr>
                <w:rFonts w:ascii="Segoe UI" w:hAnsi="Segoe UI"/>
                <w:sz w:val="20"/>
              </w:rPr>
              <w:t>Accountant raadplegen; buffer in prognose</w:t>
            </w:r>
          </w:p>
        </w:tc>
      </w:tr>
      <w:tr>
        <w:tc>
          <w:tcPr>
            <w:tcW w:type="dxa" w:w="1984"/>
          </w:tcPr>
          <w:p>
            <w:pPr>
              <w:spacing w:before="40" w:after="40"/>
            </w:pPr>
            <w:r/>
            <w:r>
              <w:rPr>
                <w:rFonts w:ascii="Segoe UI" w:hAnsi="Segoe UI"/>
                <w:sz w:val="20"/>
              </w:rPr>
              <w:t>Pensioenopbouw</w:t>
            </w:r>
          </w:p>
        </w:tc>
        <w:tc>
          <w:tcPr>
            <w:tcW w:type="dxa" w:w="1134"/>
          </w:tcPr>
          <w:p>
            <w:pPr>
              <w:spacing w:before="40" w:after="40"/>
            </w:pPr>
            <w:r/>
            <w:r>
              <w:rPr>
                <w:rFonts w:ascii="Segoe UI" w:hAnsi="Segoe UI"/>
                <w:sz w:val="20"/>
              </w:rPr>
              <w:t>Lang. termijn</w:t>
            </w:r>
          </w:p>
        </w:tc>
        <w:tc>
          <w:tcPr>
            <w:tcW w:type="dxa" w:w="1417"/>
          </w:tcPr>
          <w:p>
            <w:pPr>
              <w:spacing w:before="40" w:after="40"/>
            </w:pPr>
            <w:r/>
            <w:r>
              <w:rPr>
                <w:rFonts w:ascii="Segoe UI" w:hAnsi="Segoe UI"/>
                <w:sz w:val="20"/>
              </w:rPr>
              <w:t>Zeker</w:t>
            </w:r>
          </w:p>
        </w:tc>
        <w:tc>
          <w:tcPr>
            <w:tcW w:type="dxa" w:w="4535"/>
          </w:tcPr>
          <w:p>
            <w:pPr>
              <w:spacing w:before="40" w:after="40"/>
            </w:pPr>
            <w:r/>
            <w:r>
              <w:rPr>
                <w:rFonts w:ascii="Segoe UI" w:hAnsi="Segoe UI"/>
                <w:sz w:val="20"/>
              </w:rPr>
              <w:t>Lijfrenterekening: €500/mnd vanaf jaar 2</w:t>
            </w:r>
          </w:p>
        </w:tc>
      </w:tr>
    </w:tbl>
    <w:p>
      <w:pPr>
        <w:pStyle w:val="Heading2"/>
      </w:pPr>
      <w:r>
        <w:rPr>
          <w:rFonts w:ascii="Segoe UI" w:hAnsi="Segoe UI"/>
          <w:color w:val="003366"/>
        </w:rPr>
        <w:t>8.1 Aanbevolen Kasbuffer</w:t>
      </w:r>
    </w:p>
    <w:p>
      <w:pPr>
        <w:spacing w:after="120"/>
      </w:pPr>
      <w:r>
        <w:rPr>
          <w:rFonts w:ascii="Segoe UI" w:hAnsi="Segoe UI"/>
          <w:color w:val="1F2937"/>
          <w:sz w:val="22"/>
        </w:rPr>
        <w:t>Minimaal 3 maanden vaste lasten: €3.585. Advies: 6 maanden vast + variabel = €10.500. Inclusief startup: €20.000–€25.000 startkapitaal.</w:t>
      </w:r>
    </w:p>
    <w:p>
      <w:pPr>
        <w:pStyle w:val="Heading2"/>
      </w:pPr>
      <w:r>
        <w:rPr>
          <w:rFonts w:ascii="Segoe UI" w:hAnsi="Segoe UI"/>
          <w:color w:val="003366"/>
        </w:rPr>
        <w:t>8.2 Pensioenopbouw</w:t>
      </w:r>
    </w:p>
    <w:p>
      <w:pPr>
        <w:spacing w:after="120"/>
      </w:pPr>
      <w:r>
        <w:rPr>
          <w:rFonts w:ascii="Segoe UI" w:hAnsi="Segoe UI"/>
          <w:color w:val="1F2937"/>
          <w:sz w:val="22"/>
        </w:rPr>
        <w:t>Als ZZP'er bouw je geen werkgeverspensioen op. Aanbevolen: netto €300–€500/maand storten in een lijfrenterekening (fiscaal aftrekbaar via jaarruimte). Vanaf jaar 2: structureel inrichten. Jaarruimte 2027 (indicatief): tot €13.665 fiscaal aftrekbaar (afhankelijk van inkomen).</w:t>
      </w:r>
    </w:p>
    <w:p>
      <w:pPr>
        <w:pStyle w:val="Heading1"/>
      </w:pPr>
      <w:r>
        <w:rPr>
          <w:rFonts w:ascii="Segoe UI" w:hAnsi="Segoe UI"/>
          <w:color w:val="003366"/>
        </w:rPr>
        <w:t>9. Financiële Roadmap</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417"/>
          </w:tcPr>
          <w:p>
            <w:pPr>
              <w:spacing w:before="40" w:after="40"/>
              <w:jc w:val="center"/>
            </w:pPr>
            <w:r/>
            <w:r>
              <w:rPr>
                <w:rFonts w:ascii="Segoe UI" w:hAnsi="Segoe UI"/>
                <w:b/>
                <w:color w:val="FFFFFF"/>
                <w:sz w:val="20"/>
              </w:rPr>
              <w:t>Periode</w:t>
            </w:r>
          </w:p>
        </w:tc>
        <w:tc>
          <w:tcPr>
            <w:tcW w:type="dxa" w:w="1701"/>
          </w:tcPr>
          <w:p>
            <w:pPr>
              <w:spacing w:before="40" w:after="40"/>
              <w:jc w:val="center"/>
            </w:pPr>
            <w:r/>
            <w:r>
              <w:rPr>
                <w:rFonts w:ascii="Segoe UI" w:hAnsi="Segoe UI"/>
                <w:b/>
                <w:color w:val="FFFFFF"/>
                <w:sz w:val="20"/>
              </w:rPr>
              <w:t>Mijlpaal</w:t>
            </w:r>
          </w:p>
        </w:tc>
        <w:tc>
          <w:tcPr>
            <w:tcW w:type="dxa" w:w="3402"/>
          </w:tcPr>
          <w:p>
            <w:pPr>
              <w:spacing w:before="40" w:after="40"/>
              <w:jc w:val="center"/>
            </w:pPr>
            <w:r/>
            <w:r>
              <w:rPr>
                <w:rFonts w:ascii="Segoe UI" w:hAnsi="Segoe UI"/>
                <w:b/>
                <w:color w:val="FFFFFF"/>
                <w:sz w:val="20"/>
              </w:rPr>
              <w:t>Acties</w:t>
            </w:r>
          </w:p>
        </w:tc>
        <w:tc>
          <w:tcPr>
            <w:tcW w:type="dxa" w:w="1984"/>
          </w:tcPr>
          <w:p>
            <w:pPr>
              <w:spacing w:before="40" w:after="40"/>
              <w:jc w:val="center"/>
            </w:pPr>
            <w:r/>
            <w:r>
              <w:rPr>
                <w:rFonts w:ascii="Segoe UI" w:hAnsi="Segoe UI"/>
                <w:b/>
                <w:color w:val="FFFFFF"/>
                <w:sz w:val="20"/>
              </w:rPr>
              <w:t>Budget</w:t>
            </w:r>
          </w:p>
        </w:tc>
      </w:tr>
      <w:tr>
        <w:tc>
          <w:tcPr>
            <w:tcW w:type="dxa" w:w="1417"/>
          </w:tcPr>
          <w:p>
            <w:pPr>
              <w:spacing w:before="40" w:after="40"/>
            </w:pPr>
            <w:r/>
            <w:r>
              <w:rPr>
                <w:rFonts w:ascii="Segoe UI" w:hAnsi="Segoe UI"/>
                <w:sz w:val="20"/>
              </w:rPr>
              <w:t>Start (mnd 0)</w:t>
            </w:r>
          </w:p>
        </w:tc>
        <w:tc>
          <w:tcPr>
            <w:tcW w:type="dxa" w:w="1701"/>
          </w:tcPr>
          <w:p>
            <w:pPr>
              <w:spacing w:before="40" w:after="40"/>
            </w:pPr>
            <w:r/>
            <w:r>
              <w:rPr>
                <w:rFonts w:ascii="Segoe UI" w:hAnsi="Segoe UI"/>
                <w:sz w:val="20"/>
              </w:rPr>
              <w:t>Inschrijving &amp; setup</w:t>
            </w:r>
          </w:p>
        </w:tc>
        <w:tc>
          <w:tcPr>
            <w:tcW w:type="dxa" w:w="3402"/>
          </w:tcPr>
          <w:p>
            <w:pPr>
              <w:spacing w:before="40" w:after="40"/>
            </w:pPr>
            <w:r/>
            <w:r>
              <w:rPr>
                <w:rFonts w:ascii="Segoe UI" w:hAnsi="Segoe UI"/>
                <w:sz w:val="20"/>
              </w:rPr>
              <w:t>KvK, bankrekening, verzekeringen, website</w:t>
            </w:r>
          </w:p>
        </w:tc>
        <w:tc>
          <w:tcPr>
            <w:tcW w:type="dxa" w:w="1984"/>
          </w:tcPr>
          <w:p>
            <w:pPr>
              <w:spacing w:before="40" w:after="40"/>
            </w:pPr>
            <w:r/>
            <w:r>
              <w:rPr>
                <w:rFonts w:ascii="Segoe UI" w:hAnsi="Segoe UI"/>
                <w:sz w:val="20"/>
              </w:rPr>
              <w:t>€11.325</w:t>
            </w:r>
          </w:p>
        </w:tc>
      </w:tr>
      <w:tr>
        <w:tc>
          <w:tcPr>
            <w:tcW w:type="dxa" w:w="1417"/>
          </w:tcPr>
          <w:p>
            <w:pPr>
              <w:spacing w:before="40" w:after="40"/>
            </w:pPr>
            <w:r/>
            <w:r>
              <w:rPr>
                <w:rFonts w:ascii="Segoe UI" w:hAnsi="Segoe UI"/>
                <w:sz w:val="20"/>
              </w:rPr>
              <w:t>Maand 1–3</w:t>
            </w:r>
          </w:p>
        </w:tc>
        <w:tc>
          <w:tcPr>
            <w:tcW w:type="dxa" w:w="1701"/>
          </w:tcPr>
          <w:p>
            <w:pPr>
              <w:spacing w:before="40" w:after="40"/>
            </w:pPr>
            <w:r/>
            <w:r>
              <w:rPr>
                <w:rFonts w:ascii="Segoe UI" w:hAnsi="Segoe UI"/>
                <w:sz w:val="20"/>
              </w:rPr>
              <w:t>Investeringsfase</w:t>
            </w:r>
          </w:p>
        </w:tc>
        <w:tc>
          <w:tcPr>
            <w:tcW w:type="dxa" w:w="3402"/>
          </w:tcPr>
          <w:p>
            <w:pPr>
              <w:spacing w:before="40" w:after="40"/>
            </w:pPr>
            <w:r/>
            <w:r>
              <w:rPr>
                <w:rFonts w:ascii="Segoe UI" w:hAnsi="Segoe UI"/>
                <w:sz w:val="20"/>
              </w:rPr>
              <w:t>Netwerken, eerste leads, certificeringen afronden</w:t>
            </w:r>
          </w:p>
        </w:tc>
        <w:tc>
          <w:tcPr>
            <w:tcW w:type="dxa" w:w="1984"/>
          </w:tcPr>
          <w:p>
            <w:pPr>
              <w:spacing w:before="40" w:after="40"/>
            </w:pPr>
            <w:r/>
            <w:r>
              <w:rPr>
                <w:rFonts w:ascii="Segoe UI" w:hAnsi="Segoe UI"/>
                <w:sz w:val="20"/>
              </w:rPr>
              <w:t>€5.000 (operationeel)</w:t>
            </w:r>
          </w:p>
        </w:tc>
      </w:tr>
      <w:tr>
        <w:tc>
          <w:tcPr>
            <w:tcW w:type="dxa" w:w="1417"/>
          </w:tcPr>
          <w:p>
            <w:pPr>
              <w:spacing w:before="40" w:after="40"/>
            </w:pPr>
            <w:r/>
            <w:r>
              <w:rPr>
                <w:rFonts w:ascii="Segoe UI" w:hAnsi="Segoe UI"/>
                <w:sz w:val="20"/>
              </w:rPr>
              <w:t>Maand 4–6</w:t>
            </w:r>
          </w:p>
        </w:tc>
        <w:tc>
          <w:tcPr>
            <w:tcW w:type="dxa" w:w="1701"/>
          </w:tcPr>
          <w:p>
            <w:pPr>
              <w:spacing w:before="40" w:after="40"/>
            </w:pPr>
            <w:r/>
            <w:r>
              <w:rPr>
                <w:rFonts w:ascii="Segoe UI" w:hAnsi="Segoe UI"/>
                <w:sz w:val="20"/>
              </w:rPr>
              <w:t>Eerste omzet</w:t>
            </w:r>
          </w:p>
        </w:tc>
        <w:tc>
          <w:tcPr>
            <w:tcW w:type="dxa" w:w="3402"/>
          </w:tcPr>
          <w:p>
            <w:pPr>
              <w:spacing w:before="40" w:after="40"/>
            </w:pPr>
            <w:r/>
            <w:r>
              <w:rPr>
                <w:rFonts w:ascii="Segoe UI" w:hAnsi="Segoe UI"/>
                <w:sz w:val="20"/>
              </w:rPr>
              <w:t>1–2 interim-contracten, eerste facturen</w:t>
            </w:r>
          </w:p>
        </w:tc>
        <w:tc>
          <w:tcPr>
            <w:tcW w:type="dxa" w:w="1984"/>
          </w:tcPr>
          <w:p>
            <w:pPr>
              <w:spacing w:before="40" w:after="40"/>
            </w:pPr>
            <w:r/>
            <w:r>
              <w:rPr>
                <w:rFonts w:ascii="Segoe UI" w:hAnsi="Segoe UI"/>
                <w:sz w:val="20"/>
              </w:rPr>
              <w:t>Break-even Q2</w:t>
            </w:r>
          </w:p>
        </w:tc>
      </w:tr>
      <w:tr>
        <w:tc>
          <w:tcPr>
            <w:tcW w:type="dxa" w:w="1417"/>
          </w:tcPr>
          <w:p>
            <w:pPr>
              <w:spacing w:before="40" w:after="40"/>
            </w:pPr>
            <w:r/>
            <w:r>
              <w:rPr>
                <w:rFonts w:ascii="Segoe UI" w:hAnsi="Segoe UI"/>
                <w:sz w:val="20"/>
              </w:rPr>
              <w:t>Maand 7–12</w:t>
            </w:r>
          </w:p>
        </w:tc>
        <w:tc>
          <w:tcPr>
            <w:tcW w:type="dxa" w:w="1701"/>
          </w:tcPr>
          <w:p>
            <w:pPr>
              <w:spacing w:before="40" w:after="40"/>
            </w:pPr>
            <w:r/>
            <w:r>
              <w:rPr>
                <w:rFonts w:ascii="Segoe UI" w:hAnsi="Segoe UI"/>
                <w:sz w:val="20"/>
              </w:rPr>
              <w:t>Break-even</w:t>
            </w:r>
          </w:p>
        </w:tc>
        <w:tc>
          <w:tcPr>
            <w:tcW w:type="dxa" w:w="3402"/>
          </w:tcPr>
          <w:p>
            <w:pPr>
              <w:spacing w:before="40" w:after="40"/>
            </w:pPr>
            <w:r/>
            <w:r>
              <w:rPr>
                <w:rFonts w:ascii="Segoe UI" w:hAnsi="Segoe UI"/>
                <w:sz w:val="20"/>
              </w:rPr>
              <w:t>Stabiele facturatie, 120–150 dagen/jaar</w:t>
            </w:r>
          </w:p>
        </w:tc>
        <w:tc>
          <w:tcPr>
            <w:tcW w:type="dxa" w:w="1984"/>
          </w:tcPr>
          <w:p>
            <w:pPr>
              <w:spacing w:before="40" w:after="40"/>
            </w:pPr>
            <w:r/>
            <w:r>
              <w:rPr>
                <w:rFonts w:ascii="Segoe UI" w:hAnsi="Segoe UI"/>
                <w:sz w:val="20"/>
              </w:rPr>
              <w:t>Cashflow positief</w:t>
            </w:r>
          </w:p>
        </w:tc>
      </w:tr>
      <w:tr>
        <w:tc>
          <w:tcPr>
            <w:tcW w:type="dxa" w:w="1417"/>
          </w:tcPr>
          <w:p>
            <w:pPr>
              <w:spacing w:before="40" w:after="40"/>
            </w:pPr>
            <w:r/>
            <w:r>
              <w:rPr>
                <w:rFonts w:ascii="Segoe UI" w:hAnsi="Segoe UI"/>
                <w:sz w:val="20"/>
              </w:rPr>
              <w:t>Jaar 2</w:t>
            </w:r>
          </w:p>
        </w:tc>
        <w:tc>
          <w:tcPr>
            <w:tcW w:type="dxa" w:w="1701"/>
          </w:tcPr>
          <w:p>
            <w:pPr>
              <w:spacing w:before="40" w:after="40"/>
            </w:pPr>
            <w:r/>
            <w:r>
              <w:rPr>
                <w:rFonts w:ascii="Segoe UI" w:hAnsi="Segoe UI"/>
                <w:sz w:val="20"/>
              </w:rPr>
              <w:t>Groei &amp; consolidatie</w:t>
            </w:r>
          </w:p>
        </w:tc>
        <w:tc>
          <w:tcPr>
            <w:tcW w:type="dxa" w:w="3402"/>
          </w:tcPr>
          <w:p>
            <w:pPr>
              <w:spacing w:before="40" w:after="40"/>
            </w:pPr>
            <w:r/>
            <w:r>
              <w:rPr>
                <w:rFonts w:ascii="Segoe UI" w:hAnsi="Segoe UI"/>
                <w:sz w:val="20"/>
              </w:rPr>
              <w:t>Tariefverhoging, 170+ dagen, referentieportfolio</w:t>
            </w:r>
          </w:p>
        </w:tc>
        <w:tc>
          <w:tcPr>
            <w:tcW w:type="dxa" w:w="1984"/>
          </w:tcPr>
          <w:p>
            <w:pPr>
              <w:spacing w:before="40" w:after="40"/>
            </w:pPr>
            <w:r/>
            <w:r>
              <w:rPr>
                <w:rFonts w:ascii="Segoe UI" w:hAnsi="Segoe UI"/>
                <w:sz w:val="20"/>
              </w:rPr>
              <w:t>€170K omzet</w:t>
            </w:r>
          </w:p>
        </w:tc>
      </w:tr>
      <w:tr>
        <w:tc>
          <w:tcPr>
            <w:tcW w:type="dxa" w:w="1417"/>
          </w:tcPr>
          <w:p>
            <w:pPr>
              <w:spacing w:before="40" w:after="40"/>
            </w:pPr>
            <w:r/>
            <w:r>
              <w:rPr>
                <w:rFonts w:ascii="Segoe UI" w:hAnsi="Segoe UI"/>
                <w:sz w:val="20"/>
              </w:rPr>
              <w:t>Jaar 3</w:t>
            </w:r>
          </w:p>
        </w:tc>
        <w:tc>
          <w:tcPr>
            <w:tcW w:type="dxa" w:w="1701"/>
          </w:tcPr>
          <w:p>
            <w:pPr>
              <w:spacing w:before="40" w:after="40"/>
            </w:pPr>
            <w:r/>
            <w:r>
              <w:rPr>
                <w:rFonts w:ascii="Segoe UI" w:hAnsi="Segoe UI"/>
                <w:sz w:val="20"/>
              </w:rPr>
              <w:t>BV-conversie + schalen</w:t>
            </w:r>
          </w:p>
        </w:tc>
        <w:tc>
          <w:tcPr>
            <w:tcW w:type="dxa" w:w="3402"/>
          </w:tcPr>
          <w:p>
            <w:pPr>
              <w:spacing w:before="40" w:after="40"/>
            </w:pPr>
            <w:r/>
            <w:r>
              <w:rPr>
                <w:rFonts w:ascii="Segoe UI" w:hAnsi="Segoe UI"/>
                <w:sz w:val="20"/>
              </w:rPr>
              <w:t>BV oprichten bij winst &gt;€100K, DGA-salaris</w:t>
            </w:r>
          </w:p>
        </w:tc>
        <w:tc>
          <w:tcPr>
            <w:tcW w:type="dxa" w:w="1984"/>
          </w:tcPr>
          <w:p>
            <w:pPr>
              <w:spacing w:before="40" w:after="40"/>
            </w:pPr>
            <w:r/>
            <w:r>
              <w:rPr>
                <w:rFonts w:ascii="Segoe UI" w:hAnsi="Segoe UI"/>
                <w:sz w:val="20"/>
              </w:rPr>
              <w:t>€220K omzet</w:t>
            </w:r>
          </w:p>
        </w:tc>
      </w:tr>
    </w:tbl>
    <w:p>
      <w:pPr>
        <w:spacing w:after="120"/>
      </w:pPr>
      <w:r>
        <w:rPr>
          <w:rFonts w:ascii="Segoe UI" w:hAnsi="Segoe UI"/>
          <w:color w:val="1F2937"/>
          <w:sz w:val="22"/>
        </w:rPr>
        <w:t>BV-conversie advies: converteer naar BV wanneer de fiscale besparing (Box 1 vs Box 2 tarief) de extra administratieve lasten (€2.000–€5.000/jaar) overstijgt. Indicatief break-even punt BV-conversie: winst &gt;€80.000–€100.000. DGA-salaris: minimaal €56.000/jaar (wettelijk vereist vanaf 2024).</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FFFFFF"/>
        <w:sz w:val="16"/>
      </w:rPr>
      <w:t>JvG Consultancy | Safety • Governance • Advisory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