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right"/>
      </w:pPr>
      <w:r>
        <w:drawing>
          <wp:inline xmlns:a="http://schemas.openxmlformats.org/drawingml/2006/main" xmlns:pic="http://schemas.openxmlformats.org/drawingml/2006/picture">
            <wp:extent cx="1440000" cy="12924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2400"/>
                    </a:xfrm>
                    <a:prstGeom prst="rect"/>
                  </pic:spPr>
                </pic:pic>
              </a:graphicData>
            </a:graphic>
          </wp:inline>
        </w:drawing>
      </w:r>
    </w:p>
    <w:p>
      <w:pPr>
        <w:jc w:val="center"/>
      </w:pPr>
      <w:r>
        <w:rPr>
          <w:b/>
          <w:color w:val="003366"/>
          <w:sz w:val="64"/>
        </w:rPr>
        <w:t>JvG CONSULTANCY</w:t>
      </w:r>
    </w:p>
    <w:p>
      <w:pPr>
        <w:jc w:val="center"/>
      </w:pPr>
      <w:r>
        <w:rPr>
          <w:color w:val="006699"/>
          <w:sz w:val="40"/>
        </w:rPr>
        <w:t>HSEQ Businessplan 2027-2029</w:t>
      </w:r>
    </w:p>
    <w:p>
      <w:pPr>
        <w:jc w:val="center"/>
      </w:pPr>
      <w:r>
        <w:rPr>
          <w:color w:val="666666"/>
          <w:sz w:val="26"/>
        </w:rPr>
        <w:t>Master Businessplan — Strategie, Markt, Financiën &amp; Operatie</w:t>
      </w:r>
    </w:p>
    <w:p/>
    <w:p/>
    <w:p>
      <w:pPr>
        <w:jc w:val="center"/>
      </w:pPr>
      <w:r>
        <w:rPr>
          <w:color w:val="666666"/>
          <w:sz w:val="22"/>
        </w:rPr>
        <w:t>Opdrachtgever: Jorick van Gemert</w:t>
      </w:r>
    </w:p>
    <w:p>
      <w:pPr>
        <w:jc w:val="center"/>
      </w:pPr>
      <w:r>
        <w:rPr>
          <w:color w:val="666666"/>
          <w:sz w:val="22"/>
        </w:rPr>
        <w:t>Locatie: Heiloo, Noord-Holland</w:t>
      </w:r>
    </w:p>
    <w:p>
      <w:pPr>
        <w:jc w:val="center"/>
      </w:pPr>
      <w:r>
        <w:rPr>
          <w:color w:val="666666"/>
          <w:sz w:val="22"/>
        </w:rPr>
        <w:t>Datum: 15 april 2026</w:t>
      </w:r>
    </w:p>
    <w:p>
      <w:pPr>
        <w:jc w:val="center"/>
      </w:pPr>
      <w:r>
        <w:rPr>
          <w:color w:val="666666"/>
          <w:sz w:val="22"/>
        </w:rPr>
        <w:t>Versie: 1.0</w:t>
      </w:r>
    </w:p>
    <w:p>
      <w:pPr>
        <w:jc w:val="center"/>
      </w:pPr>
      <w:r>
        <w:rPr>
          <w:color w:val="666666"/>
          <w:sz w:val="22"/>
        </w:rPr>
        <w:t>Classificatie: Vertrouwelijk</w:t>
      </w:r>
    </w:p>
    <w:p>
      <w:r>
        <w:br w:type="page"/>
      </w:r>
    </w:p>
    <w:p>
      <w:pPr>
        <w:pStyle w:val="Heading1"/>
      </w:pPr>
      <w:r>
        <w:t>Inhoudsopgave</w:t>
      </w:r>
    </w:p>
    <w:p>
      <w:pPr>
        <w:spacing w:after="80"/>
      </w:pPr>
      <w:r>
        <w:rPr>
          <w:color w:val="003366"/>
          <w:sz w:val="24"/>
        </w:rPr>
        <w:t>1. Executive Summary</w:t>
      </w:r>
    </w:p>
    <w:p>
      <w:pPr>
        <w:spacing w:after="80"/>
      </w:pPr>
      <w:r>
        <w:rPr>
          <w:color w:val="003366"/>
          <w:sz w:val="24"/>
        </w:rPr>
        <w:t>2. Bedrijfsprofiel</w:t>
      </w:r>
    </w:p>
    <w:p>
      <w:pPr>
        <w:spacing w:after="80"/>
      </w:pPr>
      <w:r>
        <w:rPr>
          <w:color w:val="003366"/>
          <w:sz w:val="24"/>
        </w:rPr>
        <w:t>3. Marktanalyse</w:t>
      </w:r>
    </w:p>
    <w:p>
      <w:pPr>
        <w:spacing w:after="80"/>
      </w:pPr>
      <w:r>
        <w:rPr>
          <w:color w:val="003366"/>
          <w:sz w:val="24"/>
        </w:rPr>
        <w:t>4. Dienstenportfolio</w:t>
      </w:r>
    </w:p>
    <w:p>
      <w:pPr>
        <w:spacing w:after="80"/>
      </w:pPr>
      <w:r>
        <w:rPr>
          <w:color w:val="003366"/>
          <w:sz w:val="24"/>
        </w:rPr>
        <w:t>5. Juridische Structuur</w:t>
      </w:r>
    </w:p>
    <w:p>
      <w:pPr>
        <w:spacing w:after="80"/>
      </w:pPr>
      <w:r>
        <w:rPr>
          <w:color w:val="003366"/>
          <w:sz w:val="24"/>
        </w:rPr>
        <w:t>6. Financieel Plan</w:t>
      </w:r>
    </w:p>
    <w:p>
      <w:pPr>
        <w:spacing w:after="80"/>
      </w:pPr>
      <w:r>
        <w:rPr>
          <w:color w:val="003366"/>
          <w:sz w:val="24"/>
        </w:rPr>
        <w:t>7. Operationeel Plan</w:t>
      </w:r>
    </w:p>
    <w:p>
      <w:pPr>
        <w:spacing w:after="80"/>
      </w:pPr>
      <w:r>
        <w:rPr>
          <w:color w:val="003366"/>
          <w:sz w:val="24"/>
        </w:rPr>
        <w:t>8. Risicoanalyse &amp; Mitigatie</w:t>
      </w:r>
    </w:p>
    <w:p>
      <w:pPr>
        <w:spacing w:after="80"/>
      </w:pPr>
      <w:r>
        <w:rPr>
          <w:color w:val="003366"/>
          <w:sz w:val="24"/>
        </w:rPr>
        <w:t>9. Strategische Roadmap 2027-2029</w:t>
      </w:r>
    </w:p>
    <w:p>
      <w:pPr>
        <w:spacing w:after="80"/>
      </w:pPr>
      <w:r>
        <w:rPr>
          <w:color w:val="003366"/>
          <w:sz w:val="24"/>
        </w:rPr>
        <w:t>10. Bijlagen</w:t>
      </w:r>
    </w:p>
    <w:p>
      <w:r>
        <w:br w:type="page"/>
      </w:r>
    </w:p>
    <w:p>
      <w:pPr>
        <w:pStyle w:val="Heading1"/>
      </w:pPr>
      <w:r>
        <w:t>1. Executive Summary</w:t>
      </w:r>
    </w:p>
    <w:p>
      <w:pPr>
        <w:pStyle w:val="Heading2"/>
      </w:pPr>
      <w:r>
        <w:t>Missie en Visie</w:t>
      </w:r>
    </w:p>
    <w:p>
      <w:r>
        <w:t>JvG Consultancy levert gespecialiseerde Health, Safety, Environment &amp; Quality (HSEQ) diensten aan de Nederlandse industrie, met een focus op olie, gas, petrochemie, offshore en bouw. De missie: bedrijven veiliger, compliant en toekomstbestendig maken door praktische, op resultaat gerichte HSEQ-expertise.</w:t>
      </w:r>
    </w:p>
    <w:p>
      <w:r>
        <w:t>Visie: JvG Consultancy groeit uit tot de eerste keuze voor interim HSEQ-management en specialistisch advies in de noordelijke Randstad, met landelijke dekking voor niche-projecten (chroom-6, asbest, gevaarlijke stoffen).</w:t>
      </w:r>
    </w:p>
    <w:p>
      <w:pPr>
        <w:pStyle w:val="Heading2"/>
      </w:pPr>
      <w:r>
        <w:t>Kernpropositie</w:t>
      </w:r>
    </w:p>
    <w:p>
      <w:r>
        <w:t>JvG Consultancy combineert senior HSEQ-ervaring met unieke niche-expertise in chroom-6, asbest en gevaarlijke stoffen. Als zelfstandig consultant biedt JvG de flexibiliteit en persoonlijke aanpak die grote bureaus niet kunnen leveren, tegen concurrerende tarieven.</w:t>
      </w:r>
    </w:p>
    <w:p>
      <w:pPr>
        <w:pStyle w:val="Heading2"/>
      </w:pPr>
      <w:r>
        <w:t>Markt</w:t>
      </w:r>
    </w:p>
    <w:p>
      <w:r>
        <w:t>De wereldwijde HSE consulting markt bereikte $55,1 miljard in 2026 (CAGR 7,1%). Nederland telt 1.840 openstaande vacatures voor veiligheidskundigen (Q4 2025, +23% vs. 2024). De combinatie van verscherpte regelgeving (CSRD, Arbowet, EU-chroom-6 richtlijn) en een structureel tekort aan professionals creëert een uitstekend marktklimaat.</w:t>
      </w:r>
    </w:p>
    <w:p>
      <w:pPr>
        <w:pStyle w:val="Heading2"/>
      </w:pPr>
      <w:r>
        <w:t>Financieel Overzicht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r>
          </w:p>
        </w:tc>
        <w:tc>
          <w:tcPr>
            <w:tcW w:type="dxa" w:w="2351"/>
            <w:shd w:fill="003366"/>
          </w:tcPr>
          <w:p>
            <w:pPr>
              <w:jc w:val="center"/>
            </w:pPr>
            <w:r>
              <w:rPr>
                <w:b/>
                <w:color w:val="FFFFFF"/>
                <w:sz w:val="18"/>
              </w:rPr>
              <w:t>Jaar 1 (2027)</w:t>
            </w:r>
          </w:p>
        </w:tc>
        <w:tc>
          <w:tcPr>
            <w:tcW w:type="dxa" w:w="2351"/>
            <w:shd w:fill="003366"/>
          </w:tcPr>
          <w:p>
            <w:pPr>
              <w:jc w:val="center"/>
            </w:pPr>
            <w:r>
              <w:rPr>
                <w:b/>
                <w:color w:val="FFFFFF"/>
                <w:sz w:val="18"/>
              </w:rPr>
              <w:t>Jaar 2 (2028)</w:t>
            </w:r>
          </w:p>
        </w:tc>
        <w:tc>
          <w:tcPr>
            <w:tcW w:type="dxa" w:w="2351"/>
            <w:shd w:fill="003366"/>
          </w:tcPr>
          <w:p>
            <w:pPr>
              <w:jc w:val="center"/>
            </w:pPr>
            <w:r>
              <w:rPr>
                <w:b/>
                <w:color w:val="FFFFFF"/>
                <w:sz w:val="18"/>
              </w:rPr>
              <w:t>Jaar 3 (2029)</w:t>
            </w:r>
          </w:p>
        </w:tc>
      </w:tr>
      <w:tr>
        <w:tc>
          <w:tcPr>
            <w:tcW w:type="dxa" w:w="2351"/>
          </w:tcPr>
          <w:p>
            <w:r>
              <w:rPr>
                <w:sz w:val="18"/>
              </w:rPr>
              <w:t>Omzet (excl. BTW)</w:t>
            </w:r>
          </w:p>
        </w:tc>
        <w:tc>
          <w:tcPr>
            <w:tcW w:type="dxa" w:w="2351"/>
          </w:tcPr>
          <w:p>
            <w:r>
              <w:rPr>
                <w:sz w:val="18"/>
              </w:rPr>
              <w:t>€126.000</w:t>
            </w:r>
          </w:p>
        </w:tc>
        <w:tc>
          <w:tcPr>
            <w:tcW w:type="dxa" w:w="2351"/>
          </w:tcPr>
          <w:p>
            <w:r>
              <w:rPr>
                <w:sz w:val="18"/>
              </w:rPr>
              <w:t>€170.000</w:t>
            </w:r>
          </w:p>
        </w:tc>
        <w:tc>
          <w:tcPr>
            <w:tcW w:type="dxa" w:w="2351"/>
          </w:tcPr>
          <w:p>
            <w:r>
              <w:rPr>
                <w:sz w:val="18"/>
              </w:rPr>
              <w:t>€220.000</w:t>
            </w:r>
          </w:p>
        </w:tc>
      </w:tr>
      <w:tr>
        <w:tc>
          <w:tcPr>
            <w:tcW w:type="dxa" w:w="2351"/>
            <w:shd w:fill="E8F0F8"/>
          </w:tcPr>
          <w:p>
            <w:r>
              <w:rPr>
                <w:sz w:val="18"/>
              </w:rPr>
              <w:t>Nettowinst</w:t>
            </w:r>
          </w:p>
        </w:tc>
        <w:tc>
          <w:tcPr>
            <w:tcW w:type="dxa" w:w="2351"/>
            <w:shd w:fill="E8F0F8"/>
          </w:tcPr>
          <w:p>
            <w:r>
              <w:rPr>
                <w:sz w:val="18"/>
              </w:rPr>
              <w:t>€72.375</w:t>
            </w:r>
          </w:p>
        </w:tc>
        <w:tc>
          <w:tcPr>
            <w:tcW w:type="dxa" w:w="2351"/>
            <w:shd w:fill="E8F0F8"/>
          </w:tcPr>
          <w:p>
            <w:r>
              <w:rPr>
                <w:sz w:val="18"/>
              </w:rPr>
              <w:t>€107.770</w:t>
            </w:r>
          </w:p>
        </w:tc>
        <w:tc>
          <w:tcPr>
            <w:tcW w:type="dxa" w:w="2351"/>
            <w:shd w:fill="E8F0F8"/>
          </w:tcPr>
          <w:p>
            <w:r>
              <w:rPr>
                <w:sz w:val="18"/>
              </w:rPr>
              <w:t>€140.720</w:t>
            </w:r>
          </w:p>
        </w:tc>
      </w:tr>
      <w:tr>
        <w:tc>
          <w:tcPr>
            <w:tcW w:type="dxa" w:w="2351"/>
          </w:tcPr>
          <w:p>
            <w:r>
              <w:rPr>
                <w:sz w:val="18"/>
              </w:rPr>
              <w:t>Operationele marge</w:t>
            </w:r>
          </w:p>
        </w:tc>
        <w:tc>
          <w:tcPr>
            <w:tcW w:type="dxa" w:w="2351"/>
          </w:tcPr>
          <w:p>
            <w:r>
              <w:rPr>
                <w:sz w:val="18"/>
              </w:rPr>
              <w:t>57,4%</w:t>
            </w:r>
          </w:p>
        </w:tc>
        <w:tc>
          <w:tcPr>
            <w:tcW w:type="dxa" w:w="2351"/>
          </w:tcPr>
          <w:p>
            <w:r>
              <w:rPr>
                <w:sz w:val="18"/>
              </w:rPr>
              <w:t>63,4%</w:t>
            </w:r>
          </w:p>
        </w:tc>
        <w:tc>
          <w:tcPr>
            <w:tcW w:type="dxa" w:w="2351"/>
          </w:tcPr>
          <w:p>
            <w:r>
              <w:rPr>
                <w:sz w:val="18"/>
              </w:rPr>
              <w:t>64,0%</w:t>
            </w:r>
          </w:p>
        </w:tc>
      </w:tr>
    </w:tbl>
    <w:p/>
    <w:p>
      <w:pPr>
        <w:pStyle w:val="Heading2"/>
      </w:pPr>
      <w:r>
        <w:t>Investeringsbehoefte</w:t>
      </w:r>
    </w:p>
    <w:p>
      <w:r>
        <w:t>Totale startup-investering: €11.325. Aanbevolen kasbuffer bij start: €20.000-€25.000. Break-even wordt bereikt in maand 7-8. Verwacht rendement op investering: &gt;500% binnen 3 jaar (normaal scenario).</w:t>
      </w:r>
    </w:p>
    <w:p>
      <w:r>
        <w:br w:type="page"/>
      </w:r>
    </w:p>
    <w:p>
      <w:pPr>
        <w:pStyle w:val="Heading1"/>
      </w:pPr>
      <w:r>
        <w:t>2. Bedrijfsprofiel</w:t>
      </w:r>
    </w:p>
    <w:p>
      <w:pPr>
        <w:pStyle w:val="Heading2"/>
      </w:pPr>
      <w:r>
        <w:t>Naam en Rechtsvorm</w:t>
      </w:r>
    </w:p>
    <w:p>
      <w:r>
        <w:t>JvG Consultancy — eenmanszaak (ZZP), met geplande BV-conversie na 12-18 maanden bij winst &gt;€100.000/jaar.</w:t>
      </w:r>
    </w:p>
    <w:p>
      <w:pPr>
        <w:pStyle w:val="Heading2"/>
      </w:pPr>
      <w:r>
        <w:t>Locatie</w:t>
      </w:r>
    </w:p>
    <w:p>
      <w:r>
        <w:t>Heiloo, Noord-Holland. Strategische positie: 30 minuten van Amsterdam, 45 minuten van Rotterdam havengebied, directe verbinding met Noordzee offshore hubs.</w:t>
      </w:r>
    </w:p>
    <w:p>
      <w:pPr>
        <w:pStyle w:val="Heading2"/>
      </w:pPr>
      <w:r>
        <w:t>Missie, Visie, Kernwaarden</w:t>
      </w:r>
    </w:p>
    <w:p>
      <w:pPr>
        <w:pStyle w:val="ListBullet"/>
      </w:pPr>
      <w:r>
        <w:t>Veiligheid gaat boven alles — geen compromissen</w:t>
      </w:r>
    </w:p>
    <w:p>
      <w:pPr>
        <w:pStyle w:val="ListBullet"/>
      </w:pPr>
      <w:r>
        <w:t>Praktische oplossingen boven theoretische modellen</w:t>
      </w:r>
    </w:p>
    <w:p>
      <w:pPr>
        <w:pStyle w:val="ListBullet"/>
      </w:pPr>
      <w:r>
        <w:t>Transparantie — heldere communicatie, eerlijke rapportages</w:t>
      </w:r>
    </w:p>
    <w:p>
      <w:pPr>
        <w:pStyle w:val="ListBullet"/>
      </w:pPr>
      <w:r>
        <w:t>Kwaliteit — elke deliverable voldoet aan de hoogste standaarden</w:t>
      </w:r>
    </w:p>
    <w:p>
      <w:pPr>
        <w:pStyle w:val="ListBullet"/>
      </w:pPr>
      <w:r>
        <w:t>Flexibiliteit — meebewegen met de klant, niet andersom</w:t>
      </w:r>
    </w:p>
    <w:p>
      <w:pPr>
        <w:pStyle w:val="Heading2"/>
      </w:pPr>
      <w:r>
        <w:t>Unieke Propositie (USP)</w:t>
      </w:r>
    </w:p>
    <w:p>
      <w:r>
        <w:t>JvG Consultancy onderscheidt zich door de combinatie van brede HSEQ-managementervaring met diepgaande specialistische kennis op het gebied van chroom-6, asbest en gevaarlijke stoffen. Deze niche-expertise is schaars in de Nederlandse markt — slechts 2-3 bureaus bieden vergelijkbare diepgang. Als zelfstandig consultant biedt JvG daarnaast de flexibiliteit van directe beschikbaarheid, korte doorlooptijden en één aanspreekpunt.</w:t>
      </w:r>
    </w:p>
    <w:p>
      <w:r>
        <w:br w:type="page"/>
      </w:r>
    </w:p>
    <w:p>
      <w:pPr>
        <w:pStyle w:val="Heading1"/>
      </w:pPr>
      <w:r>
        <w:t>3. Marktanalyse</w:t>
      </w:r>
    </w:p>
    <w:p>
      <w:pPr>
        <w:pStyle w:val="Heading2"/>
      </w:pPr>
      <w:r>
        <w:t>Marktomvang en Groei</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Pr>
                <w:b/>
                <w:color w:val="FFFFFF"/>
                <w:sz w:val="18"/>
              </w:rPr>
              <w:t>Jaar</w:t>
            </w:r>
          </w:p>
        </w:tc>
        <w:tc>
          <w:tcPr>
            <w:tcW w:type="dxa" w:w="3135"/>
            <w:shd w:fill="003366"/>
          </w:tcPr>
          <w:p>
            <w:pPr>
              <w:jc w:val="center"/>
            </w:pPr>
            <w:r>
              <w:rPr>
                <w:b/>
                <w:color w:val="FFFFFF"/>
                <w:sz w:val="18"/>
              </w:rPr>
              <w:t>Marktvolume ($ miljard)</w:t>
            </w:r>
          </w:p>
        </w:tc>
        <w:tc>
          <w:tcPr>
            <w:tcW w:type="dxa" w:w="3135"/>
            <w:shd w:fill="003366"/>
          </w:tcPr>
          <w:p>
            <w:pPr>
              <w:jc w:val="center"/>
            </w:pPr>
            <w:r>
              <w:rPr>
                <w:b/>
                <w:color w:val="FFFFFF"/>
                <w:sz w:val="18"/>
              </w:rPr>
              <w:t>CAGR</w:t>
            </w:r>
          </w:p>
        </w:tc>
      </w:tr>
      <w:tr>
        <w:tc>
          <w:tcPr>
            <w:tcW w:type="dxa" w:w="3135"/>
          </w:tcPr>
          <w:p>
            <w:r>
              <w:rPr>
                <w:sz w:val="18"/>
              </w:rPr>
              <w:t>2024</w:t>
            </w:r>
          </w:p>
        </w:tc>
        <w:tc>
          <w:tcPr>
            <w:tcW w:type="dxa" w:w="3135"/>
          </w:tcPr>
          <w:p>
            <w:r>
              <w:rPr>
                <w:sz w:val="18"/>
              </w:rPr>
              <w:t>$48,0</w:t>
            </w:r>
          </w:p>
        </w:tc>
        <w:tc>
          <w:tcPr>
            <w:tcW w:type="dxa" w:w="3135"/>
          </w:tcPr>
          <w:p>
            <w:r>
              <w:rPr>
                <w:sz w:val="18"/>
              </w:rPr>
              <w:t>6,7%</w:t>
            </w:r>
          </w:p>
        </w:tc>
      </w:tr>
      <w:tr>
        <w:tc>
          <w:tcPr>
            <w:tcW w:type="dxa" w:w="3135"/>
            <w:shd w:fill="E8F0F8"/>
          </w:tcPr>
          <w:p>
            <w:r>
              <w:rPr>
                <w:sz w:val="18"/>
              </w:rPr>
              <w:t>2025</w:t>
            </w:r>
          </w:p>
        </w:tc>
        <w:tc>
          <w:tcPr>
            <w:tcW w:type="dxa" w:w="3135"/>
            <w:shd w:fill="E8F0F8"/>
          </w:tcPr>
          <w:p>
            <w:r>
              <w:rPr>
                <w:sz w:val="18"/>
              </w:rPr>
              <w:t>$51,4</w:t>
            </w:r>
          </w:p>
        </w:tc>
        <w:tc>
          <w:tcPr>
            <w:tcW w:type="dxa" w:w="3135"/>
            <w:shd w:fill="E8F0F8"/>
          </w:tcPr>
          <w:p>
            <w:r>
              <w:rPr>
                <w:sz w:val="18"/>
              </w:rPr>
              <w:t>7,1%</w:t>
            </w:r>
          </w:p>
        </w:tc>
      </w:tr>
      <w:tr>
        <w:tc>
          <w:tcPr>
            <w:tcW w:type="dxa" w:w="3135"/>
          </w:tcPr>
          <w:p>
            <w:r>
              <w:rPr>
                <w:sz w:val="18"/>
              </w:rPr>
              <w:t>2026 (est.)</w:t>
            </w:r>
          </w:p>
        </w:tc>
        <w:tc>
          <w:tcPr>
            <w:tcW w:type="dxa" w:w="3135"/>
          </w:tcPr>
          <w:p>
            <w:r>
              <w:rPr>
                <w:sz w:val="18"/>
              </w:rPr>
              <w:t>$55,1</w:t>
            </w:r>
          </w:p>
        </w:tc>
        <w:tc>
          <w:tcPr>
            <w:tcW w:type="dxa" w:w="3135"/>
          </w:tcPr>
          <w:p>
            <w:r>
              <w:rPr>
                <w:sz w:val="18"/>
              </w:rPr>
              <w:t>7,2%</w:t>
            </w:r>
          </w:p>
        </w:tc>
      </w:tr>
      <w:tr>
        <w:tc>
          <w:tcPr>
            <w:tcW w:type="dxa" w:w="3135"/>
            <w:shd w:fill="E8F0F8"/>
          </w:tcPr>
          <w:p>
            <w:r>
              <w:rPr>
                <w:sz w:val="18"/>
              </w:rPr>
              <w:t>2030 (proj.)</w:t>
            </w:r>
          </w:p>
        </w:tc>
        <w:tc>
          <w:tcPr>
            <w:tcW w:type="dxa" w:w="3135"/>
            <w:shd w:fill="E8F0F8"/>
          </w:tcPr>
          <w:p>
            <w:r>
              <w:rPr>
                <w:sz w:val="18"/>
              </w:rPr>
              <w:t>$72,8</w:t>
            </w:r>
          </w:p>
        </w:tc>
        <w:tc>
          <w:tcPr>
            <w:tcW w:type="dxa" w:w="3135"/>
            <w:shd w:fill="E8F0F8"/>
          </w:tcPr>
          <w:p>
            <w:r>
              <w:rPr>
                <w:sz w:val="18"/>
              </w:rPr>
              <w:t>7,2%</w:t>
            </w:r>
          </w:p>
        </w:tc>
      </w:tr>
    </w:tbl>
    <w:p/>
    <w:p>
      <w:r>
        <w:t>De Nederlandse management consulting markt bedroeg $5,24 miljard in 2025 met een verwachte groeinaar $6,68 miljard in 2031 (CAGR 4,1%). Operations consulting (inclusief HSEQ) vertegenwoordigt 36,9% van deze markt (~$1,93 miljard).</w:t>
      </w:r>
    </w:p>
    <w:p>
      <w:pPr>
        <w:pStyle w:val="Heading2"/>
      </w:pPr>
      <w:r>
        <w:t>Sleutelsegmenten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t>Segment</w:t>
            </w:r>
          </w:p>
        </w:tc>
        <w:tc>
          <w:tcPr>
            <w:tcW w:type="dxa" w:w="2351"/>
            <w:shd w:fill="003366"/>
          </w:tcPr>
          <w:p>
            <w:pPr>
              <w:jc w:val="center"/>
            </w:pPr>
            <w:r>
              <w:rPr>
                <w:b/>
                <w:color w:val="FFFFFF"/>
                <w:sz w:val="18"/>
              </w:rPr>
              <w:t>Marktaandeel</w:t>
            </w:r>
          </w:p>
        </w:tc>
        <w:tc>
          <w:tcPr>
            <w:tcW w:type="dxa" w:w="2351"/>
            <w:shd w:fill="003366"/>
          </w:tcPr>
          <w:p>
            <w:pPr>
              <w:jc w:val="center"/>
            </w:pPr>
            <w:r>
              <w:rPr>
                <w:b/>
                <w:color w:val="FFFFFF"/>
                <w:sz w:val="18"/>
              </w:rPr>
              <w:t>Groei 2024-2026</w:t>
            </w:r>
          </w:p>
        </w:tc>
        <w:tc>
          <w:tcPr>
            <w:tcW w:type="dxa" w:w="2351"/>
            <w:shd w:fill="003366"/>
          </w:tcPr>
          <w:p>
            <w:pPr>
              <w:jc w:val="center"/>
            </w:pPr>
            <w:r>
              <w:rPr>
                <w:b/>
                <w:color w:val="FFFFFF"/>
                <w:sz w:val="18"/>
              </w:rPr>
              <w:t>Interim huurfrequentie</w:t>
            </w:r>
          </w:p>
        </w:tc>
      </w:tr>
      <w:tr>
        <w:tc>
          <w:tcPr>
            <w:tcW w:type="dxa" w:w="2351"/>
          </w:tcPr>
          <w:p>
            <w:r>
              <w:rPr>
                <w:sz w:val="18"/>
              </w:rPr>
              <w:t>Olie &amp; Gas / Petrochemie</w:t>
            </w:r>
          </w:p>
        </w:tc>
        <w:tc>
          <w:tcPr>
            <w:tcW w:type="dxa" w:w="2351"/>
          </w:tcPr>
          <w:p>
            <w:r>
              <w:rPr>
                <w:sz w:val="18"/>
              </w:rPr>
              <w:t>28%</w:t>
            </w:r>
          </w:p>
        </w:tc>
        <w:tc>
          <w:tcPr>
            <w:tcW w:type="dxa" w:w="2351"/>
          </w:tcPr>
          <w:p>
            <w:r>
              <w:rPr>
                <w:sz w:val="18"/>
              </w:rPr>
              <w:t>5,2%</w:t>
            </w:r>
          </w:p>
        </w:tc>
        <w:tc>
          <w:tcPr>
            <w:tcW w:type="dxa" w:w="2351"/>
          </w:tcPr>
          <w:p>
            <w:r>
              <w:rPr>
                <w:sz w:val="18"/>
              </w:rPr>
              <w:t>Hoog</w:t>
            </w:r>
          </w:p>
        </w:tc>
      </w:tr>
      <w:tr>
        <w:tc>
          <w:tcPr>
            <w:tcW w:type="dxa" w:w="2351"/>
            <w:shd w:fill="E8F0F8"/>
          </w:tcPr>
          <w:p>
            <w:r>
              <w:rPr>
                <w:sz w:val="18"/>
              </w:rPr>
              <w:t>Offshore / Maritiem</w:t>
            </w:r>
          </w:p>
        </w:tc>
        <w:tc>
          <w:tcPr>
            <w:tcW w:type="dxa" w:w="2351"/>
            <w:shd w:fill="E8F0F8"/>
          </w:tcPr>
          <w:p>
            <w:r>
              <w:rPr>
                <w:sz w:val="18"/>
              </w:rPr>
              <w:t>18%</w:t>
            </w:r>
          </w:p>
        </w:tc>
        <w:tc>
          <w:tcPr>
            <w:tcW w:type="dxa" w:w="2351"/>
            <w:shd w:fill="E8F0F8"/>
          </w:tcPr>
          <w:p>
            <w:r>
              <w:rPr>
                <w:sz w:val="18"/>
              </w:rPr>
              <w:t>6,8%</w:t>
            </w:r>
          </w:p>
        </w:tc>
        <w:tc>
          <w:tcPr>
            <w:tcW w:type="dxa" w:w="2351"/>
            <w:shd w:fill="E8F0F8"/>
          </w:tcPr>
          <w:p>
            <w:r>
              <w:rPr>
                <w:sz w:val="18"/>
              </w:rPr>
              <w:t>Zeer hoog</w:t>
            </w:r>
          </w:p>
        </w:tc>
      </w:tr>
      <w:tr>
        <w:tc>
          <w:tcPr>
            <w:tcW w:type="dxa" w:w="2351"/>
          </w:tcPr>
          <w:p>
            <w:r>
              <w:rPr>
                <w:sz w:val="18"/>
              </w:rPr>
              <w:t>Bouw &amp; Infrastructuur</w:t>
            </w:r>
          </w:p>
        </w:tc>
        <w:tc>
          <w:tcPr>
            <w:tcW w:type="dxa" w:w="2351"/>
          </w:tcPr>
          <w:p>
            <w:r>
              <w:rPr>
                <w:sz w:val="18"/>
              </w:rPr>
              <w:t>22%</w:t>
            </w:r>
          </w:p>
        </w:tc>
        <w:tc>
          <w:tcPr>
            <w:tcW w:type="dxa" w:w="2351"/>
          </w:tcPr>
          <w:p>
            <w:r>
              <w:rPr>
                <w:sz w:val="18"/>
              </w:rPr>
              <w:t>7,5%</w:t>
            </w:r>
          </w:p>
        </w:tc>
        <w:tc>
          <w:tcPr>
            <w:tcW w:type="dxa" w:w="2351"/>
          </w:tcPr>
          <w:p>
            <w:r>
              <w:rPr>
                <w:sz w:val="18"/>
              </w:rPr>
              <w:t>Hoog</w:t>
            </w:r>
          </w:p>
        </w:tc>
      </w:tr>
      <w:tr>
        <w:tc>
          <w:tcPr>
            <w:tcW w:type="dxa" w:w="2351"/>
            <w:shd w:fill="E8F0F8"/>
          </w:tcPr>
          <w:p>
            <w:r>
              <w:rPr>
                <w:sz w:val="18"/>
              </w:rPr>
              <w:t>Industrie / Manufacturing</w:t>
            </w:r>
          </w:p>
        </w:tc>
        <w:tc>
          <w:tcPr>
            <w:tcW w:type="dxa" w:w="2351"/>
            <w:shd w:fill="E8F0F8"/>
          </w:tcPr>
          <w:p>
            <w:r>
              <w:rPr>
                <w:sz w:val="18"/>
              </w:rPr>
              <w:t>20%</w:t>
            </w:r>
          </w:p>
        </w:tc>
        <w:tc>
          <w:tcPr>
            <w:tcW w:type="dxa" w:w="2351"/>
            <w:shd w:fill="E8F0F8"/>
          </w:tcPr>
          <w:p>
            <w:r>
              <w:rPr>
                <w:sz w:val="18"/>
              </w:rPr>
              <w:t>4,9%</w:t>
            </w:r>
          </w:p>
        </w:tc>
        <w:tc>
          <w:tcPr>
            <w:tcW w:type="dxa" w:w="2351"/>
            <w:shd w:fill="E8F0F8"/>
          </w:tcPr>
          <w:p>
            <w:r>
              <w:rPr>
                <w:sz w:val="18"/>
              </w:rPr>
              <w:t>Gemiddeld</w:t>
            </w:r>
          </w:p>
        </w:tc>
      </w:tr>
      <w:tr>
        <w:tc>
          <w:tcPr>
            <w:tcW w:type="dxa" w:w="2351"/>
          </w:tcPr>
          <w:p>
            <w:r>
              <w:rPr>
                <w:sz w:val="18"/>
              </w:rPr>
              <w:t>Overheid / Defensie</w:t>
            </w:r>
          </w:p>
        </w:tc>
        <w:tc>
          <w:tcPr>
            <w:tcW w:type="dxa" w:w="2351"/>
          </w:tcPr>
          <w:p>
            <w:r>
              <w:rPr>
                <w:sz w:val="18"/>
              </w:rPr>
              <w:t>12%</w:t>
            </w:r>
          </w:p>
        </w:tc>
        <w:tc>
          <w:tcPr>
            <w:tcW w:type="dxa" w:w="2351"/>
          </w:tcPr>
          <w:p>
            <w:r>
              <w:rPr>
                <w:sz w:val="18"/>
              </w:rPr>
              <w:t>3,8%</w:t>
            </w:r>
          </w:p>
        </w:tc>
        <w:tc>
          <w:tcPr>
            <w:tcW w:type="dxa" w:w="2351"/>
          </w:tcPr>
          <w:p>
            <w:r>
              <w:rPr>
                <w:sz w:val="18"/>
              </w:rPr>
              <w:t>Laag</w:t>
            </w:r>
          </w:p>
        </w:tc>
      </w:tr>
    </w:tbl>
    <w:p>
      <w:pPr>
        <w:pStyle w:val="Heading2"/>
      </w:pPr>
      <w:r>
        <w:t>Concurrentiepositie</w:t>
      </w:r>
    </w:p>
    <w:p>
      <w:r>
        <w:t>Het concurrentieveld wordt gedomineerd door grote bureaus (Arcadis, Royal HaskoningDHV, SGS, DEKRA, Bureau Veritas). Hun focus ligt op grootschalige contracten met minimale projectomvang van €15.000+. Dit laat ruime ruimte voor een flexibele, gespecialiseerde solo-praktijk die MKB-bedrijven bedient met betaalbare tarieven en korte opstarttijden.</w:t>
      </w:r>
    </w:p>
    <w:p>
      <w:pPr>
        <w:pStyle w:val="Heading2"/>
      </w:pPr>
      <w:r>
        <w:t>Klantsegmentatie</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t>Segment</w:t>
            </w:r>
          </w:p>
        </w:tc>
        <w:tc>
          <w:tcPr>
            <w:tcW w:type="dxa" w:w="2351"/>
            <w:shd w:fill="003366"/>
          </w:tcPr>
          <w:p>
            <w:pPr>
              <w:jc w:val="center"/>
            </w:pPr>
            <w:r>
              <w:rPr>
                <w:b/>
                <w:color w:val="FFFFFF"/>
                <w:sz w:val="18"/>
              </w:rPr>
              <w:t>Omvang (NL)</w:t>
            </w:r>
          </w:p>
        </w:tc>
        <w:tc>
          <w:tcPr>
            <w:tcW w:type="dxa" w:w="2351"/>
            <w:shd w:fill="003366"/>
          </w:tcPr>
          <w:p>
            <w:pPr>
              <w:jc w:val="center"/>
            </w:pPr>
            <w:r>
              <w:rPr>
                <w:b/>
                <w:color w:val="FFFFFF"/>
                <w:sz w:val="18"/>
              </w:rPr>
              <w:t>HSEQ-behoefte</w:t>
            </w:r>
          </w:p>
        </w:tc>
        <w:tc>
          <w:tcPr>
            <w:tcW w:type="dxa" w:w="2351"/>
            <w:shd w:fill="003366"/>
          </w:tcPr>
          <w:p>
            <w:pPr>
              <w:jc w:val="center"/>
            </w:pPr>
            <w:r>
              <w:rPr>
                <w:b/>
                <w:color w:val="FFFFFF"/>
                <w:sz w:val="18"/>
              </w:rPr>
              <w:t>Prioriteit</w:t>
            </w:r>
          </w:p>
        </w:tc>
      </w:tr>
      <w:tr>
        <w:tc>
          <w:tcPr>
            <w:tcW w:type="dxa" w:w="2351"/>
          </w:tcPr>
          <w:p>
            <w:r>
              <w:rPr>
                <w:sz w:val="18"/>
              </w:rPr>
              <w:t>Petrochemie</w:t>
            </w:r>
          </w:p>
        </w:tc>
        <w:tc>
          <w:tcPr>
            <w:tcW w:type="dxa" w:w="2351"/>
          </w:tcPr>
          <w:p>
            <w:r>
              <w:rPr>
                <w:sz w:val="18"/>
              </w:rPr>
              <w:t>~45 locaties</w:t>
            </w:r>
          </w:p>
        </w:tc>
        <w:tc>
          <w:tcPr>
            <w:tcW w:type="dxa" w:w="2351"/>
          </w:tcPr>
          <w:p>
            <w:r>
              <w:rPr>
                <w:sz w:val="18"/>
              </w:rPr>
              <w:t>Zeer hoog</w:t>
            </w:r>
          </w:p>
        </w:tc>
        <w:tc>
          <w:tcPr>
            <w:tcW w:type="dxa" w:w="2351"/>
          </w:tcPr>
          <w:p>
            <w:r>
              <w:rPr>
                <w:sz w:val="18"/>
              </w:rPr>
              <w:t>★★★★★</w:t>
            </w:r>
          </w:p>
        </w:tc>
      </w:tr>
      <w:tr>
        <w:tc>
          <w:tcPr>
            <w:tcW w:type="dxa" w:w="2351"/>
            <w:shd w:fill="E8F0F8"/>
          </w:tcPr>
          <w:p>
            <w:r>
              <w:rPr>
                <w:sz w:val="18"/>
              </w:rPr>
              <w:t>Offshore</w:t>
            </w:r>
          </w:p>
        </w:tc>
        <w:tc>
          <w:tcPr>
            <w:tcW w:type="dxa" w:w="2351"/>
            <w:shd w:fill="E8F0F8"/>
          </w:tcPr>
          <w:p>
            <w:r>
              <w:rPr>
                <w:sz w:val="18"/>
              </w:rPr>
              <w:t>~30 operators</w:t>
            </w:r>
          </w:p>
        </w:tc>
        <w:tc>
          <w:tcPr>
            <w:tcW w:type="dxa" w:w="2351"/>
            <w:shd w:fill="E8F0F8"/>
          </w:tcPr>
          <w:p>
            <w:r>
              <w:rPr>
                <w:sz w:val="18"/>
              </w:rPr>
              <w:t>Zeer hoog</w:t>
            </w:r>
          </w:p>
        </w:tc>
        <w:tc>
          <w:tcPr>
            <w:tcW w:type="dxa" w:w="2351"/>
            <w:shd w:fill="E8F0F8"/>
          </w:tcPr>
          <w:p>
            <w:r>
              <w:rPr>
                <w:sz w:val="18"/>
              </w:rPr>
              <w:t>★★★★★</w:t>
            </w:r>
          </w:p>
        </w:tc>
      </w:tr>
      <w:tr>
        <w:tc>
          <w:tcPr>
            <w:tcW w:type="dxa" w:w="2351"/>
          </w:tcPr>
          <w:p>
            <w:r>
              <w:rPr>
                <w:sz w:val="18"/>
              </w:rPr>
              <w:t>Bouw &amp; GWW</w:t>
            </w:r>
          </w:p>
        </w:tc>
        <w:tc>
          <w:tcPr>
            <w:tcW w:type="dxa" w:w="2351"/>
          </w:tcPr>
          <w:p>
            <w:r>
              <w:rPr>
                <w:sz w:val="18"/>
              </w:rPr>
              <w:t>~200 bedrijven</w:t>
            </w:r>
          </w:p>
        </w:tc>
        <w:tc>
          <w:tcPr>
            <w:tcW w:type="dxa" w:w="2351"/>
          </w:tcPr>
          <w:p>
            <w:r>
              <w:rPr>
                <w:sz w:val="18"/>
              </w:rPr>
              <w:t>Hoog</w:t>
            </w:r>
          </w:p>
        </w:tc>
        <w:tc>
          <w:tcPr>
            <w:tcW w:type="dxa" w:w="2351"/>
          </w:tcPr>
          <w:p>
            <w:r>
              <w:rPr>
                <w:sz w:val="18"/>
              </w:rPr>
              <w:t>★★★★☆</w:t>
            </w:r>
          </w:p>
        </w:tc>
      </w:tr>
      <w:tr>
        <w:tc>
          <w:tcPr>
            <w:tcW w:type="dxa" w:w="2351"/>
            <w:shd w:fill="E8F0F8"/>
          </w:tcPr>
          <w:p>
            <w:r>
              <w:rPr>
                <w:sz w:val="18"/>
              </w:rPr>
              <w:t>Industrie</w:t>
            </w:r>
          </w:p>
        </w:tc>
        <w:tc>
          <w:tcPr>
            <w:tcW w:type="dxa" w:w="2351"/>
            <w:shd w:fill="E8F0F8"/>
          </w:tcPr>
          <w:p>
            <w:r>
              <w:rPr>
                <w:sz w:val="18"/>
              </w:rPr>
              <w:t>~2.500 bedrijven</w:t>
            </w:r>
          </w:p>
        </w:tc>
        <w:tc>
          <w:tcPr>
            <w:tcW w:type="dxa" w:w="2351"/>
            <w:shd w:fill="E8F0F8"/>
          </w:tcPr>
          <w:p>
            <w:r>
              <w:rPr>
                <w:sz w:val="18"/>
              </w:rPr>
              <w:t>Hoog</w:t>
            </w:r>
          </w:p>
        </w:tc>
        <w:tc>
          <w:tcPr>
            <w:tcW w:type="dxa" w:w="2351"/>
            <w:shd w:fill="E8F0F8"/>
          </w:tcPr>
          <w:p>
            <w:r>
              <w:rPr>
                <w:sz w:val="18"/>
              </w:rPr>
              <w:t>★★★★☆</w:t>
            </w:r>
          </w:p>
        </w:tc>
      </w:tr>
      <w:tr>
        <w:tc>
          <w:tcPr>
            <w:tcW w:type="dxa" w:w="2351"/>
          </w:tcPr>
          <w:p>
            <w:r>
              <w:rPr>
                <w:sz w:val="18"/>
              </w:rPr>
              <w:t>Scheepvaart / Maritiem</w:t>
            </w:r>
          </w:p>
        </w:tc>
        <w:tc>
          <w:tcPr>
            <w:tcW w:type="dxa" w:w="2351"/>
          </w:tcPr>
          <w:p>
            <w:r>
              <w:rPr>
                <w:sz w:val="18"/>
              </w:rPr>
              <w:t>~400 bedrijven</w:t>
            </w:r>
          </w:p>
        </w:tc>
        <w:tc>
          <w:tcPr>
            <w:tcW w:type="dxa" w:w="2351"/>
          </w:tcPr>
          <w:p>
            <w:r>
              <w:rPr>
                <w:sz w:val="18"/>
              </w:rPr>
              <w:t>Hoog</w:t>
            </w:r>
          </w:p>
        </w:tc>
        <w:tc>
          <w:tcPr>
            <w:tcW w:type="dxa" w:w="2351"/>
          </w:tcPr>
          <w:p>
            <w:r>
              <w:rPr>
                <w:sz w:val="18"/>
              </w:rPr>
              <w:t>★★★★☆</w:t>
            </w:r>
          </w:p>
        </w:tc>
      </w:tr>
      <w:tr>
        <w:tc>
          <w:tcPr>
            <w:tcW w:type="dxa" w:w="2351"/>
            <w:shd w:fill="E8F0F8"/>
          </w:tcPr>
          <w:p>
            <w:r>
              <w:rPr>
                <w:sz w:val="18"/>
              </w:rPr>
              <w:t>MKB (50-500 medewerkers)</w:t>
            </w:r>
          </w:p>
        </w:tc>
        <w:tc>
          <w:tcPr>
            <w:tcW w:type="dxa" w:w="2351"/>
            <w:shd w:fill="E8F0F8"/>
          </w:tcPr>
          <w:p>
            <w:r>
              <w:rPr>
                <w:sz w:val="18"/>
              </w:rPr>
              <w:t>~45.000 bedrijven</w:t>
            </w:r>
          </w:p>
        </w:tc>
        <w:tc>
          <w:tcPr>
            <w:tcW w:type="dxa" w:w="2351"/>
            <w:shd w:fill="E8F0F8"/>
          </w:tcPr>
          <w:p>
            <w:r>
              <w:rPr>
                <w:sz w:val="18"/>
              </w:rPr>
              <w:t>Groeiend</w:t>
            </w:r>
          </w:p>
        </w:tc>
        <w:tc>
          <w:tcPr>
            <w:tcW w:type="dxa" w:w="2351"/>
            <w:shd w:fill="E8F0F8"/>
          </w:tcPr>
          <w:p>
            <w:r>
              <w:rPr>
                <w:sz w:val="18"/>
              </w:rPr>
              <w:t>★★★☆☆</w:t>
            </w:r>
          </w:p>
        </w:tc>
      </w:tr>
    </w:tbl>
    <w:p>
      <w:pPr>
        <w:pStyle w:val="Heading2"/>
      </w:pPr>
      <w:r>
        <w:t>Niche Kansen</w:t>
      </w:r>
    </w:p>
    <w:p>
      <w:pPr>
        <w:pStyle w:val="ListBullet"/>
      </w:pPr>
      <w:r>
        <w:rPr>
          <w:b/>
          <w:sz w:val="22"/>
        </w:rPr>
        <w:t xml:space="preserve">Chroom-6: </w:t>
      </w:r>
      <w:r>
        <w:t>Chroom-6 specialisatie — slechts 2-3 bureaus met diepgaande expertise</w:t>
      </w:r>
    </w:p>
    <w:p>
      <w:pPr>
        <w:pStyle w:val="ListBullet"/>
      </w:pPr>
      <w:r>
        <w:rPr>
          <w:b/>
          <w:sz w:val="22"/>
        </w:rPr>
        <w:t xml:space="preserve">Asbest: </w:t>
      </w:r>
      <w:r>
        <w:t>1,4 miljoen gebouwen met potentieel asbest; saneringsmarkt ~€3,2 miljard cumulatief 2025-2030</w:t>
      </w:r>
    </w:p>
    <w:p>
      <w:pPr>
        <w:pStyle w:val="ListBullet"/>
      </w:pPr>
      <w:r>
        <w:rPr>
          <w:b/>
          <w:sz w:val="22"/>
        </w:rPr>
        <w:t xml:space="preserve">CSRD-module: </w:t>
      </w:r>
      <w:r>
        <w:t>CSRD HSEQ-data verzameling als gestandaardiseerd product — vrijwel geen aanbieders</w:t>
      </w:r>
    </w:p>
    <w:p>
      <w:pPr>
        <w:pStyle w:val="ListBullet"/>
      </w:pPr>
      <w:r>
        <w:rPr>
          <w:b/>
          <w:sz w:val="22"/>
        </w:rPr>
        <w:t xml:space="preserve">Regio: </w:t>
      </w:r>
      <w:r>
        <w:t>Weinig gespecialiseerde HSEQ ZZP'ers in regio Alkmaar/Heiloo</w:t>
      </w:r>
    </w:p>
    <w:p>
      <w:r>
        <w:br w:type="page"/>
      </w:r>
    </w:p>
    <w:p>
      <w:pPr>
        <w:pStyle w:val="Heading1"/>
      </w:pPr>
      <w:r>
        <w:t>4. Dienstenportfolio</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t>Dienst</w:t>
            </w:r>
          </w:p>
        </w:tc>
        <w:tc>
          <w:tcPr>
            <w:tcW w:type="dxa" w:w="2351"/>
            <w:shd w:fill="003366"/>
          </w:tcPr>
          <w:p>
            <w:pPr>
              <w:jc w:val="center"/>
            </w:pPr>
            <w:r>
              <w:rPr>
                <w:b/>
                <w:color w:val="FFFFFF"/>
                <w:sz w:val="18"/>
              </w:rPr>
              <w:t>Beschrijving</w:t>
            </w:r>
          </w:p>
        </w:tc>
        <w:tc>
          <w:tcPr>
            <w:tcW w:type="dxa" w:w="2351"/>
            <w:shd w:fill="003366"/>
          </w:tcPr>
          <w:p>
            <w:pPr>
              <w:jc w:val="center"/>
            </w:pPr>
            <w:r>
              <w:rPr>
                <w:b/>
                <w:color w:val="FFFFFF"/>
                <w:sz w:val="18"/>
              </w:rPr>
              <w:t>Tarief (dag)</w:t>
            </w:r>
          </w:p>
        </w:tc>
        <w:tc>
          <w:tcPr>
            <w:tcW w:type="dxa" w:w="2351"/>
            <w:shd w:fill="003366"/>
          </w:tcPr>
          <w:p>
            <w:pPr>
              <w:jc w:val="center"/>
            </w:pPr>
            <w:r>
              <w:rPr>
                <w:b/>
                <w:color w:val="FFFFFF"/>
                <w:sz w:val="18"/>
              </w:rPr>
              <w:t>Prioriteit</w:t>
            </w:r>
          </w:p>
        </w:tc>
      </w:tr>
      <w:tr>
        <w:tc>
          <w:tcPr>
            <w:tcW w:type="dxa" w:w="2351"/>
          </w:tcPr>
          <w:p>
            <w:r>
              <w:rPr>
                <w:sz w:val="18"/>
              </w:rPr>
              <w:t>Interim HSEQ Manager</w:t>
            </w:r>
          </w:p>
        </w:tc>
        <w:tc>
          <w:tcPr>
            <w:tcW w:type="dxa" w:w="2351"/>
          </w:tcPr>
          <w:p>
            <w:r>
              <w:rPr>
                <w:sz w:val="18"/>
              </w:rPr>
              <w:t>Tijdelijke invulling HSEQ-functie</w:t>
            </w:r>
          </w:p>
        </w:tc>
        <w:tc>
          <w:tcPr>
            <w:tcW w:type="dxa" w:w="2351"/>
          </w:tcPr>
          <w:p>
            <w:r>
              <w:rPr>
                <w:sz w:val="18"/>
              </w:rPr>
              <w:t>€850-€1.350</w:t>
            </w:r>
          </w:p>
        </w:tc>
        <w:tc>
          <w:tcPr>
            <w:tcW w:type="dxa" w:w="2351"/>
          </w:tcPr>
          <w:p>
            <w:r>
              <w:rPr>
                <w:sz w:val="18"/>
              </w:rPr>
              <w:t>P1</w:t>
            </w:r>
          </w:p>
        </w:tc>
      </w:tr>
      <w:tr>
        <w:tc>
          <w:tcPr>
            <w:tcW w:type="dxa" w:w="2351"/>
            <w:shd w:fill="E8F0F8"/>
          </w:tcPr>
          <w:p>
            <w:r>
              <w:rPr>
                <w:sz w:val="18"/>
              </w:rPr>
              <w:t>HSEQ Audits &amp; Inspecties</w:t>
            </w:r>
          </w:p>
        </w:tc>
        <w:tc>
          <w:tcPr>
            <w:tcW w:type="dxa" w:w="2351"/>
            <w:shd w:fill="E8F0F8"/>
          </w:tcPr>
          <w:p>
            <w:r>
              <w:rPr>
                <w:sz w:val="18"/>
              </w:rPr>
              <w:t>ISO 45001, VCA, compliance-checks</w:t>
            </w:r>
          </w:p>
        </w:tc>
        <w:tc>
          <w:tcPr>
            <w:tcW w:type="dxa" w:w="2351"/>
            <w:shd w:fill="E8F0F8"/>
          </w:tcPr>
          <w:p>
            <w:r>
              <w:rPr>
                <w:sz w:val="18"/>
              </w:rPr>
              <w:t>€700-€1.000</w:t>
            </w:r>
          </w:p>
        </w:tc>
        <w:tc>
          <w:tcPr>
            <w:tcW w:type="dxa" w:w="2351"/>
            <w:shd w:fill="E8F0F8"/>
          </w:tcPr>
          <w:p>
            <w:r>
              <w:rPr>
                <w:sz w:val="18"/>
              </w:rPr>
              <w:t>P1</w:t>
            </w:r>
          </w:p>
        </w:tc>
      </w:tr>
      <w:tr>
        <w:tc>
          <w:tcPr>
            <w:tcW w:type="dxa" w:w="2351"/>
          </w:tcPr>
          <w:p>
            <w:r>
              <w:rPr>
                <w:sz w:val="18"/>
              </w:rPr>
              <w:t>Chroom-6 / Asbest Advies</w:t>
            </w:r>
          </w:p>
        </w:tc>
        <w:tc>
          <w:tcPr>
            <w:tcW w:type="dxa" w:w="2351"/>
          </w:tcPr>
          <w:p>
            <w:r>
              <w:rPr>
                <w:sz w:val="18"/>
              </w:rPr>
              <w:t>Risicoinventarisatie, saneringsbegeleiding</w:t>
            </w:r>
          </w:p>
        </w:tc>
        <w:tc>
          <w:tcPr>
            <w:tcW w:type="dxa" w:w="2351"/>
          </w:tcPr>
          <w:p>
            <w:r>
              <w:rPr>
                <w:sz w:val="18"/>
              </w:rPr>
              <w:t>€900-€1.400</w:t>
            </w:r>
          </w:p>
        </w:tc>
        <w:tc>
          <w:tcPr>
            <w:tcW w:type="dxa" w:w="2351"/>
          </w:tcPr>
          <w:p>
            <w:r>
              <w:rPr>
                <w:sz w:val="18"/>
              </w:rPr>
              <w:t>P1</w:t>
            </w:r>
          </w:p>
        </w:tc>
      </w:tr>
      <w:tr>
        <w:tc>
          <w:tcPr>
            <w:tcW w:type="dxa" w:w="2351"/>
            <w:shd w:fill="E8F0F8"/>
          </w:tcPr>
          <w:p>
            <w:r>
              <w:rPr>
                <w:sz w:val="18"/>
              </w:rPr>
              <w:t>RI&amp;E &amp; TRA Opstelling</w:t>
            </w:r>
          </w:p>
        </w:tc>
        <w:tc>
          <w:tcPr>
            <w:tcW w:type="dxa" w:w="2351"/>
            <w:shd w:fill="E8F0F8"/>
          </w:tcPr>
          <w:p>
            <w:r>
              <w:rPr>
                <w:sz w:val="18"/>
              </w:rPr>
              <w:t>Risico-inventarisatie, taakrisicoanalyse</w:t>
            </w:r>
          </w:p>
        </w:tc>
        <w:tc>
          <w:tcPr>
            <w:tcW w:type="dxa" w:w="2351"/>
            <w:shd w:fill="E8F0F8"/>
          </w:tcPr>
          <w:p>
            <w:r>
              <w:rPr>
                <w:sz w:val="18"/>
              </w:rPr>
              <w:t>€700-€950</w:t>
            </w:r>
          </w:p>
        </w:tc>
        <w:tc>
          <w:tcPr>
            <w:tcW w:type="dxa" w:w="2351"/>
            <w:shd w:fill="E8F0F8"/>
          </w:tcPr>
          <w:p>
            <w:r>
              <w:rPr>
                <w:sz w:val="18"/>
              </w:rPr>
              <w:t>P2</w:t>
            </w:r>
          </w:p>
        </w:tc>
      </w:tr>
      <w:tr>
        <w:tc>
          <w:tcPr>
            <w:tcW w:type="dxa" w:w="2351"/>
          </w:tcPr>
          <w:p>
            <w:r>
              <w:rPr>
                <w:sz w:val="18"/>
              </w:rPr>
              <w:t>Trainingen &amp; Toolbox Talks</w:t>
            </w:r>
          </w:p>
        </w:tc>
        <w:tc>
          <w:tcPr>
            <w:tcW w:type="dxa" w:w="2351"/>
          </w:tcPr>
          <w:p>
            <w:r>
              <w:rPr>
                <w:sz w:val="18"/>
              </w:rPr>
              <w:t>VCA, chroom-6 awareness, teamtrainingen</w:t>
            </w:r>
          </w:p>
        </w:tc>
        <w:tc>
          <w:tcPr>
            <w:tcW w:type="dxa" w:w="2351"/>
          </w:tcPr>
          <w:p>
            <w:r>
              <w:rPr>
                <w:sz w:val="18"/>
              </w:rPr>
              <w:t>€600-€900</w:t>
            </w:r>
          </w:p>
        </w:tc>
        <w:tc>
          <w:tcPr>
            <w:tcW w:type="dxa" w:w="2351"/>
          </w:tcPr>
          <w:p>
            <w:r>
              <w:rPr>
                <w:sz w:val="18"/>
              </w:rPr>
              <w:t>P2</w:t>
            </w:r>
          </w:p>
        </w:tc>
      </w:tr>
      <w:tr>
        <w:tc>
          <w:tcPr>
            <w:tcW w:type="dxa" w:w="2351"/>
            <w:shd w:fill="E8F0F8"/>
          </w:tcPr>
          <w:p>
            <w:r>
              <w:rPr>
                <w:sz w:val="18"/>
              </w:rPr>
              <w:t>CSRD ESG Data Verzameling</w:t>
            </w:r>
          </w:p>
        </w:tc>
        <w:tc>
          <w:tcPr>
            <w:tcW w:type="dxa" w:w="2351"/>
            <w:shd w:fill="E8F0F8"/>
          </w:tcPr>
          <w:p>
            <w:r>
              <w:rPr>
                <w:sz w:val="18"/>
              </w:rPr>
              <w:t>HSEQ-metrics verzamelen en rapporteren</w:t>
            </w:r>
          </w:p>
        </w:tc>
        <w:tc>
          <w:tcPr>
            <w:tcW w:type="dxa" w:w="2351"/>
            <w:shd w:fill="E8F0F8"/>
          </w:tcPr>
          <w:p>
            <w:r>
              <w:rPr>
                <w:sz w:val="18"/>
              </w:rPr>
              <w:t>€800-€1.100</w:t>
            </w:r>
          </w:p>
        </w:tc>
        <w:tc>
          <w:tcPr>
            <w:tcW w:type="dxa" w:w="2351"/>
            <w:shd w:fill="E8F0F8"/>
          </w:tcPr>
          <w:p>
            <w:r>
              <w:rPr>
                <w:sz w:val="18"/>
              </w:rPr>
              <w:t>P2</w:t>
            </w:r>
          </w:p>
        </w:tc>
      </w:tr>
    </w:tbl>
    <w:p/>
    <w:p>
      <w:pPr>
        <w:pStyle w:val="Heading2"/>
      </w:pPr>
      <w:r>
        <w:t>Tariefstructuur (Groeipad)</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pPr>
              <w:jc w:val="center"/>
            </w:pPr>
            <w:r>
              <w:rPr>
                <w:b/>
                <w:color w:val="FFFFFF"/>
                <w:sz w:val="18"/>
              </w:rPr>
              <w:t>Fase</w:t>
            </w:r>
          </w:p>
        </w:tc>
        <w:tc>
          <w:tcPr>
            <w:tcW w:type="dxa" w:w="1881"/>
            <w:shd w:fill="003366"/>
          </w:tcPr>
          <w:p>
            <w:pPr>
              <w:jc w:val="center"/>
            </w:pPr>
            <w:r>
              <w:rPr>
                <w:b/>
                <w:color w:val="FFFFFF"/>
                <w:sz w:val="18"/>
              </w:rPr>
              <w:t>Periode</w:t>
            </w:r>
          </w:p>
        </w:tc>
        <w:tc>
          <w:tcPr>
            <w:tcW w:type="dxa" w:w="1881"/>
            <w:shd w:fill="003366"/>
          </w:tcPr>
          <w:p>
            <w:pPr>
              <w:jc w:val="center"/>
            </w:pPr>
            <w:r>
              <w:rPr>
                <w:b/>
                <w:color w:val="FFFFFF"/>
                <w:sz w:val="18"/>
              </w:rPr>
              <w:t>Interim (dag)</w:t>
            </w:r>
          </w:p>
        </w:tc>
        <w:tc>
          <w:tcPr>
            <w:tcW w:type="dxa" w:w="1881"/>
            <w:shd w:fill="003366"/>
          </w:tcPr>
          <w:p>
            <w:pPr>
              <w:jc w:val="center"/>
            </w:pPr>
            <w:r>
              <w:rPr>
                <w:b/>
                <w:color w:val="FFFFFF"/>
                <w:sz w:val="18"/>
              </w:rPr>
              <w:t>Audit (dag)</w:t>
            </w:r>
          </w:p>
        </w:tc>
        <w:tc>
          <w:tcPr>
            <w:tcW w:type="dxa" w:w="1881"/>
            <w:shd w:fill="003366"/>
          </w:tcPr>
          <w:p>
            <w:pPr>
              <w:jc w:val="center"/>
            </w:pPr>
            <w:r>
              <w:rPr>
                <w:b/>
                <w:color w:val="FFFFFF"/>
                <w:sz w:val="18"/>
              </w:rPr>
              <w:t>Advies (dag)</w:t>
            </w:r>
          </w:p>
        </w:tc>
      </w:tr>
      <w:tr>
        <w:tc>
          <w:tcPr>
            <w:tcW w:type="dxa" w:w="1881"/>
          </w:tcPr>
          <w:p>
            <w:r>
              <w:rPr>
                <w:sz w:val="18"/>
              </w:rPr>
              <w:t>Starttarief</w:t>
            </w:r>
          </w:p>
        </w:tc>
        <w:tc>
          <w:tcPr>
            <w:tcW w:type="dxa" w:w="1881"/>
          </w:tcPr>
          <w:p>
            <w:r>
              <w:rPr>
                <w:sz w:val="18"/>
              </w:rPr>
              <w:t>0-12 mnd</w:t>
            </w:r>
          </w:p>
        </w:tc>
        <w:tc>
          <w:tcPr>
            <w:tcW w:type="dxa" w:w="1881"/>
          </w:tcPr>
          <w:p>
            <w:r>
              <w:rPr>
                <w:sz w:val="18"/>
              </w:rPr>
              <w:t>€850</w:t>
            </w:r>
          </w:p>
        </w:tc>
        <w:tc>
          <w:tcPr>
            <w:tcW w:type="dxa" w:w="1881"/>
          </w:tcPr>
          <w:p>
            <w:r>
              <w:rPr>
                <w:sz w:val="18"/>
              </w:rPr>
              <w:t>€960</w:t>
            </w:r>
          </w:p>
        </w:tc>
        <w:tc>
          <w:tcPr>
            <w:tcW w:type="dxa" w:w="1881"/>
          </w:tcPr>
          <w:p>
            <w:r>
              <w:rPr>
                <w:sz w:val="18"/>
              </w:rPr>
              <w:t>€1.040</w:t>
            </w:r>
          </w:p>
        </w:tc>
      </w:tr>
      <w:tr>
        <w:tc>
          <w:tcPr>
            <w:tcW w:type="dxa" w:w="1881"/>
            <w:shd w:fill="E8F0F8"/>
          </w:tcPr>
          <w:p>
            <w:r>
              <w:rPr>
                <w:sz w:val="18"/>
              </w:rPr>
              <w:t>Geestablished</w:t>
            </w:r>
          </w:p>
        </w:tc>
        <w:tc>
          <w:tcPr>
            <w:tcW w:type="dxa" w:w="1881"/>
            <w:shd w:fill="E8F0F8"/>
          </w:tcPr>
          <w:p>
            <w:r>
              <w:rPr>
                <w:sz w:val="18"/>
              </w:rPr>
              <w:t>12-24 mnd</w:t>
            </w:r>
          </w:p>
        </w:tc>
        <w:tc>
          <w:tcPr>
            <w:tcW w:type="dxa" w:w="1881"/>
            <w:shd w:fill="E8F0F8"/>
          </w:tcPr>
          <w:p>
            <w:r>
              <w:rPr>
                <w:sz w:val="18"/>
              </w:rPr>
              <w:t>€950</w:t>
            </w:r>
          </w:p>
        </w:tc>
        <w:tc>
          <w:tcPr>
            <w:tcW w:type="dxa" w:w="1881"/>
            <w:shd w:fill="E8F0F8"/>
          </w:tcPr>
          <w:p>
            <w:r>
              <w:rPr>
                <w:sz w:val="18"/>
              </w:rPr>
              <w:t>€1.100</w:t>
            </w:r>
          </w:p>
        </w:tc>
        <w:tc>
          <w:tcPr>
            <w:tcW w:type="dxa" w:w="1881"/>
            <w:shd w:fill="E8F0F8"/>
          </w:tcPr>
          <w:p>
            <w:r>
              <w:rPr>
                <w:sz w:val="18"/>
              </w:rPr>
              <w:t>€1.200</w:t>
            </w:r>
          </w:p>
        </w:tc>
      </w:tr>
      <w:tr>
        <w:tc>
          <w:tcPr>
            <w:tcW w:type="dxa" w:w="1881"/>
          </w:tcPr>
          <w:p>
            <w:r>
              <w:rPr>
                <w:sz w:val="18"/>
              </w:rPr>
              <w:t>Premium</w:t>
            </w:r>
          </w:p>
        </w:tc>
        <w:tc>
          <w:tcPr>
            <w:tcW w:type="dxa" w:w="1881"/>
          </w:tcPr>
          <w:p>
            <w:r>
              <w:rPr>
                <w:sz w:val="18"/>
              </w:rPr>
              <w:t>24+ mnd</w:t>
            </w:r>
          </w:p>
        </w:tc>
        <w:tc>
          <w:tcPr>
            <w:tcW w:type="dxa" w:w="1881"/>
          </w:tcPr>
          <w:p>
            <w:r>
              <w:rPr>
                <w:sz w:val="18"/>
              </w:rPr>
              <w:t>€1.100</w:t>
            </w:r>
          </w:p>
        </w:tc>
        <w:tc>
          <w:tcPr>
            <w:tcW w:type="dxa" w:w="1881"/>
          </w:tcPr>
          <w:p>
            <w:r>
              <w:rPr>
                <w:sz w:val="18"/>
              </w:rPr>
              <w:t>€1.250</w:t>
            </w:r>
          </w:p>
        </w:tc>
        <w:tc>
          <w:tcPr>
            <w:tcW w:type="dxa" w:w="1881"/>
          </w:tcPr>
          <w:p>
            <w:r>
              <w:rPr>
                <w:sz w:val="18"/>
              </w:rPr>
              <w:t>€1.350</w:t>
            </w:r>
          </w:p>
        </w:tc>
      </w:tr>
    </w:tbl>
    <w:p/>
    <w:p>
      <w:r>
        <w:t>Offshore premie: +15-25%. Minimum contractwaarde: €5.000. Interim-contracten: minimum 3 maanden. Advies: start met €850/dag, verhoog naar €950-€1.100 na 12 maanden op basis van track record.</w:t>
      </w:r>
    </w:p>
    <w:p>
      <w:r>
        <w:br w:type="page"/>
      </w:r>
    </w:p>
    <w:p>
      <w:pPr>
        <w:pStyle w:val="Heading1"/>
      </w:pPr>
      <w:r>
        <w:t>5. Juridische Structuur</w:t>
      </w:r>
    </w:p>
    <w:p>
      <w:pPr>
        <w:pStyle w:val="Heading2"/>
      </w:pPr>
      <w:r>
        <w:t>Rechtsvorm Advies</w:t>
      </w:r>
    </w:p>
    <w:p>
      <w:r>
        <w:t>Aanbevolen: start als eenmanszaak (ZZP), converteer naar BV na 12-18 maanden bij winst &gt;€100.000/jaar. De eenmanszaak biedt maximale flexibiliteit, volledige toegang tot fiscale aftrekposten (zelfstandigenaftrek €7.500, startersaftrek €2.123, MKB-winstvrijstelling 19%) en minimale administratieve last.</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Pr>
                <w:b/>
                <w:color w:val="FFFFFF"/>
                <w:sz w:val="18"/>
              </w:rPr>
              <w:t>Criterium</w:t>
            </w:r>
          </w:p>
        </w:tc>
        <w:tc>
          <w:tcPr>
            <w:tcW w:type="dxa" w:w="3135"/>
            <w:shd w:fill="003366"/>
          </w:tcPr>
          <w:p>
            <w:pPr>
              <w:jc w:val="center"/>
            </w:pPr>
            <w:r>
              <w:rPr>
                <w:b/>
                <w:color w:val="FFFFFF"/>
                <w:sz w:val="18"/>
              </w:rPr>
              <w:t>Eenmanszaak</w:t>
            </w:r>
          </w:p>
        </w:tc>
        <w:tc>
          <w:tcPr>
            <w:tcW w:type="dxa" w:w="3135"/>
            <w:shd w:fill="003366"/>
          </w:tcPr>
          <w:p>
            <w:pPr>
              <w:jc w:val="center"/>
            </w:pPr>
            <w:r>
              <w:rPr>
                <w:b/>
                <w:color w:val="FFFFFF"/>
                <w:sz w:val="18"/>
              </w:rPr>
              <w:t>BV</w:t>
            </w:r>
          </w:p>
        </w:tc>
      </w:tr>
      <w:tr>
        <w:tc>
          <w:tcPr>
            <w:tcW w:type="dxa" w:w="3135"/>
          </w:tcPr>
          <w:p>
            <w:r>
              <w:rPr>
                <w:sz w:val="18"/>
              </w:rPr>
              <w:t>Aansprakelijkheid</w:t>
            </w:r>
          </w:p>
        </w:tc>
        <w:tc>
          <w:tcPr>
            <w:tcW w:type="dxa" w:w="3135"/>
          </w:tcPr>
          <w:p>
            <w:r>
              <w:rPr>
                <w:sz w:val="18"/>
              </w:rPr>
              <w:t>Onbeperkt privé</w:t>
            </w:r>
          </w:p>
        </w:tc>
        <w:tc>
          <w:tcPr>
            <w:tcW w:type="dxa" w:w="3135"/>
          </w:tcPr>
          <w:p>
            <w:r>
              <w:rPr>
                <w:sz w:val="18"/>
              </w:rPr>
              <w:t>Beperkt</w:t>
            </w:r>
          </w:p>
        </w:tc>
      </w:tr>
      <w:tr>
        <w:tc>
          <w:tcPr>
            <w:tcW w:type="dxa" w:w="3135"/>
            <w:shd w:fill="E8F0F8"/>
          </w:tcPr>
          <w:p>
            <w:r>
              <w:rPr>
                <w:sz w:val="18"/>
              </w:rPr>
              <w:t>Oprichtingskosten</w:t>
            </w:r>
          </w:p>
        </w:tc>
        <w:tc>
          <w:tcPr>
            <w:tcW w:type="dxa" w:w="3135"/>
            <w:shd w:fill="E8F0F8"/>
          </w:tcPr>
          <w:p>
            <w:r>
              <w:rPr>
                <w:sz w:val="18"/>
              </w:rPr>
              <w:t>€0</w:t>
            </w:r>
          </w:p>
        </w:tc>
        <w:tc>
          <w:tcPr>
            <w:tcW w:type="dxa" w:w="3135"/>
            <w:shd w:fill="E8F0F8"/>
          </w:tcPr>
          <w:p>
            <w:r>
              <w:rPr>
                <w:sz w:val="18"/>
              </w:rPr>
              <w:t>€500-€1.500</w:t>
            </w:r>
          </w:p>
        </w:tc>
      </w:tr>
      <w:tr>
        <w:tc>
          <w:tcPr>
            <w:tcW w:type="dxa" w:w="3135"/>
          </w:tcPr>
          <w:p>
            <w:r>
              <w:rPr>
                <w:sz w:val="18"/>
              </w:rPr>
              <w:t>Belasting</w:t>
            </w:r>
          </w:p>
        </w:tc>
        <w:tc>
          <w:tcPr>
            <w:tcW w:type="dxa" w:w="3135"/>
          </w:tcPr>
          <w:p>
            <w:r>
              <w:rPr>
                <w:sz w:val="18"/>
              </w:rPr>
              <w:t>Box 1 (tot 49,5%)</w:t>
            </w:r>
          </w:p>
        </w:tc>
        <w:tc>
          <w:tcPr>
            <w:tcW w:type="dxa" w:w="3135"/>
          </w:tcPr>
          <w:p>
            <w:r>
              <w:rPr>
                <w:sz w:val="18"/>
              </w:rPr>
              <w:t>VPB 25,8% + box 2</w:t>
            </w:r>
          </w:p>
        </w:tc>
      </w:tr>
      <w:tr>
        <w:tc>
          <w:tcPr>
            <w:tcW w:type="dxa" w:w="3135"/>
            <w:shd w:fill="E8F0F8"/>
          </w:tcPr>
          <w:p>
            <w:r>
              <w:rPr>
                <w:sz w:val="18"/>
              </w:rPr>
              <w:t>Zelfstandigenaftrek</w:t>
            </w:r>
          </w:p>
        </w:tc>
        <w:tc>
          <w:tcPr>
            <w:tcW w:type="dxa" w:w="3135"/>
            <w:shd w:fill="E8F0F8"/>
          </w:tcPr>
          <w:p>
            <w:r>
              <w:rPr>
                <w:sz w:val="18"/>
              </w:rPr>
              <w:t>Ja (€7.500)</w:t>
            </w:r>
          </w:p>
        </w:tc>
        <w:tc>
          <w:tcPr>
            <w:tcW w:type="dxa" w:w="3135"/>
            <w:shd w:fill="E8F0F8"/>
          </w:tcPr>
          <w:p>
            <w:r>
              <w:rPr>
                <w:sz w:val="18"/>
              </w:rPr>
              <w:t>Nee</w:t>
            </w:r>
          </w:p>
        </w:tc>
      </w:tr>
      <w:tr>
        <w:tc>
          <w:tcPr>
            <w:tcW w:type="dxa" w:w="3135"/>
          </w:tcPr>
          <w:p>
            <w:r>
              <w:rPr>
                <w:sz w:val="18"/>
              </w:rPr>
              <w:t>Flexibiliteit</w:t>
            </w:r>
          </w:p>
        </w:tc>
        <w:tc>
          <w:tcPr>
            <w:tcW w:type="dxa" w:w="3135"/>
          </w:tcPr>
          <w:p>
            <w:r>
              <w:rPr>
                <w:sz w:val="18"/>
              </w:rPr>
              <w:t>Maximaal</w:t>
            </w:r>
          </w:p>
        </w:tc>
        <w:tc>
          <w:tcPr>
            <w:tcW w:type="dxa" w:w="3135"/>
          </w:tcPr>
          <w:p>
            <w:r>
              <w:rPr>
                <w:sz w:val="18"/>
              </w:rPr>
              <w:t>Matig</w:t>
            </w:r>
          </w:p>
        </w:tc>
      </w:tr>
      <w:tr>
        <w:tc>
          <w:tcPr>
            <w:tcW w:type="dxa" w:w="3135"/>
            <w:shd w:fill="E8F0F8"/>
          </w:tcPr>
          <w:p>
            <w:r>
              <w:rPr>
                <w:sz w:val="18"/>
              </w:rPr>
              <w:t>Imago corporate</w:t>
            </w:r>
          </w:p>
        </w:tc>
        <w:tc>
          <w:tcPr>
            <w:tcW w:type="dxa" w:w="3135"/>
            <w:shd w:fill="E8F0F8"/>
          </w:tcPr>
          <w:p>
            <w:r>
              <w:rPr>
                <w:sz w:val="18"/>
              </w:rPr>
              <w:t>Matig</w:t>
            </w:r>
          </w:p>
        </w:tc>
        <w:tc>
          <w:tcPr>
            <w:tcW w:type="dxa" w:w="3135"/>
            <w:shd w:fill="E8F0F8"/>
          </w:tcPr>
          <w:p>
            <w:r>
              <w:rPr>
                <w:sz w:val="18"/>
              </w:rPr>
              <w:t>Sterk</w:t>
            </w:r>
          </w:p>
        </w:tc>
      </w:tr>
    </w:tbl>
    <w:p>
      <w:pPr>
        <w:pStyle w:val="Heading2"/>
      </w:pPr>
      <w:r>
        <w:t>Belastingstructuur</w:t>
      </w:r>
    </w:p>
    <w:p>
      <w:r>
        <w:t>Effectieve belastingdruk eenmanszaak: ~30-37% na aftrekposten. BV-effectieve druk: ~25-30% (bij winst &gt;€100K). Fiscale Oudedagsreserve (FOR): max. 13,9% van winst, tot €20.531/jaar (2026).</w:t>
      </w:r>
    </w:p>
    <w:p>
      <w:pPr>
        <w:pStyle w:val="Heading2"/>
      </w:pPr>
      <w:r>
        <w:t>Verzekeringen</w:t>
      </w:r>
    </w:p>
    <w:p>
      <w:pPr>
        <w:pStyle w:val="ListBullet"/>
      </w:pPr>
      <w:r>
        <w:rPr>
          <w:b/>
          <w:sz w:val="22"/>
        </w:rPr>
        <w:t xml:space="preserve">BA: </w:t>
      </w:r>
      <w:r>
        <w:t>Beroepsaansprakelijkheid (BA): min. €1.000.000 dekking, premie ~€800-€3.000/jaar</w:t>
      </w:r>
    </w:p>
    <w:p>
      <w:pPr>
        <w:pStyle w:val="ListBullet"/>
      </w:pPr>
      <w:r>
        <w:rPr>
          <w:b/>
          <w:sz w:val="22"/>
        </w:rPr>
        <w:t xml:space="preserve">AOV: </w:t>
      </w:r>
      <w:r>
        <w:t>AOV: ~€200/maand indicatief</w:t>
      </w:r>
    </w:p>
    <w:p>
      <w:pPr>
        <w:pStyle w:val="ListBullet"/>
      </w:pPr>
      <w:r>
        <w:rPr>
          <w:b/>
          <w:sz w:val="22"/>
        </w:rPr>
        <w:t xml:space="preserve">AVB: </w:t>
      </w:r>
      <w:r>
        <w:t>AVB: ~€300-€800/jaar</w:t>
      </w:r>
    </w:p>
    <w:p>
      <w:pPr>
        <w:pStyle w:val="ListBullet"/>
      </w:pPr>
      <w:r>
        <w:rPr>
          <w:b/>
          <w:sz w:val="22"/>
        </w:rPr>
        <w:t xml:space="preserve">Rechtsbijstand: </w:t>
      </w:r>
      <w:r>
        <w:t>Rechtsbijstand zakelijk: ~€250-€600/jaar</w:t>
      </w:r>
    </w:p>
    <w:p>
      <w:pPr>
        <w:pStyle w:val="Heading2"/>
      </w:pPr>
      <w:r>
        <w:t>Contractvormen</w:t>
      </w:r>
    </w:p>
    <w:p>
      <w:r>
        <w:t>Modelovereenkomst ZZP (Belastingdienst) verplicht per Wet DBA. Essentiële clausules: concurrencybeding (max. 12 mnd), geheimhouding (NDA, min. 2 jaar), aansprakelijkheidsbeperking (max. gefactureerd bedrag), betalingstermijn 14-30 dagen, opzegtermijn 1 maand.</w:t>
      </w:r>
    </w:p>
    <w:p>
      <w:r>
        <w:br w:type="page"/>
      </w:r>
    </w:p>
    <w:p>
      <w:pPr>
        <w:pStyle w:val="Heading1"/>
      </w:pPr>
      <w:r>
        <w:t>6. Financieel Plan</w:t>
      </w:r>
    </w:p>
    <w:p>
      <w:pPr>
        <w:pStyle w:val="Heading2"/>
      </w:pPr>
      <w:r>
        <w:t>Omzetprognose (3 Scenario's)</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t>Scenario</w:t>
            </w:r>
          </w:p>
        </w:tc>
        <w:tc>
          <w:tcPr>
            <w:tcW w:type="dxa" w:w="2351"/>
            <w:shd w:fill="003366"/>
          </w:tcPr>
          <w:p>
            <w:pPr>
              <w:jc w:val="center"/>
            </w:pPr>
            <w:r>
              <w:rPr>
                <w:b/>
                <w:color w:val="FFFFFF"/>
                <w:sz w:val="18"/>
              </w:rPr>
              <w:t>Jaar 1 (2027)</w:t>
            </w:r>
          </w:p>
        </w:tc>
        <w:tc>
          <w:tcPr>
            <w:tcW w:type="dxa" w:w="2351"/>
            <w:shd w:fill="003366"/>
          </w:tcPr>
          <w:p>
            <w:pPr>
              <w:jc w:val="center"/>
            </w:pPr>
            <w:r>
              <w:rPr>
                <w:b/>
                <w:color w:val="FFFFFF"/>
                <w:sz w:val="18"/>
              </w:rPr>
              <w:t>Jaar 2 (2028)</w:t>
            </w:r>
          </w:p>
        </w:tc>
        <w:tc>
          <w:tcPr>
            <w:tcW w:type="dxa" w:w="2351"/>
            <w:shd w:fill="003366"/>
          </w:tcPr>
          <w:p>
            <w:pPr>
              <w:jc w:val="center"/>
            </w:pPr>
            <w:r>
              <w:rPr>
                <w:b/>
                <w:color w:val="FFFFFF"/>
                <w:sz w:val="18"/>
              </w:rPr>
              <w:t>Jaar 3 (2029)</w:t>
            </w:r>
          </w:p>
        </w:tc>
      </w:tr>
      <w:tr>
        <w:tc>
          <w:tcPr>
            <w:tcW w:type="dxa" w:w="2351"/>
          </w:tcPr>
          <w:p>
            <w:r>
              <w:rPr>
                <w:sz w:val="18"/>
              </w:rPr>
              <w:t>Conservatief</w:t>
            </w:r>
          </w:p>
        </w:tc>
        <w:tc>
          <w:tcPr>
            <w:tcW w:type="dxa" w:w="2351"/>
          </w:tcPr>
          <w:p>
            <w:r>
              <w:rPr>
                <w:sz w:val="18"/>
              </w:rPr>
              <w:t>€85.000</w:t>
            </w:r>
          </w:p>
        </w:tc>
        <w:tc>
          <w:tcPr>
            <w:tcW w:type="dxa" w:w="2351"/>
          </w:tcPr>
          <w:p>
            <w:r>
              <w:rPr>
                <w:sz w:val="18"/>
              </w:rPr>
              <w:t>€133.000</w:t>
            </w:r>
          </w:p>
        </w:tc>
        <w:tc>
          <w:tcPr>
            <w:tcW w:type="dxa" w:w="2351"/>
          </w:tcPr>
          <w:p>
            <w:r>
              <w:rPr>
                <w:sz w:val="18"/>
              </w:rPr>
              <w:t>€170.000</w:t>
            </w:r>
          </w:p>
        </w:tc>
      </w:tr>
      <w:tr>
        <w:tc>
          <w:tcPr>
            <w:tcW w:type="dxa" w:w="2351"/>
            <w:shd w:fill="E8F0F8"/>
          </w:tcPr>
          <w:p>
            <w:r>
              <w:rPr>
                <w:sz w:val="18"/>
              </w:rPr>
              <w:t>Normaal</w:t>
            </w:r>
          </w:p>
        </w:tc>
        <w:tc>
          <w:tcPr>
            <w:tcW w:type="dxa" w:w="2351"/>
            <w:shd w:fill="E8F0F8"/>
          </w:tcPr>
          <w:p>
            <w:r>
              <w:rPr>
                <w:sz w:val="18"/>
              </w:rPr>
              <w:t>€126.000</w:t>
            </w:r>
          </w:p>
        </w:tc>
        <w:tc>
          <w:tcPr>
            <w:tcW w:type="dxa" w:w="2351"/>
            <w:shd w:fill="E8F0F8"/>
          </w:tcPr>
          <w:p>
            <w:r>
              <w:rPr>
                <w:sz w:val="18"/>
              </w:rPr>
              <w:t>€170.000</w:t>
            </w:r>
          </w:p>
        </w:tc>
        <w:tc>
          <w:tcPr>
            <w:tcW w:type="dxa" w:w="2351"/>
            <w:shd w:fill="E8F0F8"/>
          </w:tcPr>
          <w:p>
            <w:r>
              <w:rPr>
                <w:sz w:val="18"/>
              </w:rPr>
              <w:t>€220.000</w:t>
            </w:r>
          </w:p>
        </w:tc>
      </w:tr>
      <w:tr>
        <w:tc>
          <w:tcPr>
            <w:tcW w:type="dxa" w:w="2351"/>
          </w:tcPr>
          <w:p>
            <w:r>
              <w:rPr>
                <w:sz w:val="18"/>
              </w:rPr>
              <w:t>Optimistisch</w:t>
            </w:r>
          </w:p>
        </w:tc>
        <w:tc>
          <w:tcPr>
            <w:tcW w:type="dxa" w:w="2351"/>
          </w:tcPr>
          <w:p>
            <w:r>
              <w:rPr>
                <w:sz w:val="18"/>
              </w:rPr>
              <w:t>€161.500</w:t>
            </w:r>
          </w:p>
        </w:tc>
        <w:tc>
          <w:tcPr>
            <w:tcW w:type="dxa" w:w="2351"/>
          </w:tcPr>
          <w:p>
            <w:r>
              <w:rPr>
                <w:sz w:val="18"/>
              </w:rPr>
              <w:t>€210.000</w:t>
            </w:r>
          </w:p>
        </w:tc>
        <w:tc>
          <w:tcPr>
            <w:tcW w:type="dxa" w:w="2351"/>
          </w:tcPr>
          <w:p>
            <w:r>
              <w:rPr>
                <w:sz w:val="18"/>
              </w:rPr>
              <w:t>€264.000</w:t>
            </w:r>
          </w:p>
        </w:tc>
      </w:tr>
    </w:tbl>
    <w:p/>
    <w:p>
      <w:r>
        <w:t>Aanname: 220 werkbare dagen/jaar. Normaal scenario: 140/170/200 factureerbare dagen.</w:t>
      </w:r>
    </w:p>
    <w:p>
      <w:pPr>
        <w:pStyle w:val="Heading2"/>
      </w:pPr>
      <w:r>
        <w:t>Winst- en Verliesrekening (Normaal Scenario)</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t>Post</w:t>
            </w:r>
          </w:p>
        </w:tc>
        <w:tc>
          <w:tcPr>
            <w:tcW w:type="dxa" w:w="2351"/>
            <w:shd w:fill="003366"/>
          </w:tcPr>
          <w:p>
            <w:pPr>
              <w:jc w:val="center"/>
            </w:pPr>
            <w:r>
              <w:rPr>
                <w:b/>
                <w:color w:val="FFFFFF"/>
                <w:sz w:val="18"/>
              </w:rPr>
              <w:t>Jaar 1</w:t>
            </w:r>
          </w:p>
        </w:tc>
        <w:tc>
          <w:tcPr>
            <w:tcW w:type="dxa" w:w="2351"/>
            <w:shd w:fill="003366"/>
          </w:tcPr>
          <w:p>
            <w:pPr>
              <w:jc w:val="center"/>
            </w:pPr>
            <w:r>
              <w:rPr>
                <w:b/>
                <w:color w:val="FFFFFF"/>
                <w:sz w:val="18"/>
              </w:rPr>
              <w:t>Jaar 2</w:t>
            </w:r>
          </w:p>
        </w:tc>
        <w:tc>
          <w:tcPr>
            <w:tcW w:type="dxa" w:w="2351"/>
            <w:shd w:fill="003366"/>
          </w:tcPr>
          <w:p>
            <w:pPr>
              <w:jc w:val="center"/>
            </w:pPr>
            <w:r>
              <w:rPr>
                <w:b/>
                <w:color w:val="FFFFFF"/>
                <w:sz w:val="18"/>
              </w:rPr>
              <w:t>Jaar 3</w:t>
            </w:r>
          </w:p>
        </w:tc>
      </w:tr>
      <w:tr>
        <w:tc>
          <w:tcPr>
            <w:tcW w:type="dxa" w:w="2351"/>
          </w:tcPr>
          <w:p>
            <w:r>
              <w:rPr>
                <w:sz w:val="18"/>
              </w:rPr>
              <w:t>Omzet</w:t>
            </w:r>
          </w:p>
        </w:tc>
        <w:tc>
          <w:tcPr>
            <w:tcW w:type="dxa" w:w="2351"/>
          </w:tcPr>
          <w:p>
            <w:r>
              <w:rPr>
                <w:sz w:val="18"/>
              </w:rPr>
              <w:t>€126.000</w:t>
            </w:r>
          </w:p>
        </w:tc>
        <w:tc>
          <w:tcPr>
            <w:tcW w:type="dxa" w:w="2351"/>
          </w:tcPr>
          <w:p>
            <w:r>
              <w:rPr>
                <w:sz w:val="18"/>
              </w:rPr>
              <w:t>€170.000</w:t>
            </w:r>
          </w:p>
        </w:tc>
        <w:tc>
          <w:tcPr>
            <w:tcW w:type="dxa" w:w="2351"/>
          </w:tcPr>
          <w:p>
            <w:r>
              <w:rPr>
                <w:sz w:val="18"/>
              </w:rPr>
              <w:t>€220.000</w:t>
            </w:r>
          </w:p>
        </w:tc>
      </w:tr>
      <w:tr>
        <w:tc>
          <w:tcPr>
            <w:tcW w:type="dxa" w:w="2351"/>
            <w:shd w:fill="E8F0F8"/>
          </w:tcPr>
          <w:p>
            <w:r>
              <w:rPr>
                <w:sz w:val="18"/>
              </w:rPr>
              <w:t>Vaste lasten</w:t>
            </w:r>
          </w:p>
        </w:tc>
        <w:tc>
          <w:tcPr>
            <w:tcW w:type="dxa" w:w="2351"/>
            <w:shd w:fill="E8F0F8"/>
          </w:tcPr>
          <w:p>
            <w:r>
              <w:rPr>
                <w:sz w:val="18"/>
              </w:rPr>
              <w:t>-€14.340</w:t>
            </w:r>
          </w:p>
        </w:tc>
        <w:tc>
          <w:tcPr>
            <w:tcW w:type="dxa" w:w="2351"/>
            <w:shd w:fill="E8F0F8"/>
          </w:tcPr>
          <w:p>
            <w:r>
              <w:rPr>
                <w:sz w:val="18"/>
              </w:rPr>
              <w:t>-€14.890</w:t>
            </w:r>
          </w:p>
        </w:tc>
        <w:tc>
          <w:tcPr>
            <w:tcW w:type="dxa" w:w="2351"/>
            <w:shd w:fill="E8F0F8"/>
          </w:tcPr>
          <w:p>
            <w:r>
              <w:rPr>
                <w:sz w:val="18"/>
              </w:rPr>
              <w:t>-€15.350</w:t>
            </w:r>
          </w:p>
        </w:tc>
      </w:tr>
      <w:tr>
        <w:tc>
          <w:tcPr>
            <w:tcW w:type="dxa" w:w="2351"/>
          </w:tcPr>
          <w:p>
            <w:r>
              <w:rPr>
                <w:sz w:val="18"/>
              </w:rPr>
              <w:t>Variabele kosten</w:t>
            </w:r>
          </w:p>
        </w:tc>
        <w:tc>
          <w:tcPr>
            <w:tcW w:type="dxa" w:w="2351"/>
          </w:tcPr>
          <w:p>
            <w:r>
              <w:rPr>
                <w:sz w:val="18"/>
              </w:rPr>
              <w:t>-€6.000</w:t>
            </w:r>
          </w:p>
        </w:tc>
        <w:tc>
          <w:tcPr>
            <w:tcW w:type="dxa" w:w="2351"/>
          </w:tcPr>
          <w:p>
            <w:r>
              <w:rPr>
                <w:sz w:val="18"/>
              </w:rPr>
              <w:t>-€6.500</w:t>
            </w:r>
          </w:p>
        </w:tc>
        <w:tc>
          <w:tcPr>
            <w:tcW w:type="dxa" w:w="2351"/>
          </w:tcPr>
          <w:p>
            <w:r>
              <w:rPr>
                <w:sz w:val="18"/>
              </w:rPr>
              <w:t>-€7.000</w:t>
            </w:r>
          </w:p>
        </w:tc>
      </w:tr>
      <w:tr>
        <w:tc>
          <w:tcPr>
            <w:tcW w:type="dxa" w:w="2351"/>
            <w:shd w:fill="E8F0F8"/>
          </w:tcPr>
          <w:p>
            <w:r>
              <w:rPr>
                <w:sz w:val="18"/>
              </w:rPr>
              <w:t>Startup (eenmalig)</w:t>
            </w:r>
          </w:p>
        </w:tc>
        <w:tc>
          <w:tcPr>
            <w:tcW w:type="dxa" w:w="2351"/>
            <w:shd w:fill="E8F0F8"/>
          </w:tcPr>
          <w:p>
            <w:r>
              <w:rPr>
                <w:sz w:val="18"/>
              </w:rPr>
              <w:t>-€11.325</w:t>
            </w:r>
          </w:p>
        </w:tc>
        <w:tc>
          <w:tcPr>
            <w:tcW w:type="dxa" w:w="2351"/>
            <w:shd w:fill="E8F0F8"/>
          </w:tcPr>
          <w:p>
            <w:r>
              <w:rPr>
                <w:sz w:val="18"/>
              </w:rPr>
              <w:t>—</w:t>
            </w:r>
          </w:p>
        </w:tc>
        <w:tc>
          <w:tcPr>
            <w:tcW w:type="dxa" w:w="2351"/>
            <w:shd w:fill="E8F0F8"/>
          </w:tcPr>
          <w:p>
            <w:r>
              <w:rPr>
                <w:sz w:val="18"/>
              </w:rPr>
              <w:t>—</w:t>
            </w:r>
          </w:p>
        </w:tc>
      </w:tr>
      <w:tr>
        <w:tc>
          <w:tcPr>
            <w:tcW w:type="dxa" w:w="2351"/>
          </w:tcPr>
          <w:p>
            <w:r>
              <w:rPr>
                <w:sz w:val="18"/>
              </w:rPr>
              <w:t>Brutowinst</w:t>
            </w:r>
          </w:p>
        </w:tc>
        <w:tc>
          <w:tcPr>
            <w:tcW w:type="dxa" w:w="2351"/>
          </w:tcPr>
          <w:p>
            <w:r>
              <w:rPr>
                <w:sz w:val="18"/>
              </w:rPr>
              <w:t>€94.335</w:t>
            </w:r>
          </w:p>
        </w:tc>
        <w:tc>
          <w:tcPr>
            <w:tcW w:type="dxa" w:w="2351"/>
          </w:tcPr>
          <w:p>
            <w:r>
              <w:rPr>
                <w:sz w:val="18"/>
              </w:rPr>
              <w:t>€148.610</w:t>
            </w:r>
          </w:p>
        </w:tc>
        <w:tc>
          <w:tcPr>
            <w:tcW w:type="dxa" w:w="2351"/>
          </w:tcPr>
          <w:p>
            <w:r>
              <w:rPr>
                <w:sz w:val="18"/>
              </w:rPr>
              <w:t>€197.650</w:t>
            </w:r>
          </w:p>
        </w:tc>
      </w:tr>
      <w:tr>
        <w:tc>
          <w:tcPr>
            <w:tcW w:type="dxa" w:w="2351"/>
            <w:shd w:fill="E8F0F8"/>
          </w:tcPr>
          <w:p>
            <w:r>
              <w:rPr>
                <w:sz w:val="18"/>
              </w:rPr>
              <w:t>IB (indicatief)</w:t>
            </w:r>
          </w:p>
        </w:tc>
        <w:tc>
          <w:tcPr>
            <w:tcW w:type="dxa" w:w="2351"/>
            <w:shd w:fill="E8F0F8"/>
          </w:tcPr>
          <w:p>
            <w:r>
              <w:rPr>
                <w:sz w:val="18"/>
              </w:rPr>
              <w:t>-€21.960</w:t>
            </w:r>
          </w:p>
        </w:tc>
        <w:tc>
          <w:tcPr>
            <w:tcW w:type="dxa" w:w="2351"/>
            <w:shd w:fill="E8F0F8"/>
          </w:tcPr>
          <w:p>
            <w:r>
              <w:rPr>
                <w:sz w:val="18"/>
              </w:rPr>
              <w:t>-€40.840</w:t>
            </w:r>
          </w:p>
        </w:tc>
        <w:tc>
          <w:tcPr>
            <w:tcW w:type="dxa" w:w="2351"/>
            <w:shd w:fill="E8F0F8"/>
          </w:tcPr>
          <w:p>
            <w:r>
              <w:rPr>
                <w:sz w:val="18"/>
              </w:rPr>
              <w:t>-€56.930</w:t>
            </w:r>
          </w:p>
        </w:tc>
      </w:tr>
      <w:tr>
        <w:tc>
          <w:tcPr>
            <w:tcW w:type="dxa" w:w="2351"/>
          </w:tcPr>
          <w:p>
            <w:r>
              <w:rPr>
                <w:sz w:val="18"/>
              </w:rPr>
              <w:t>Nettowinst</w:t>
            </w:r>
          </w:p>
        </w:tc>
        <w:tc>
          <w:tcPr>
            <w:tcW w:type="dxa" w:w="2351"/>
          </w:tcPr>
          <w:p>
            <w:r>
              <w:rPr>
                <w:sz w:val="18"/>
              </w:rPr>
              <w:t>€72.375</w:t>
            </w:r>
          </w:p>
        </w:tc>
        <w:tc>
          <w:tcPr>
            <w:tcW w:type="dxa" w:w="2351"/>
          </w:tcPr>
          <w:p>
            <w:r>
              <w:rPr>
                <w:sz w:val="18"/>
              </w:rPr>
              <w:t>€107.770</w:t>
            </w:r>
          </w:p>
        </w:tc>
        <w:tc>
          <w:tcPr>
            <w:tcW w:type="dxa" w:w="2351"/>
          </w:tcPr>
          <w:p>
            <w:r>
              <w:rPr>
                <w:sz w:val="18"/>
              </w:rPr>
              <w:t>€140.720</w:t>
            </w:r>
          </w:p>
        </w:tc>
      </w:tr>
      <w:tr>
        <w:tc>
          <w:tcPr>
            <w:tcW w:type="dxa" w:w="2351"/>
            <w:shd w:fill="E8F0F8"/>
          </w:tcPr>
          <w:p>
            <w:r>
              <w:rPr>
                <w:sz w:val="18"/>
              </w:rPr>
              <w:t>Operationele marge</w:t>
            </w:r>
          </w:p>
        </w:tc>
        <w:tc>
          <w:tcPr>
            <w:tcW w:type="dxa" w:w="2351"/>
            <w:shd w:fill="E8F0F8"/>
          </w:tcPr>
          <w:p>
            <w:r>
              <w:rPr>
                <w:sz w:val="18"/>
              </w:rPr>
              <w:t>57,4%</w:t>
            </w:r>
          </w:p>
        </w:tc>
        <w:tc>
          <w:tcPr>
            <w:tcW w:type="dxa" w:w="2351"/>
            <w:shd w:fill="E8F0F8"/>
          </w:tcPr>
          <w:p>
            <w:r>
              <w:rPr>
                <w:sz w:val="18"/>
              </w:rPr>
              <w:t>63,4%</w:t>
            </w:r>
          </w:p>
        </w:tc>
        <w:tc>
          <w:tcPr>
            <w:tcW w:type="dxa" w:w="2351"/>
            <w:shd w:fill="E8F0F8"/>
          </w:tcPr>
          <w:p>
            <w:r>
              <w:rPr>
                <w:sz w:val="18"/>
              </w:rPr>
              <w:t>64,0%</w:t>
            </w:r>
          </w:p>
        </w:tc>
      </w:tr>
    </w:tbl>
    <w:p>
      <w:pPr>
        <w:pStyle w:val="Heading2"/>
      </w:pPr>
      <w:r>
        <w:t>Cashflow Jaar 1 (Per Kwartaal)</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568"/>
            <w:shd w:fill="003366"/>
          </w:tcPr>
          <w:p>
            <w:pPr>
              <w:jc w:val="center"/>
            </w:pPr>
            <w:r>
              <w:rPr>
                <w:b/>
                <w:color w:val="FFFFFF"/>
                <w:sz w:val="18"/>
              </w:rPr>
              <w:t>Post</w:t>
            </w:r>
          </w:p>
        </w:tc>
        <w:tc>
          <w:tcPr>
            <w:tcW w:type="dxa" w:w="1568"/>
            <w:shd w:fill="003366"/>
          </w:tcPr>
          <w:p>
            <w:pPr>
              <w:jc w:val="center"/>
            </w:pPr>
            <w:r>
              <w:rPr>
                <w:b/>
                <w:color w:val="FFFFFF"/>
                <w:sz w:val="18"/>
              </w:rPr>
              <w:t>Q1</w:t>
            </w:r>
          </w:p>
        </w:tc>
        <w:tc>
          <w:tcPr>
            <w:tcW w:type="dxa" w:w="1568"/>
            <w:shd w:fill="003366"/>
          </w:tcPr>
          <w:p>
            <w:pPr>
              <w:jc w:val="center"/>
            </w:pPr>
            <w:r>
              <w:rPr>
                <w:b/>
                <w:color w:val="FFFFFF"/>
                <w:sz w:val="18"/>
              </w:rPr>
              <w:t>Q2</w:t>
            </w:r>
          </w:p>
        </w:tc>
        <w:tc>
          <w:tcPr>
            <w:tcW w:type="dxa" w:w="1568"/>
            <w:shd w:fill="003366"/>
          </w:tcPr>
          <w:p>
            <w:pPr>
              <w:jc w:val="center"/>
            </w:pPr>
            <w:r>
              <w:rPr>
                <w:b/>
                <w:color w:val="FFFFFF"/>
                <w:sz w:val="18"/>
              </w:rPr>
              <w:t>Q3</w:t>
            </w:r>
          </w:p>
        </w:tc>
        <w:tc>
          <w:tcPr>
            <w:tcW w:type="dxa" w:w="1568"/>
            <w:shd w:fill="003366"/>
          </w:tcPr>
          <w:p>
            <w:pPr>
              <w:jc w:val="center"/>
            </w:pPr>
            <w:r>
              <w:rPr>
                <w:b/>
                <w:color w:val="FFFFFF"/>
                <w:sz w:val="18"/>
              </w:rPr>
              <w:t>Q4</w:t>
            </w:r>
          </w:p>
        </w:tc>
        <w:tc>
          <w:tcPr>
            <w:tcW w:type="dxa" w:w="1568"/>
            <w:shd w:fill="003366"/>
          </w:tcPr>
          <w:p>
            <w:pPr>
              <w:jc w:val="center"/>
            </w:pPr>
            <w:r>
              <w:rPr>
                <w:b/>
                <w:color w:val="FFFFFF"/>
                <w:sz w:val="18"/>
              </w:rPr>
              <w:t>Totaal</w:t>
            </w:r>
          </w:p>
        </w:tc>
      </w:tr>
      <w:tr>
        <w:tc>
          <w:tcPr>
            <w:tcW w:type="dxa" w:w="1568"/>
          </w:tcPr>
          <w:p>
            <w:r>
              <w:rPr>
                <w:sz w:val="18"/>
              </w:rPr>
              <w:t>Inkomsten</w:t>
            </w:r>
          </w:p>
        </w:tc>
        <w:tc>
          <w:tcPr>
            <w:tcW w:type="dxa" w:w="1568"/>
          </w:tcPr>
          <w:p>
            <w:r>
              <w:rPr>
                <w:sz w:val="18"/>
              </w:rPr>
              <w:t>€15.750</w:t>
            </w:r>
          </w:p>
        </w:tc>
        <w:tc>
          <w:tcPr>
            <w:tcW w:type="dxa" w:w="1568"/>
          </w:tcPr>
          <w:p>
            <w:r>
              <w:rPr>
                <w:sz w:val="18"/>
              </w:rPr>
              <w:t>€31.500</w:t>
            </w:r>
          </w:p>
        </w:tc>
        <w:tc>
          <w:tcPr>
            <w:tcW w:type="dxa" w:w="1568"/>
          </w:tcPr>
          <w:p>
            <w:r>
              <w:rPr>
                <w:sz w:val="18"/>
              </w:rPr>
              <w:t>€31.500</w:t>
            </w:r>
          </w:p>
        </w:tc>
        <w:tc>
          <w:tcPr>
            <w:tcW w:type="dxa" w:w="1568"/>
          </w:tcPr>
          <w:p>
            <w:r>
              <w:rPr>
                <w:sz w:val="18"/>
              </w:rPr>
              <w:t>€47.250</w:t>
            </w:r>
          </w:p>
        </w:tc>
        <w:tc>
          <w:tcPr>
            <w:tcW w:type="dxa" w:w="1568"/>
          </w:tcPr>
          <w:p>
            <w:r>
              <w:rPr>
                <w:sz w:val="18"/>
              </w:rPr>
              <w:t>€126.000</w:t>
            </w:r>
          </w:p>
        </w:tc>
      </w:tr>
      <w:tr>
        <w:tc>
          <w:tcPr>
            <w:tcW w:type="dxa" w:w="1568"/>
            <w:shd w:fill="E8F0F8"/>
          </w:tcPr>
          <w:p>
            <w:r>
              <w:rPr>
                <w:sz w:val="18"/>
              </w:rPr>
              <w:t>Uitgaven</w:t>
            </w:r>
          </w:p>
        </w:tc>
        <w:tc>
          <w:tcPr>
            <w:tcW w:type="dxa" w:w="1568"/>
            <w:shd w:fill="E8F0F8"/>
          </w:tcPr>
          <w:p>
            <w:r>
              <w:rPr>
                <w:sz w:val="18"/>
              </w:rPr>
              <w:t>-€16.410</w:t>
            </w:r>
          </w:p>
        </w:tc>
        <w:tc>
          <w:tcPr>
            <w:tcW w:type="dxa" w:w="1568"/>
            <w:shd w:fill="E8F0F8"/>
          </w:tcPr>
          <w:p>
            <w:r>
              <w:rPr>
                <w:sz w:val="18"/>
              </w:rPr>
              <w:t>-€5.085</w:t>
            </w:r>
          </w:p>
        </w:tc>
        <w:tc>
          <w:tcPr>
            <w:tcW w:type="dxa" w:w="1568"/>
            <w:shd w:fill="E8F0F8"/>
          </w:tcPr>
          <w:p>
            <w:r>
              <w:rPr>
                <w:sz w:val="18"/>
              </w:rPr>
              <w:t>-€5.085</w:t>
            </w:r>
          </w:p>
        </w:tc>
        <w:tc>
          <w:tcPr>
            <w:tcW w:type="dxa" w:w="1568"/>
            <w:shd w:fill="E8F0F8"/>
          </w:tcPr>
          <w:p>
            <w:r>
              <w:rPr>
                <w:sz w:val="18"/>
              </w:rPr>
              <w:t>-€5.085</w:t>
            </w:r>
          </w:p>
        </w:tc>
        <w:tc>
          <w:tcPr>
            <w:tcW w:type="dxa" w:w="1568"/>
            <w:shd w:fill="E8F0F8"/>
          </w:tcPr>
          <w:p>
            <w:r>
              <w:rPr>
                <w:sz w:val="18"/>
              </w:rPr>
              <w:t>-€31.665</w:t>
            </w:r>
          </w:p>
        </w:tc>
      </w:tr>
      <w:tr>
        <w:tc>
          <w:tcPr>
            <w:tcW w:type="dxa" w:w="1568"/>
          </w:tcPr>
          <w:p>
            <w:r>
              <w:rPr>
                <w:sz w:val="18"/>
              </w:rPr>
              <w:t>Netto kasstroom</w:t>
            </w:r>
          </w:p>
        </w:tc>
        <w:tc>
          <w:tcPr>
            <w:tcW w:type="dxa" w:w="1568"/>
          </w:tcPr>
          <w:p>
            <w:r>
              <w:rPr>
                <w:sz w:val="18"/>
              </w:rPr>
              <w:t>-€1.160</w:t>
            </w:r>
          </w:p>
        </w:tc>
        <w:tc>
          <w:tcPr>
            <w:tcW w:type="dxa" w:w="1568"/>
          </w:tcPr>
          <w:p>
            <w:r>
              <w:rPr>
                <w:sz w:val="18"/>
              </w:rPr>
              <w:t>€27.165</w:t>
            </w:r>
          </w:p>
        </w:tc>
        <w:tc>
          <w:tcPr>
            <w:tcW w:type="dxa" w:w="1568"/>
          </w:tcPr>
          <w:p>
            <w:r>
              <w:rPr>
                <w:sz w:val="18"/>
              </w:rPr>
              <w:t>€27.165</w:t>
            </w:r>
          </w:p>
        </w:tc>
        <w:tc>
          <w:tcPr>
            <w:tcW w:type="dxa" w:w="1568"/>
          </w:tcPr>
          <w:p>
            <w:r>
              <w:rPr>
                <w:sz w:val="18"/>
              </w:rPr>
              <w:t>€43.165</w:t>
            </w:r>
          </w:p>
        </w:tc>
        <w:tc>
          <w:tcPr>
            <w:tcW w:type="dxa" w:w="1568"/>
          </w:tcPr>
          <w:p>
            <w:r>
              <w:rPr>
                <w:sz w:val="18"/>
              </w:rPr>
              <w:t>€96.335</w:t>
            </w:r>
          </w:p>
        </w:tc>
      </w:tr>
      <w:tr>
        <w:tc>
          <w:tcPr>
            <w:tcW w:type="dxa" w:w="1568"/>
            <w:shd w:fill="E8F0F8"/>
          </w:tcPr>
          <w:p>
            <w:r>
              <w:rPr>
                <w:sz w:val="18"/>
              </w:rPr>
              <w:t>Cumulatief</w:t>
            </w:r>
          </w:p>
        </w:tc>
        <w:tc>
          <w:tcPr>
            <w:tcW w:type="dxa" w:w="1568"/>
            <w:shd w:fill="E8F0F8"/>
          </w:tcPr>
          <w:p>
            <w:r>
              <w:rPr>
                <w:sz w:val="18"/>
              </w:rPr>
              <w:t>-€1.160</w:t>
            </w:r>
          </w:p>
        </w:tc>
        <w:tc>
          <w:tcPr>
            <w:tcW w:type="dxa" w:w="1568"/>
            <w:shd w:fill="E8F0F8"/>
          </w:tcPr>
          <w:p>
            <w:r>
              <w:rPr>
                <w:sz w:val="18"/>
              </w:rPr>
              <w:t>€26.005</w:t>
            </w:r>
          </w:p>
        </w:tc>
        <w:tc>
          <w:tcPr>
            <w:tcW w:type="dxa" w:w="1568"/>
            <w:shd w:fill="E8F0F8"/>
          </w:tcPr>
          <w:p>
            <w:r>
              <w:rPr>
                <w:sz w:val="18"/>
              </w:rPr>
              <w:t>€53.170</w:t>
            </w:r>
          </w:p>
        </w:tc>
        <w:tc>
          <w:tcPr>
            <w:tcW w:type="dxa" w:w="1568"/>
            <w:shd w:fill="E8F0F8"/>
          </w:tcPr>
          <w:p>
            <w:r>
              <w:rPr>
                <w:sz w:val="18"/>
              </w:rPr>
              <w:t>€96.335</w:t>
            </w:r>
          </w:p>
        </w:tc>
        <w:tc>
          <w:tcPr>
            <w:tcW w:type="dxa" w:w="1568"/>
            <w:shd w:fill="E8F0F8"/>
          </w:tcPr>
          <w:p>
            <w:r>
              <w:rPr>
                <w:sz w:val="18"/>
              </w:rPr>
            </w:r>
          </w:p>
        </w:tc>
      </w:tr>
    </w:tbl>
    <w:p/>
    <w:p>
      <w:pPr>
        <w:pStyle w:val="Heading2"/>
      </w:pPr>
      <w:r>
        <w:t>Break-even Analyse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pPr>
              <w:jc w:val="center"/>
            </w:pPr>
            <w:r>
              <w:rPr>
                <w:b/>
                <w:color w:val="FFFFFF"/>
                <w:sz w:val="18"/>
              </w:rPr>
              <w:t>Parameter</w:t>
            </w:r>
          </w:p>
        </w:tc>
        <w:tc>
          <w:tcPr>
            <w:tcW w:type="dxa" w:w="4703"/>
            <w:shd w:fill="003366"/>
          </w:tcPr>
          <w:p>
            <w:pPr>
              <w:jc w:val="center"/>
            </w:pPr>
            <w:r>
              <w:rPr>
                <w:b/>
                <w:color w:val="FFFFFF"/>
                <w:sz w:val="18"/>
              </w:rPr>
              <w:t>Waarde</w:t>
            </w:r>
          </w:p>
        </w:tc>
      </w:tr>
      <w:tr>
        <w:tc>
          <w:tcPr>
            <w:tcW w:type="dxa" w:w="4703"/>
          </w:tcPr>
          <w:p>
            <w:r>
              <w:rPr>
                <w:sz w:val="18"/>
              </w:rPr>
              <w:t>Maandelijkse vaste lasten</w:t>
            </w:r>
          </w:p>
        </w:tc>
        <w:tc>
          <w:tcPr>
            <w:tcW w:type="dxa" w:w="4703"/>
          </w:tcPr>
          <w:p>
            <w:r>
              <w:rPr>
                <w:sz w:val="18"/>
              </w:rPr>
              <w:t>€1.195</w:t>
            </w:r>
          </w:p>
        </w:tc>
      </w:tr>
      <w:tr>
        <w:tc>
          <w:tcPr>
            <w:tcW w:type="dxa" w:w="4703"/>
            <w:shd w:fill="E8F0F8"/>
          </w:tcPr>
          <w:p>
            <w:r>
              <w:rPr>
                <w:sz w:val="18"/>
              </w:rPr>
              <w:t>Variabele kosten per fact. dag</w:t>
            </w:r>
          </w:p>
        </w:tc>
        <w:tc>
          <w:tcPr>
            <w:tcW w:type="dxa" w:w="4703"/>
            <w:shd w:fill="E8F0F8"/>
          </w:tcPr>
          <w:p>
            <w:r>
              <w:rPr>
                <w:sz w:val="18"/>
              </w:rPr>
              <w:t>€43</w:t>
            </w:r>
          </w:p>
        </w:tc>
      </w:tr>
      <w:tr>
        <w:tc>
          <w:tcPr>
            <w:tcW w:type="dxa" w:w="4703"/>
          </w:tcPr>
          <w:p>
            <w:r>
              <w:rPr>
                <w:sz w:val="18"/>
              </w:rPr>
              <w:t>Break-even dagen/maand</w:t>
            </w:r>
          </w:p>
        </w:tc>
        <w:tc>
          <w:tcPr>
            <w:tcW w:type="dxa" w:w="4703"/>
          </w:tcPr>
          <w:p>
            <w:r>
              <w:rPr>
                <w:sz w:val="18"/>
              </w:rPr>
              <w:t>1,5 dagen</w:t>
            </w:r>
          </w:p>
        </w:tc>
      </w:tr>
      <w:tr>
        <w:tc>
          <w:tcPr>
            <w:tcW w:type="dxa" w:w="4703"/>
            <w:shd w:fill="E8F0F8"/>
          </w:tcPr>
          <w:p>
            <w:r>
              <w:rPr>
                <w:sz w:val="18"/>
              </w:rPr>
              <w:t>Break-even dagen/jaar</w:t>
            </w:r>
          </w:p>
        </w:tc>
        <w:tc>
          <w:tcPr>
            <w:tcW w:type="dxa" w:w="4703"/>
            <w:shd w:fill="E8F0F8"/>
          </w:tcPr>
          <w:p>
            <w:r>
              <w:rPr>
                <w:sz w:val="18"/>
              </w:rPr>
              <w:t>18 dagen</w:t>
            </w:r>
          </w:p>
        </w:tc>
      </w:tr>
      <w:tr>
        <w:tc>
          <w:tcPr>
            <w:tcW w:type="dxa" w:w="4703"/>
          </w:tcPr>
          <w:p>
            <w:r>
              <w:rPr>
                <w:sz w:val="18"/>
              </w:rPr>
              <w:t>Kasbuffer vereist</w:t>
            </w:r>
          </w:p>
        </w:tc>
        <w:tc>
          <w:tcPr>
            <w:tcW w:type="dxa" w:w="4703"/>
          </w:tcPr>
          <w:p>
            <w:r>
              <w:rPr>
                <w:sz w:val="18"/>
              </w:rPr>
              <w:t>€20.000-€25.000</w:t>
            </w:r>
          </w:p>
        </w:tc>
      </w:tr>
    </w:tbl>
    <w:p>
      <w:pPr>
        <w:pStyle w:val="Heading2"/>
      </w:pPr>
      <w:r>
        <w:t>Fiscale Aftrekposten</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Pr>
                <w:b/>
                <w:color w:val="FFFFFF"/>
                <w:sz w:val="18"/>
              </w:rPr>
              <w:t>Aftrekpost</w:t>
            </w:r>
          </w:p>
        </w:tc>
        <w:tc>
          <w:tcPr>
            <w:tcW w:type="dxa" w:w="3135"/>
            <w:shd w:fill="003366"/>
          </w:tcPr>
          <w:p>
            <w:pPr>
              <w:jc w:val="center"/>
            </w:pPr>
            <w:r>
              <w:rPr>
                <w:b/>
                <w:color w:val="FFFFFF"/>
                <w:sz w:val="18"/>
              </w:rPr>
              <w:t>Bedrag</w:t>
            </w:r>
          </w:p>
        </w:tc>
        <w:tc>
          <w:tcPr>
            <w:tcW w:type="dxa" w:w="3135"/>
            <w:shd w:fill="003366"/>
          </w:tcPr>
          <w:p>
            <w:pPr>
              <w:jc w:val="center"/>
            </w:pPr>
            <w:r>
              <w:rPr>
                <w:b/>
                <w:color w:val="FFFFFF"/>
                <w:sz w:val="18"/>
              </w:rPr>
              <w:t>Periode</w:t>
            </w:r>
          </w:p>
        </w:tc>
      </w:tr>
      <w:tr>
        <w:tc>
          <w:tcPr>
            <w:tcW w:type="dxa" w:w="3135"/>
          </w:tcPr>
          <w:p>
            <w:r>
              <w:rPr>
                <w:sz w:val="18"/>
              </w:rPr>
              <w:t>Zelfstandigenaftrek</w:t>
            </w:r>
          </w:p>
        </w:tc>
        <w:tc>
          <w:tcPr>
            <w:tcW w:type="dxa" w:w="3135"/>
          </w:tcPr>
          <w:p>
            <w:r>
              <w:rPr>
                <w:sz w:val="18"/>
              </w:rPr>
              <w:t>€7.500/jaar</w:t>
            </w:r>
          </w:p>
        </w:tc>
        <w:tc>
          <w:tcPr>
            <w:tcW w:type="dxa" w:w="3135"/>
          </w:tcPr>
          <w:p>
            <w:r>
              <w:rPr>
                <w:sz w:val="18"/>
              </w:rPr>
              <w:t>Elk jaar als ZZP</w:t>
            </w:r>
          </w:p>
        </w:tc>
      </w:tr>
      <w:tr>
        <w:tc>
          <w:tcPr>
            <w:tcW w:type="dxa" w:w="3135"/>
            <w:shd w:fill="E8F0F8"/>
          </w:tcPr>
          <w:p>
            <w:r>
              <w:rPr>
                <w:sz w:val="18"/>
              </w:rPr>
              <w:t>Startersaftrek</w:t>
            </w:r>
          </w:p>
        </w:tc>
        <w:tc>
          <w:tcPr>
            <w:tcW w:type="dxa" w:w="3135"/>
            <w:shd w:fill="E8F0F8"/>
          </w:tcPr>
          <w:p>
            <w:r>
              <w:rPr>
                <w:sz w:val="18"/>
              </w:rPr>
              <w:t>€2.123/jaar</w:t>
            </w:r>
          </w:p>
        </w:tc>
        <w:tc>
          <w:tcPr>
            <w:tcW w:type="dxa" w:w="3135"/>
            <w:shd w:fill="E8F0F8"/>
          </w:tcPr>
          <w:p>
            <w:r>
              <w:rPr>
                <w:sz w:val="18"/>
              </w:rPr>
              <w:t>Jaar 1-3</w:t>
            </w:r>
          </w:p>
        </w:tc>
      </w:tr>
      <w:tr>
        <w:tc>
          <w:tcPr>
            <w:tcW w:type="dxa" w:w="3135"/>
          </w:tcPr>
          <w:p>
            <w:r>
              <w:rPr>
                <w:sz w:val="18"/>
              </w:rPr>
              <w:t>MKB-winstvrijstelling</w:t>
            </w:r>
          </w:p>
        </w:tc>
        <w:tc>
          <w:tcPr>
            <w:tcW w:type="dxa" w:w="3135"/>
          </w:tcPr>
          <w:p>
            <w:r>
              <w:rPr>
                <w:sz w:val="18"/>
              </w:rPr>
              <w:t>19%</w:t>
            </w:r>
          </w:p>
        </w:tc>
        <w:tc>
          <w:tcPr>
            <w:tcW w:type="dxa" w:w="3135"/>
          </w:tcPr>
          <w:p>
            <w:r>
              <w:rPr>
                <w:sz w:val="18"/>
              </w:rPr>
              <w:t>Tot €200K winst</w:t>
            </w:r>
          </w:p>
        </w:tc>
      </w:tr>
      <w:tr>
        <w:tc>
          <w:tcPr>
            <w:tcW w:type="dxa" w:w="3135"/>
            <w:shd w:fill="E8F0F8"/>
          </w:tcPr>
          <w:p>
            <w:r>
              <w:rPr>
                <w:sz w:val="18"/>
              </w:rPr>
              <w:t>Afschrijvingen</w:t>
            </w:r>
          </w:p>
        </w:tc>
        <w:tc>
          <w:tcPr>
            <w:tcW w:type="dxa" w:w="3135"/>
            <w:shd w:fill="E8F0F8"/>
          </w:tcPr>
          <w:p>
            <w:r>
              <w:rPr>
                <w:sz w:val="18"/>
              </w:rPr>
              <w:t>€600/jaar</w:t>
            </w:r>
          </w:p>
        </w:tc>
        <w:tc>
          <w:tcPr>
            <w:tcW w:type="dxa" w:w="3135"/>
            <w:shd w:fill="E8F0F8"/>
          </w:tcPr>
          <w:p>
            <w:r>
              <w:rPr>
                <w:sz w:val="18"/>
              </w:rPr>
              <w:t>Jaar 1-5</w:t>
            </w:r>
          </w:p>
        </w:tc>
      </w:tr>
      <w:tr>
        <w:tc>
          <w:tcPr>
            <w:tcW w:type="dxa" w:w="3135"/>
          </w:tcPr>
          <w:p>
            <w:r>
              <w:rPr>
                <w:sz w:val="18"/>
              </w:rPr>
              <w:t>Thuiskantoor + telecom</w:t>
            </w:r>
          </w:p>
        </w:tc>
        <w:tc>
          <w:tcPr>
            <w:tcW w:type="dxa" w:w="3135"/>
          </w:tcPr>
          <w:p>
            <w:r>
              <w:rPr>
                <w:sz w:val="18"/>
              </w:rPr>
              <w:t>€2.460/jaar</w:t>
            </w:r>
          </w:p>
        </w:tc>
        <w:tc>
          <w:tcPr>
            <w:tcW w:type="dxa" w:w="3135"/>
          </w:tcPr>
          <w:p>
            <w:r>
              <w:rPr>
                <w:sz w:val="18"/>
              </w:rPr>
              <w:t>Elk jaar</w:t>
            </w:r>
          </w:p>
        </w:tc>
      </w:tr>
    </w:tbl>
    <w:p>
      <w:r>
        <w:br w:type="page"/>
      </w:r>
    </w:p>
    <w:p>
      <w:pPr>
        <w:pStyle w:val="Heading1"/>
      </w:pPr>
      <w:r>
        <w:t>7. Operationeel Plan</w:t>
      </w:r>
    </w:p>
    <w:p>
      <w:pPr>
        <w:pStyle w:val="Heading2"/>
      </w:pPr>
      <w:r>
        <w:t>Opstarttijdlijn (Maand 1-12)</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tcPr>
          <w:p>
            <w:pPr>
              <w:jc w:val="center"/>
            </w:pPr>
            <w:r>
              <w:rPr>
                <w:b/>
                <w:color w:val="FFFFFF"/>
                <w:sz w:val="18"/>
              </w:rPr>
              <w:t>Periode</w:t>
            </w:r>
          </w:p>
        </w:tc>
        <w:tc>
          <w:tcPr>
            <w:tcW w:type="dxa" w:w="3135"/>
            <w:shd w:fill="003366"/>
          </w:tcPr>
          <w:p>
            <w:pPr>
              <w:jc w:val="center"/>
            </w:pPr>
            <w:r>
              <w:rPr>
                <w:b/>
                <w:color w:val="FFFFFF"/>
                <w:sz w:val="18"/>
              </w:rPr>
              <w:t>Mijlpaal</w:t>
            </w:r>
          </w:p>
        </w:tc>
        <w:tc>
          <w:tcPr>
            <w:tcW w:type="dxa" w:w="3135"/>
            <w:shd w:fill="003366"/>
          </w:tcPr>
          <w:p>
            <w:pPr>
              <w:jc w:val="center"/>
            </w:pPr>
            <w:r>
              <w:rPr>
                <w:b/>
                <w:color w:val="FFFFFF"/>
                <w:sz w:val="18"/>
              </w:rPr>
              <w:t>Acties</w:t>
            </w:r>
          </w:p>
        </w:tc>
      </w:tr>
      <w:tr>
        <w:tc>
          <w:tcPr>
            <w:tcW w:type="dxa" w:w="3135"/>
          </w:tcPr>
          <w:p>
            <w:r>
              <w:rPr>
                <w:sz w:val="18"/>
              </w:rPr>
              <w:t>Maand 0</w:t>
            </w:r>
          </w:p>
        </w:tc>
        <w:tc>
          <w:tcPr>
            <w:tcW w:type="dxa" w:w="3135"/>
          </w:tcPr>
          <w:p>
            <w:r>
              <w:rPr>
                <w:sz w:val="18"/>
              </w:rPr>
              <w:t>Inschrijving &amp; setup</w:t>
            </w:r>
          </w:p>
        </w:tc>
        <w:tc>
          <w:tcPr>
            <w:tcW w:type="dxa" w:w="3135"/>
          </w:tcPr>
          <w:p>
            <w:r>
              <w:rPr>
                <w:sz w:val="18"/>
              </w:rPr>
              <w:t>KvK, bankrekening, verzekeringen, website</w:t>
            </w:r>
          </w:p>
        </w:tc>
      </w:tr>
      <w:tr>
        <w:tc>
          <w:tcPr>
            <w:tcW w:type="dxa" w:w="3135"/>
            <w:shd w:fill="E8F0F8"/>
          </w:tcPr>
          <w:p>
            <w:r>
              <w:rPr>
                <w:sz w:val="18"/>
              </w:rPr>
              <w:t>Maand 1-3</w:t>
            </w:r>
          </w:p>
        </w:tc>
        <w:tc>
          <w:tcPr>
            <w:tcW w:type="dxa" w:w="3135"/>
            <w:shd w:fill="E8F0F8"/>
          </w:tcPr>
          <w:p>
            <w:r>
              <w:rPr>
                <w:sz w:val="18"/>
              </w:rPr>
              <w:t>Investeringsfase</w:t>
            </w:r>
          </w:p>
        </w:tc>
        <w:tc>
          <w:tcPr>
            <w:tcW w:type="dxa" w:w="3135"/>
            <w:shd w:fill="E8F0F8"/>
          </w:tcPr>
          <w:p>
            <w:r>
              <w:rPr>
                <w:sz w:val="18"/>
              </w:rPr>
              <w:t>Netwerken, certificeringen, eerste leads</w:t>
            </w:r>
          </w:p>
        </w:tc>
      </w:tr>
      <w:tr>
        <w:tc>
          <w:tcPr>
            <w:tcW w:type="dxa" w:w="3135"/>
          </w:tcPr>
          <w:p>
            <w:r>
              <w:rPr>
                <w:sz w:val="18"/>
              </w:rPr>
              <w:t>Maand 4-6</w:t>
            </w:r>
          </w:p>
        </w:tc>
        <w:tc>
          <w:tcPr>
            <w:tcW w:type="dxa" w:w="3135"/>
          </w:tcPr>
          <w:p>
            <w:r>
              <w:rPr>
                <w:sz w:val="18"/>
              </w:rPr>
              <w:t>Eerste omzet</w:t>
            </w:r>
          </w:p>
        </w:tc>
        <w:tc>
          <w:tcPr>
            <w:tcW w:type="dxa" w:w="3135"/>
          </w:tcPr>
          <w:p>
            <w:r>
              <w:rPr>
                <w:sz w:val="18"/>
              </w:rPr>
              <w:t>1-2 interim-contracten, eerste facturen</w:t>
            </w:r>
          </w:p>
        </w:tc>
      </w:tr>
      <w:tr>
        <w:tc>
          <w:tcPr>
            <w:tcW w:type="dxa" w:w="3135"/>
            <w:shd w:fill="E8F0F8"/>
          </w:tcPr>
          <w:p>
            <w:r>
              <w:rPr>
                <w:sz w:val="18"/>
              </w:rPr>
              <w:t>Maand 7-12</w:t>
            </w:r>
          </w:p>
        </w:tc>
        <w:tc>
          <w:tcPr>
            <w:tcW w:type="dxa" w:w="3135"/>
            <w:shd w:fill="E8F0F8"/>
          </w:tcPr>
          <w:p>
            <w:r>
              <w:rPr>
                <w:sz w:val="18"/>
              </w:rPr>
              <w:t>Break-even</w:t>
            </w:r>
          </w:p>
        </w:tc>
        <w:tc>
          <w:tcPr>
            <w:tcW w:type="dxa" w:w="3135"/>
            <w:shd w:fill="E8F0F8"/>
          </w:tcPr>
          <w:p>
            <w:r>
              <w:rPr>
                <w:sz w:val="18"/>
              </w:rPr>
              <w:t>Stabiele facturatie, 120-150 dagen/jaar</w:t>
            </w:r>
          </w:p>
        </w:tc>
      </w:tr>
    </w:tbl>
    <w:p>
      <w:pPr>
        <w:pStyle w:val="Heading2"/>
      </w:pPr>
      <w:r>
        <w:t>Certificeringen Roadmap</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t>Certificering</w:t>
            </w:r>
          </w:p>
        </w:tc>
        <w:tc>
          <w:tcPr>
            <w:tcW w:type="dxa" w:w="2351"/>
            <w:shd w:fill="003366"/>
          </w:tcPr>
          <w:p>
            <w:pPr>
              <w:jc w:val="center"/>
            </w:pPr>
            <w:r>
              <w:rPr>
                <w:b/>
                <w:color w:val="FFFFFF"/>
                <w:sz w:val="18"/>
              </w:rPr>
              <w:t>Investering</w:t>
            </w:r>
          </w:p>
        </w:tc>
        <w:tc>
          <w:tcPr>
            <w:tcW w:type="dxa" w:w="2351"/>
            <w:shd w:fill="003366"/>
          </w:tcPr>
          <w:p>
            <w:pPr>
              <w:jc w:val="center"/>
            </w:pPr>
            <w:r>
              <w:rPr>
                <w:b/>
                <w:color w:val="FFFFFF"/>
                <w:sz w:val="18"/>
              </w:rPr>
              <w:t>Status</w:t>
            </w:r>
          </w:p>
        </w:tc>
        <w:tc>
          <w:tcPr>
            <w:tcW w:type="dxa" w:w="2351"/>
            <w:shd w:fill="003366"/>
          </w:tcPr>
          <w:p>
            <w:pPr>
              <w:jc w:val="center"/>
            </w:pPr>
            <w:r>
              <w:rPr>
                <w:b/>
                <w:color w:val="FFFFFF"/>
                <w:sz w:val="18"/>
              </w:rPr>
              <w:t>Prioriteit</w:t>
            </w:r>
          </w:p>
        </w:tc>
      </w:tr>
      <w:tr>
        <w:tc>
          <w:tcPr>
            <w:tcW w:type="dxa" w:w="2351"/>
          </w:tcPr>
          <w:p>
            <w:r>
              <w:rPr>
                <w:sz w:val="18"/>
              </w:rPr>
              <w:t>MVK</w:t>
            </w:r>
          </w:p>
        </w:tc>
        <w:tc>
          <w:tcPr>
            <w:tcW w:type="dxa" w:w="2351"/>
          </w:tcPr>
          <w:p>
            <w:r>
              <w:rPr>
                <w:sz w:val="18"/>
              </w:rPr>
              <w:t>~€3.500</w:t>
            </w:r>
          </w:p>
        </w:tc>
        <w:tc>
          <w:tcPr>
            <w:tcW w:type="dxa" w:w="2351"/>
          </w:tcPr>
          <w:p>
            <w:r>
              <w:rPr>
                <w:sz w:val="18"/>
              </w:rPr>
              <w:t>Te verifiëren</w:t>
            </w:r>
          </w:p>
        </w:tc>
        <w:tc>
          <w:tcPr>
            <w:tcW w:type="dxa" w:w="2351"/>
          </w:tcPr>
          <w:p>
            <w:r>
              <w:rPr>
                <w:sz w:val="18"/>
              </w:rPr>
              <w:t>Verplicht</w:t>
            </w:r>
          </w:p>
        </w:tc>
      </w:tr>
      <w:tr>
        <w:tc>
          <w:tcPr>
            <w:tcW w:type="dxa" w:w="2351"/>
            <w:shd w:fill="E8F0F8"/>
          </w:tcPr>
          <w:p>
            <w:r>
              <w:rPr>
                <w:sz w:val="18"/>
              </w:rPr>
              <w:t>HVK</w:t>
            </w:r>
          </w:p>
        </w:tc>
        <w:tc>
          <w:tcPr>
            <w:tcW w:type="dxa" w:w="2351"/>
            <w:shd w:fill="E8F0F8"/>
          </w:tcPr>
          <w:p>
            <w:r>
              <w:rPr>
                <w:sz w:val="18"/>
              </w:rPr>
              <w:t>~€4.000</w:t>
            </w:r>
          </w:p>
        </w:tc>
        <w:tc>
          <w:tcPr>
            <w:tcW w:type="dxa" w:w="2351"/>
            <w:shd w:fill="E8F0F8"/>
          </w:tcPr>
          <w:p>
            <w:r>
              <w:rPr>
                <w:sz w:val="18"/>
              </w:rPr>
              <w:t>Te verifiëren</w:t>
            </w:r>
          </w:p>
        </w:tc>
        <w:tc>
          <w:tcPr>
            <w:tcW w:type="dxa" w:w="2351"/>
            <w:shd w:fill="E8F0F8"/>
          </w:tcPr>
          <w:p>
            <w:r>
              <w:rPr>
                <w:sz w:val="18"/>
              </w:rPr>
              <w:t>Verplicht</w:t>
            </w:r>
          </w:p>
        </w:tc>
      </w:tr>
      <w:tr>
        <w:tc>
          <w:tcPr>
            <w:tcW w:type="dxa" w:w="2351"/>
          </w:tcPr>
          <w:p>
            <w:r>
              <w:rPr>
                <w:sz w:val="18"/>
              </w:rPr>
              <w:t>VCA-VOL</w:t>
            </w:r>
          </w:p>
        </w:tc>
        <w:tc>
          <w:tcPr>
            <w:tcW w:type="dxa" w:w="2351"/>
          </w:tcPr>
          <w:p>
            <w:r>
              <w:rPr>
                <w:sz w:val="18"/>
              </w:rPr>
              <w:t>~€500</w:t>
            </w:r>
          </w:p>
        </w:tc>
        <w:tc>
          <w:tcPr>
            <w:tcW w:type="dxa" w:w="2351"/>
          </w:tcPr>
          <w:p>
            <w:r>
              <w:rPr>
                <w:sz w:val="18"/>
              </w:rPr>
              <w:t>Te verifiëren</w:t>
            </w:r>
          </w:p>
        </w:tc>
        <w:tc>
          <w:tcPr>
            <w:tcW w:type="dxa" w:w="2351"/>
          </w:tcPr>
          <w:p>
            <w:r>
              <w:rPr>
                <w:sz w:val="18"/>
              </w:rPr>
              <w:t>Verplicht</w:t>
            </w:r>
          </w:p>
        </w:tc>
      </w:tr>
      <w:tr>
        <w:tc>
          <w:tcPr>
            <w:tcW w:type="dxa" w:w="2351"/>
            <w:shd w:fill="E8F0F8"/>
          </w:tcPr>
          <w:p>
            <w:r>
              <w:rPr>
                <w:sz w:val="18"/>
              </w:rPr>
              <w:t>ISO 45001 Lead Auditor</w:t>
            </w:r>
          </w:p>
        </w:tc>
        <w:tc>
          <w:tcPr>
            <w:tcW w:type="dxa" w:w="2351"/>
            <w:shd w:fill="E8F0F8"/>
          </w:tcPr>
          <w:p>
            <w:r>
              <w:rPr>
                <w:sz w:val="18"/>
              </w:rPr>
              <w:t>~€2.500</w:t>
            </w:r>
          </w:p>
        </w:tc>
        <w:tc>
          <w:tcPr>
            <w:tcW w:type="dxa" w:w="2351"/>
            <w:shd w:fill="E8F0F8"/>
          </w:tcPr>
          <w:p>
            <w:r>
              <w:rPr>
                <w:sz w:val="18"/>
              </w:rPr>
              <w:t>Aanbevolen</w:t>
            </w:r>
          </w:p>
        </w:tc>
        <w:tc>
          <w:tcPr>
            <w:tcW w:type="dxa" w:w="2351"/>
            <w:shd w:fill="E8F0F8"/>
          </w:tcPr>
          <w:p>
            <w:r>
              <w:rPr>
                <w:sz w:val="18"/>
              </w:rPr>
              <w:t>Hoog</w:t>
            </w:r>
          </w:p>
        </w:tc>
      </w:tr>
      <w:tr>
        <w:tc>
          <w:tcPr>
            <w:tcW w:type="dxa" w:w="2351"/>
          </w:tcPr>
          <w:p>
            <w:r>
              <w:rPr>
                <w:sz w:val="18"/>
              </w:rPr>
              <w:t>Asbestdeskundige (SC-540)</w:t>
            </w:r>
          </w:p>
        </w:tc>
        <w:tc>
          <w:tcPr>
            <w:tcW w:type="dxa" w:w="2351"/>
          </w:tcPr>
          <w:p>
            <w:r>
              <w:rPr>
                <w:sz w:val="18"/>
              </w:rPr>
              <w:t>~€5.000</w:t>
            </w:r>
          </w:p>
        </w:tc>
        <w:tc>
          <w:tcPr>
            <w:tcW w:type="dxa" w:w="2351"/>
          </w:tcPr>
          <w:p>
            <w:r>
              <w:rPr>
                <w:sz w:val="18"/>
              </w:rPr>
              <w:t>Niche-voordeel</w:t>
            </w:r>
          </w:p>
        </w:tc>
        <w:tc>
          <w:tcPr>
            <w:tcW w:type="dxa" w:w="2351"/>
          </w:tcPr>
          <w:p>
            <w:r>
              <w:rPr>
                <w:sz w:val="18"/>
              </w:rPr>
              <w:t>Medium</w:t>
            </w:r>
          </w:p>
        </w:tc>
      </w:tr>
    </w:tbl>
    <w:p>
      <w:pPr>
        <w:pStyle w:val="Heading2"/>
      </w:pPr>
      <w:r>
        <w:t>Marketing &amp; Acquisitie</w:t>
      </w:r>
    </w:p>
    <w:p>
      <w:pPr>
        <w:pStyle w:val="ListBullet"/>
      </w:pPr>
      <w:r>
        <w:rPr>
          <w:b/>
          <w:sz w:val="22"/>
        </w:rPr>
        <w:t xml:space="preserve">LinkedIn: </w:t>
      </w:r>
      <w:r>
        <w:t>LinkedIn-profiel optimaliseren met keywords: HSEQ Manager, Chroom-6 Specialist, Asbest Adviseur</w:t>
      </w:r>
    </w:p>
    <w:p>
      <w:pPr>
        <w:pStyle w:val="ListBullet"/>
      </w:pPr>
      <w:r>
        <w:rPr>
          <w:b/>
          <w:sz w:val="22"/>
        </w:rPr>
        <w:t xml:space="preserve">Lions Club Heiloo: </w:t>
      </w:r>
      <w:r>
        <w:t>Direct netwerk van lokale ondernemers en besluitvormers</w:t>
      </w:r>
    </w:p>
    <w:p>
      <w:pPr>
        <w:pStyle w:val="ListBullet"/>
      </w:pPr>
      <w:r>
        <w:rPr>
          <w:b/>
          <w:sz w:val="22"/>
        </w:rPr>
        <w:t xml:space="preserve">Brancheverenigingen: </w:t>
      </w:r>
      <w:r>
        <w:t>KvVL, NVVK — lidmaatschap versterkt geloofwaardigheid</w:t>
      </w:r>
    </w:p>
    <w:p>
      <w:pPr>
        <w:pStyle w:val="ListBullet"/>
      </w:pPr>
      <w:r>
        <w:rPr>
          <w:b/>
          <w:sz w:val="22"/>
        </w:rPr>
        <w:t xml:space="preserve">Platformen: </w:t>
      </w:r>
      <w:r>
        <w:t>Freelance.nl, LinkedIn ProFinder, Transit HSE</w:t>
      </w:r>
    </w:p>
    <w:p>
      <w:pPr>
        <w:pStyle w:val="ListBullet"/>
      </w:pPr>
      <w:r>
        <w:rPr>
          <w:b/>
          <w:sz w:val="22"/>
        </w:rPr>
        <w:t xml:space="preserve">Thought leadership: </w:t>
      </w:r>
      <w:r>
        <w:t>Case-studies en whitepapers over chroom-6, asbest, HSEQ-compliance</w:t>
      </w:r>
    </w:p>
    <w:p>
      <w:pPr>
        <w:pStyle w:val="Heading2"/>
      </w:pPr>
      <w:r>
        <w:t>Regio-fasestrategie</w:t>
      </w:r>
    </w:p>
    <w:p>
      <w:pPr>
        <w:pStyle w:val="ListBullet"/>
      </w:pPr>
      <w:r>
        <w:rPr>
          <w:b/>
          <w:sz w:val="22"/>
        </w:rPr>
        <w:t xml:space="preserve">Fase 1 (0-6 mnd): </w:t>
      </w:r>
      <w:r>
        <w:t>Noord-Holland / Randstad — 60 min. reistijd van Heiloo</w:t>
      </w:r>
    </w:p>
    <w:p>
      <w:pPr>
        <w:pStyle w:val="ListBullet"/>
      </w:pPr>
      <w:r>
        <w:rPr>
          <w:b/>
          <w:sz w:val="22"/>
        </w:rPr>
        <w:t xml:space="preserve">Fase 2 (6-18 mnd): </w:t>
      </w:r>
      <w:r>
        <w:t>Zuid-Holland (Rotterdam haven) + Friesland/Groningen (offshore)</w:t>
      </w:r>
    </w:p>
    <w:p>
      <w:pPr>
        <w:pStyle w:val="ListBullet"/>
      </w:pPr>
      <w:r>
        <w:rPr>
          <w:b/>
          <w:sz w:val="22"/>
        </w:rPr>
        <w:t xml:space="preserve">Fase 3 (18-36 mnd): </w:t>
      </w:r>
      <w:r>
        <w:t>Landelijke dekking, focus op niches</w:t>
      </w:r>
    </w:p>
    <w:p>
      <w:r>
        <w:br w:type="page"/>
      </w:r>
    </w:p>
    <w:p>
      <w:pPr>
        <w:pStyle w:val="Heading1"/>
      </w:pPr>
      <w:r>
        <w:t>8. Risicoanalyse &amp; Mitigatie</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pPr>
              <w:jc w:val="center"/>
            </w:pPr>
            <w:r>
              <w:rPr>
                <w:b/>
                <w:color w:val="FFFFFF"/>
                <w:sz w:val="18"/>
              </w:rPr>
              <w:t>#</w:t>
            </w:r>
          </w:p>
        </w:tc>
        <w:tc>
          <w:tcPr>
            <w:tcW w:type="dxa" w:w="1881"/>
            <w:shd w:fill="003366"/>
          </w:tcPr>
          <w:p>
            <w:pPr>
              <w:jc w:val="center"/>
            </w:pPr>
            <w:r>
              <w:rPr>
                <w:b/>
                <w:color w:val="FFFFFF"/>
                <w:sz w:val="18"/>
              </w:rPr>
              <w:t>Risico</w:t>
            </w:r>
          </w:p>
        </w:tc>
        <w:tc>
          <w:tcPr>
            <w:tcW w:type="dxa" w:w="1881"/>
            <w:shd w:fill="003366"/>
          </w:tcPr>
          <w:p>
            <w:pPr>
              <w:jc w:val="center"/>
            </w:pPr>
            <w:r>
              <w:rPr>
                <w:b/>
                <w:color w:val="FFFFFF"/>
                <w:sz w:val="18"/>
              </w:rPr>
              <w:t>Likelihood</w:t>
            </w:r>
          </w:p>
        </w:tc>
        <w:tc>
          <w:tcPr>
            <w:tcW w:type="dxa" w:w="1881"/>
            <w:shd w:fill="003366"/>
          </w:tcPr>
          <w:p>
            <w:pPr>
              <w:jc w:val="center"/>
            </w:pPr>
            <w:r>
              <w:rPr>
                <w:b/>
                <w:color w:val="FFFFFF"/>
                <w:sz w:val="18"/>
              </w:rPr>
              <w:t>Impact</w:t>
            </w:r>
          </w:p>
        </w:tc>
        <w:tc>
          <w:tcPr>
            <w:tcW w:type="dxa" w:w="1881"/>
            <w:shd w:fill="003366"/>
          </w:tcPr>
          <w:p>
            <w:pPr>
              <w:jc w:val="center"/>
            </w:pPr>
            <w:r>
              <w:rPr>
                <w:b/>
                <w:color w:val="FFFFFF"/>
                <w:sz w:val="18"/>
              </w:rPr>
              <w:t>Mitigatie</w:t>
            </w:r>
          </w:p>
        </w:tc>
      </w:tr>
      <w:tr>
        <w:tc>
          <w:tcPr>
            <w:tcW w:type="dxa" w:w="1881"/>
          </w:tcPr>
          <w:p>
            <w:r>
              <w:rPr>
                <w:sz w:val="18"/>
              </w:rPr>
              <w:t>1</w:t>
            </w:r>
          </w:p>
        </w:tc>
        <w:tc>
          <w:tcPr>
            <w:tcW w:type="dxa" w:w="1881"/>
          </w:tcPr>
          <w:p>
            <w:r>
              <w:rPr>
                <w:sz w:val="18"/>
              </w:rPr>
              <w:t>Onbeperkte aansprakelijkheid (EZ)</w:t>
            </w:r>
          </w:p>
        </w:tc>
        <w:tc>
          <w:tcPr>
            <w:tcW w:type="dxa" w:w="1881"/>
          </w:tcPr>
          <w:p>
            <w:r>
              <w:rPr>
                <w:sz w:val="18"/>
              </w:rPr>
              <w:t>Hoog</w:t>
            </w:r>
          </w:p>
        </w:tc>
        <w:tc>
          <w:tcPr>
            <w:tcW w:type="dxa" w:w="1881"/>
          </w:tcPr>
          <w:p>
            <w:r>
              <w:rPr>
                <w:sz w:val="18"/>
              </w:rPr>
              <w:t>Zeer hoog</w:t>
            </w:r>
          </w:p>
        </w:tc>
        <w:tc>
          <w:tcPr>
            <w:tcW w:type="dxa" w:w="1881"/>
          </w:tcPr>
          <w:p>
            <w:r>
              <w:rPr>
                <w:sz w:val="18"/>
              </w:rPr>
              <w:t>BA-verzekering ≥€1M; BV-conversie na jaar 1</w:t>
            </w:r>
          </w:p>
        </w:tc>
      </w:tr>
      <w:tr>
        <w:tc>
          <w:tcPr>
            <w:tcW w:type="dxa" w:w="1881"/>
            <w:shd w:fill="E8F0F8"/>
          </w:tcPr>
          <w:p>
            <w:r>
              <w:rPr>
                <w:sz w:val="18"/>
              </w:rPr>
              <w:t>2</w:t>
            </w:r>
          </w:p>
        </w:tc>
        <w:tc>
          <w:tcPr>
            <w:tcW w:type="dxa" w:w="1881"/>
            <w:shd w:fill="E8F0F8"/>
          </w:tcPr>
          <w:p>
            <w:r>
              <w:rPr>
                <w:sz w:val="18"/>
              </w:rPr>
              <w:t>Adviesfout / nalatigheid</w:t>
            </w:r>
          </w:p>
        </w:tc>
        <w:tc>
          <w:tcPr>
            <w:tcW w:type="dxa" w:w="1881"/>
            <w:shd w:fill="E8F0F8"/>
          </w:tcPr>
          <w:p>
            <w:r>
              <w:rPr>
                <w:sz w:val="18"/>
              </w:rPr>
              <w:t>Laag</w:t>
            </w:r>
          </w:p>
        </w:tc>
        <w:tc>
          <w:tcPr>
            <w:tcW w:type="dxa" w:w="1881"/>
            <w:shd w:fill="E8F0F8"/>
          </w:tcPr>
          <w:p>
            <w:r>
              <w:rPr>
                <w:sz w:val="18"/>
              </w:rPr>
              <w:t>Zeer hoog</w:t>
            </w:r>
          </w:p>
        </w:tc>
        <w:tc>
          <w:tcPr>
            <w:tcW w:type="dxa" w:w="1881"/>
            <w:shd w:fill="E8F0F8"/>
          </w:tcPr>
          <w:p>
            <w:r>
              <w:rPr>
                <w:sz w:val="18"/>
              </w:rPr>
              <w:t>Duidelijke aansprakelijkheidsbeperking in contracten</w:t>
            </w:r>
          </w:p>
        </w:tc>
      </w:tr>
      <w:tr>
        <w:tc>
          <w:tcPr>
            <w:tcW w:type="dxa" w:w="1881"/>
          </w:tcPr>
          <w:p>
            <w:r>
              <w:rPr>
                <w:sz w:val="18"/>
              </w:rPr>
              <w:t>3</w:t>
            </w:r>
          </w:p>
        </w:tc>
        <w:tc>
          <w:tcPr>
            <w:tcW w:type="dxa" w:w="1881"/>
          </w:tcPr>
          <w:p>
            <w:r>
              <w:rPr>
                <w:sz w:val="18"/>
              </w:rPr>
              <w:t>Seizoensfluctuaties</w:t>
            </w:r>
          </w:p>
        </w:tc>
        <w:tc>
          <w:tcPr>
            <w:tcW w:type="dxa" w:w="1881"/>
          </w:tcPr>
          <w:p>
            <w:r>
              <w:rPr>
                <w:sz w:val="18"/>
              </w:rPr>
              <w:t>Middel</w:t>
            </w:r>
          </w:p>
        </w:tc>
        <w:tc>
          <w:tcPr>
            <w:tcW w:type="dxa" w:w="1881"/>
          </w:tcPr>
          <w:p>
            <w:r>
              <w:rPr>
                <w:sz w:val="18"/>
              </w:rPr>
              <w:t>Middel</w:t>
            </w:r>
          </w:p>
        </w:tc>
        <w:tc>
          <w:tcPr>
            <w:tcW w:type="dxa" w:w="1881"/>
          </w:tcPr>
          <w:p>
            <w:r>
              <w:rPr>
                <w:sz w:val="18"/>
              </w:rPr>
              <w:t>Buffer €20K; Q2/Q3 marketing push</w:t>
            </w:r>
          </w:p>
        </w:tc>
      </w:tr>
      <w:tr>
        <w:tc>
          <w:tcPr>
            <w:tcW w:type="dxa" w:w="1881"/>
            <w:shd w:fill="E8F0F8"/>
          </w:tcPr>
          <w:p>
            <w:r>
              <w:rPr>
                <w:sz w:val="18"/>
              </w:rPr>
              <w:t>4</w:t>
            </w:r>
          </w:p>
        </w:tc>
        <w:tc>
          <w:tcPr>
            <w:tcW w:type="dxa" w:w="1881"/>
            <w:shd w:fill="E8F0F8"/>
          </w:tcPr>
          <w:p>
            <w:r>
              <w:rPr>
                <w:sz w:val="18"/>
              </w:rPr>
              <w:t>Klantconcentratie</w:t>
            </w:r>
          </w:p>
        </w:tc>
        <w:tc>
          <w:tcPr>
            <w:tcW w:type="dxa" w:w="1881"/>
            <w:shd w:fill="E8F0F8"/>
          </w:tcPr>
          <w:p>
            <w:r>
              <w:rPr>
                <w:sz w:val="18"/>
              </w:rPr>
              <w:t>Middel</w:t>
            </w:r>
          </w:p>
        </w:tc>
        <w:tc>
          <w:tcPr>
            <w:tcW w:type="dxa" w:w="1881"/>
            <w:shd w:fill="E8F0F8"/>
          </w:tcPr>
          <w:p>
            <w:r>
              <w:rPr>
                <w:sz w:val="18"/>
              </w:rPr>
              <w:t>Hoog</w:t>
            </w:r>
          </w:p>
        </w:tc>
        <w:tc>
          <w:tcPr>
            <w:tcW w:type="dxa" w:w="1881"/>
            <w:shd w:fill="E8F0F8"/>
          </w:tcPr>
          <w:p>
            <w:r>
              <w:rPr>
                <w:sz w:val="18"/>
              </w:rPr>
              <w:t>Max 40% omzet per klant; actief pipelining</w:t>
            </w:r>
          </w:p>
        </w:tc>
      </w:tr>
      <w:tr>
        <w:tc>
          <w:tcPr>
            <w:tcW w:type="dxa" w:w="1881"/>
          </w:tcPr>
          <w:p>
            <w:r>
              <w:rPr>
                <w:sz w:val="18"/>
              </w:rPr>
              <w:t>5</w:t>
            </w:r>
          </w:p>
        </w:tc>
        <w:tc>
          <w:tcPr>
            <w:tcW w:type="dxa" w:w="1881"/>
          </w:tcPr>
          <w:p>
            <w:r>
              <w:rPr>
                <w:sz w:val="18"/>
              </w:rPr>
              <w:t>Ziekte-uitval</w:t>
            </w:r>
          </w:p>
        </w:tc>
        <w:tc>
          <w:tcPr>
            <w:tcW w:type="dxa" w:w="1881"/>
          </w:tcPr>
          <w:p>
            <w:r>
              <w:rPr>
                <w:sz w:val="18"/>
              </w:rPr>
              <w:t>Laag</w:t>
            </w:r>
          </w:p>
        </w:tc>
        <w:tc>
          <w:tcPr>
            <w:tcW w:type="dxa" w:w="1881"/>
          </w:tcPr>
          <w:p>
            <w:r>
              <w:rPr>
                <w:sz w:val="18"/>
              </w:rPr>
              <w:t>Hoog</w:t>
            </w:r>
          </w:p>
        </w:tc>
        <w:tc>
          <w:tcPr>
            <w:tcW w:type="dxa" w:w="1881"/>
          </w:tcPr>
          <w:p>
            <w:r>
              <w:rPr>
                <w:sz w:val="18"/>
              </w:rPr>
              <w:t>AOV-verzekering; buffer 3 mnd</w:t>
            </w:r>
          </w:p>
        </w:tc>
      </w:tr>
      <w:tr>
        <w:tc>
          <w:tcPr>
            <w:tcW w:type="dxa" w:w="1881"/>
            <w:shd w:fill="E8F0F8"/>
          </w:tcPr>
          <w:p>
            <w:r>
              <w:rPr>
                <w:sz w:val="18"/>
              </w:rPr>
              <w:t>6</w:t>
            </w:r>
          </w:p>
        </w:tc>
        <w:tc>
          <w:tcPr>
            <w:tcW w:type="dxa" w:w="1881"/>
            <w:shd w:fill="E8F0F8"/>
          </w:tcPr>
          <w:p>
            <w:r>
              <w:rPr>
                <w:sz w:val="18"/>
              </w:rPr>
              <w:t>Late betalingen</w:t>
            </w:r>
          </w:p>
        </w:tc>
        <w:tc>
          <w:tcPr>
            <w:tcW w:type="dxa" w:w="1881"/>
            <w:shd w:fill="E8F0F8"/>
          </w:tcPr>
          <w:p>
            <w:r>
              <w:rPr>
                <w:sz w:val="18"/>
              </w:rPr>
              <w:t>Middel</w:t>
            </w:r>
          </w:p>
        </w:tc>
        <w:tc>
          <w:tcPr>
            <w:tcW w:type="dxa" w:w="1881"/>
            <w:shd w:fill="E8F0F8"/>
          </w:tcPr>
          <w:p>
            <w:r>
              <w:rPr>
                <w:sz w:val="18"/>
              </w:rPr>
              <w:t>Middel</w:t>
            </w:r>
          </w:p>
        </w:tc>
        <w:tc>
          <w:tcPr>
            <w:tcW w:type="dxa" w:w="1881"/>
            <w:shd w:fill="E8F0F8"/>
          </w:tcPr>
          <w:p>
            <w:r>
              <w:rPr>
                <w:sz w:val="18"/>
              </w:rPr>
              <w:t>Betalingstermijn 14 dagen; follow-up protocol</w:t>
            </w:r>
          </w:p>
        </w:tc>
      </w:tr>
      <w:tr>
        <w:tc>
          <w:tcPr>
            <w:tcW w:type="dxa" w:w="1881"/>
          </w:tcPr>
          <w:p>
            <w:r>
              <w:rPr>
                <w:sz w:val="18"/>
              </w:rPr>
              <w:t>7</w:t>
            </w:r>
          </w:p>
        </w:tc>
        <w:tc>
          <w:tcPr>
            <w:tcW w:type="dxa" w:w="1881"/>
          </w:tcPr>
          <w:p>
            <w:r>
              <w:rPr>
                <w:sz w:val="18"/>
              </w:rPr>
              <w:t>Tariefdruk concurrentie</w:t>
            </w:r>
          </w:p>
        </w:tc>
        <w:tc>
          <w:tcPr>
            <w:tcW w:type="dxa" w:w="1881"/>
          </w:tcPr>
          <w:p>
            <w:r>
              <w:rPr>
                <w:sz w:val="18"/>
              </w:rPr>
              <w:t>Laag</w:t>
            </w:r>
          </w:p>
        </w:tc>
        <w:tc>
          <w:tcPr>
            <w:tcW w:type="dxa" w:w="1881"/>
          </w:tcPr>
          <w:p>
            <w:r>
              <w:rPr>
                <w:sz w:val="18"/>
              </w:rPr>
              <w:t>Middel</w:t>
            </w:r>
          </w:p>
        </w:tc>
        <w:tc>
          <w:tcPr>
            <w:tcW w:type="dxa" w:w="1881"/>
          </w:tcPr>
          <w:p>
            <w:r>
              <w:rPr>
                <w:sz w:val="18"/>
              </w:rPr>
              <w:t>Niche positionering; kwaliteit &gt; prijs</w:t>
            </w:r>
          </w:p>
        </w:tc>
      </w:tr>
      <w:tr>
        <w:tc>
          <w:tcPr>
            <w:tcW w:type="dxa" w:w="1881"/>
            <w:shd w:fill="E8F0F8"/>
          </w:tcPr>
          <w:p>
            <w:r>
              <w:rPr>
                <w:sz w:val="18"/>
              </w:rPr>
              <w:t>8</w:t>
            </w:r>
          </w:p>
        </w:tc>
        <w:tc>
          <w:tcPr>
            <w:tcW w:type="dxa" w:w="1881"/>
            <w:shd w:fill="E8F0F8"/>
          </w:tcPr>
          <w:p>
            <w:r>
              <w:rPr>
                <w:sz w:val="18"/>
              </w:rPr>
              <w:t>Wet-/fiscale wijzigingen</w:t>
            </w:r>
          </w:p>
        </w:tc>
        <w:tc>
          <w:tcPr>
            <w:tcW w:type="dxa" w:w="1881"/>
            <w:shd w:fill="E8F0F8"/>
          </w:tcPr>
          <w:p>
            <w:r>
              <w:rPr>
                <w:sz w:val="18"/>
              </w:rPr>
              <w:t>Laag</w:t>
            </w:r>
          </w:p>
        </w:tc>
        <w:tc>
          <w:tcPr>
            <w:tcW w:type="dxa" w:w="1881"/>
            <w:shd w:fill="E8F0F8"/>
          </w:tcPr>
          <w:p>
            <w:r>
              <w:rPr>
                <w:sz w:val="18"/>
              </w:rPr>
              <w:t>Middel</w:t>
            </w:r>
          </w:p>
        </w:tc>
        <w:tc>
          <w:tcPr>
            <w:tcW w:type="dxa" w:w="1881"/>
            <w:shd w:fill="E8F0F8"/>
          </w:tcPr>
          <w:p>
            <w:r>
              <w:rPr>
                <w:sz w:val="18"/>
              </w:rPr>
              <w:t>Accountant raadplegen; buffer in prognose</w:t>
            </w:r>
          </w:p>
        </w:tc>
      </w:tr>
      <w:tr>
        <w:tc>
          <w:tcPr>
            <w:tcW w:type="dxa" w:w="1881"/>
          </w:tcPr>
          <w:p>
            <w:r>
              <w:rPr>
                <w:sz w:val="18"/>
              </w:rPr>
              <w:t>9</w:t>
            </w:r>
          </w:p>
        </w:tc>
        <w:tc>
          <w:tcPr>
            <w:tcW w:type="dxa" w:w="1881"/>
          </w:tcPr>
          <w:p>
            <w:r>
              <w:rPr>
                <w:sz w:val="18"/>
              </w:rPr>
              <w:t>Datalek / AVG-overtreding</w:t>
            </w:r>
          </w:p>
        </w:tc>
        <w:tc>
          <w:tcPr>
            <w:tcW w:type="dxa" w:w="1881"/>
          </w:tcPr>
          <w:p>
            <w:r>
              <w:rPr>
                <w:sz w:val="18"/>
              </w:rPr>
              <w:t>Laag</w:t>
            </w:r>
          </w:p>
        </w:tc>
        <w:tc>
          <w:tcPr>
            <w:tcW w:type="dxa" w:w="1881"/>
          </w:tcPr>
          <w:p>
            <w:r>
              <w:rPr>
                <w:sz w:val="18"/>
              </w:rPr>
              <w:t>Hoog</w:t>
            </w:r>
          </w:p>
        </w:tc>
        <w:tc>
          <w:tcPr>
            <w:tcW w:type="dxa" w:w="1881"/>
          </w:tcPr>
          <w:p>
            <w:r>
              <w:rPr>
                <w:sz w:val="18"/>
              </w:rPr>
              <w:t>Privacyverklaring, encryptie, bewaartermijnen</w:t>
            </w:r>
          </w:p>
        </w:tc>
      </w:tr>
      <w:tr>
        <w:tc>
          <w:tcPr>
            <w:tcW w:type="dxa" w:w="1881"/>
            <w:shd w:fill="E8F0F8"/>
          </w:tcPr>
          <w:p>
            <w:r>
              <w:rPr>
                <w:sz w:val="18"/>
              </w:rPr>
              <w:t>10</w:t>
            </w:r>
          </w:p>
        </w:tc>
        <w:tc>
          <w:tcPr>
            <w:tcW w:type="dxa" w:w="1881"/>
            <w:shd w:fill="E8F0F8"/>
          </w:tcPr>
          <w:p>
            <w:r>
              <w:rPr>
                <w:sz w:val="18"/>
              </w:rPr>
              <w:t>Onvoldoende opdrachten</w:t>
            </w:r>
          </w:p>
        </w:tc>
        <w:tc>
          <w:tcPr>
            <w:tcW w:type="dxa" w:w="1881"/>
            <w:shd w:fill="E8F0F8"/>
          </w:tcPr>
          <w:p>
            <w:r>
              <w:rPr>
                <w:sz w:val="18"/>
              </w:rPr>
              <w:t>Middel</w:t>
            </w:r>
          </w:p>
        </w:tc>
        <w:tc>
          <w:tcPr>
            <w:tcW w:type="dxa" w:w="1881"/>
            <w:shd w:fill="E8F0F8"/>
          </w:tcPr>
          <w:p>
            <w:r>
              <w:rPr>
                <w:sz w:val="18"/>
              </w:rPr>
              <w:t>Hoog</w:t>
            </w:r>
          </w:p>
        </w:tc>
        <w:tc>
          <w:tcPr>
            <w:tcW w:type="dxa" w:w="1881"/>
            <w:shd w:fill="E8F0F8"/>
          </w:tcPr>
          <w:p>
            <w:r>
              <w:rPr>
                <w:sz w:val="18"/>
              </w:rPr>
              <w:t>Bemiddelaars als backfill; meerdere leads parallel</w:t>
            </w:r>
          </w:p>
        </w:tc>
      </w:tr>
    </w:tbl>
    <w:p>
      <w:r>
        <w:br w:type="page"/>
      </w:r>
    </w:p>
    <w:p>
      <w:pPr>
        <w:pStyle w:val="Heading1"/>
      </w:pPr>
      <w:r>
        <w:t>9. Strategische Roadmap 2027-2029</w:t>
      </w:r>
    </w:p>
    <w:p>
      <w:pPr>
        <w:pStyle w:val="Heading2"/>
      </w:pPr>
      <w:r>
        <w:t>Fase 1: Opstart (Q4 2026 - Q2 2027)</w:t>
      </w:r>
    </w:p>
    <w:p>
      <w:pPr>
        <w:pStyle w:val="ListBullet"/>
      </w:pPr>
      <w:r>
        <w:t>KvK-inschrijving, verzekeringen, website, branding</w:t>
      </w:r>
    </w:p>
    <w:p>
      <w:pPr>
        <w:pStyle w:val="ListBullet"/>
      </w:pPr>
      <w:r>
        <w:t>Certificeringen verifiëren en aanvullen</w:t>
      </w:r>
    </w:p>
    <w:p>
      <w:pPr>
        <w:pStyle w:val="ListBullet"/>
      </w:pPr>
      <w:r>
        <w:t>Eerste interim-opdracht (doel: 3-6 maanden contract)</w:t>
      </w:r>
    </w:p>
    <w:p>
      <w:pPr>
        <w:pStyle w:val="ListBullet"/>
      </w:pPr>
      <w:r>
        <w:t>120-150 factureerbare dagen</w:t>
      </w:r>
    </w:p>
    <w:p>
      <w:pPr>
        <w:pStyle w:val="ListBullet"/>
      </w:pPr>
      <w:r>
        <w:t>Omzetdoel: €85.000-€126.000</w:t>
      </w:r>
    </w:p>
    <w:p>
      <w:pPr>
        <w:pStyle w:val="Heading2"/>
      </w:pPr>
      <w:r>
        <w:t>Fase 2: Groei (Q3 2027 - Q4 2028)</w:t>
      </w:r>
    </w:p>
    <w:p>
      <w:pPr>
        <w:pStyle w:val="ListBullet"/>
      </w:pPr>
      <w:r>
        <w:t>Tariefverhoging naar €950-€1.100/dag</w:t>
      </w:r>
    </w:p>
    <w:p>
      <w:pPr>
        <w:pStyle w:val="ListBullet"/>
      </w:pPr>
      <w:r>
        <w:t>Uitbreiding naar Zuid-Holland havengebied</w:t>
      </w:r>
    </w:p>
    <w:p>
      <w:pPr>
        <w:pStyle w:val="ListBullet"/>
      </w:pPr>
      <w:r>
        <w:t>170+ factureerbare dagen</w:t>
      </w:r>
    </w:p>
    <w:p>
      <w:pPr>
        <w:pStyle w:val="ListBullet"/>
      </w:pPr>
      <w:r>
        <w:t>Samenwerking met 1-2 complementaire ZZP'ers</w:t>
      </w:r>
    </w:p>
    <w:p>
      <w:pPr>
        <w:pStyle w:val="ListBullet"/>
      </w:pPr>
      <w:r>
        <w:t>CSRD HSEQ-module als herkenbaar product</w:t>
      </w:r>
    </w:p>
    <w:p>
      <w:pPr>
        <w:pStyle w:val="ListBullet"/>
      </w:pPr>
      <w:r>
        <w:t>Omzetdoel: €133.000-€170.000</w:t>
      </w:r>
    </w:p>
    <w:p>
      <w:pPr>
        <w:pStyle w:val="Heading2"/>
      </w:pPr>
      <w:r>
        <w:t>Fase 3: Schaling (2029)</w:t>
      </w:r>
    </w:p>
    <w:p>
      <w:pPr>
        <w:pStyle w:val="ListBullet"/>
      </w:pPr>
      <w:r>
        <w:t>BV-conversie (bij winst &gt;€100K)</w:t>
      </w:r>
    </w:p>
    <w:p>
      <w:pPr>
        <w:pStyle w:val="ListBullet"/>
      </w:pPr>
      <w:r>
        <w:t>Dagtarief €1.000-€1.350</w:t>
      </w:r>
    </w:p>
    <w:p>
      <w:pPr>
        <w:pStyle w:val="ListBullet"/>
      </w:pPr>
      <w:r>
        <w:t>200+ factureerbare dagen</w:t>
      </w:r>
    </w:p>
    <w:p>
      <w:pPr>
        <w:pStyle w:val="ListBullet"/>
      </w:pPr>
      <w:r>
        <w:t>Mogelijke teamuitbreiding (1-2 junior consultants)</w:t>
      </w:r>
    </w:p>
    <w:p>
      <w:pPr>
        <w:pStyle w:val="ListBullet"/>
      </w:pPr>
      <w:r>
        <w:t>Sprekersrollen op HSEQ-congressen</w:t>
      </w:r>
    </w:p>
    <w:p>
      <w:pPr>
        <w:pStyle w:val="ListBullet"/>
      </w:pPr>
      <w:r>
        <w:t>Omzetdoel: €170.000-€220.000</w:t>
      </w:r>
    </w:p>
    <w:p>
      <w:r>
        <w:br w:type="page"/>
      </w:r>
    </w:p>
    <w:p>
      <w:pPr>
        <w:pStyle w:val="Heading1"/>
      </w:pPr>
      <w:r>
        <w:t>10. Bijlagen</w:t>
      </w:r>
    </w:p>
    <w:p>
      <w:pPr>
        <w:pStyle w:val="Heading2"/>
      </w:pPr>
      <w:r>
        <w:t>Bijlage A — Tariefkaart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t>Dienst</w:t>
            </w:r>
          </w:p>
        </w:tc>
        <w:tc>
          <w:tcPr>
            <w:tcW w:type="dxa" w:w="2351"/>
            <w:shd w:fill="003366"/>
          </w:tcPr>
          <w:p>
            <w:pPr>
              <w:jc w:val="center"/>
            </w:pPr>
            <w:r>
              <w:rPr>
                <w:b/>
                <w:color w:val="FFFFFF"/>
                <w:sz w:val="18"/>
              </w:rPr>
              <w:t>Uurtarief</w:t>
            </w:r>
          </w:p>
        </w:tc>
        <w:tc>
          <w:tcPr>
            <w:tcW w:type="dxa" w:w="2351"/>
            <w:shd w:fill="003366"/>
          </w:tcPr>
          <w:p>
            <w:pPr>
              <w:jc w:val="center"/>
            </w:pPr>
            <w:r>
              <w:rPr>
                <w:b/>
                <w:color w:val="FFFFFF"/>
                <w:sz w:val="18"/>
              </w:rPr>
              <w:t>Dagtarief</w:t>
            </w:r>
          </w:p>
        </w:tc>
        <w:tc>
          <w:tcPr>
            <w:tcW w:type="dxa" w:w="2351"/>
            <w:shd w:fill="003366"/>
          </w:tcPr>
          <w:p>
            <w:pPr>
              <w:jc w:val="center"/>
            </w:pPr>
            <w:r>
              <w:rPr>
                <w:b/>
                <w:color w:val="FFFFFF"/>
                <w:sz w:val="18"/>
              </w:rPr>
              <w:t>Offshore</w:t>
            </w:r>
          </w:p>
        </w:tc>
      </w:tr>
      <w:tr>
        <w:tc>
          <w:tcPr>
            <w:tcW w:type="dxa" w:w="2351"/>
          </w:tcPr>
          <w:p>
            <w:r>
              <w:rPr>
                <w:sz w:val="18"/>
              </w:rPr>
              <w:t>Interim HSEQ Manager</w:t>
            </w:r>
          </w:p>
        </w:tc>
        <w:tc>
          <w:tcPr>
            <w:tcW w:type="dxa" w:w="2351"/>
          </w:tcPr>
          <w:p>
            <w:r>
              <w:rPr>
                <w:sz w:val="18"/>
              </w:rPr>
              <w:t>€95-€140</w:t>
            </w:r>
          </w:p>
        </w:tc>
        <w:tc>
          <w:tcPr>
            <w:tcW w:type="dxa" w:w="2351"/>
          </w:tcPr>
          <w:p>
            <w:r>
              <w:rPr>
                <w:sz w:val="18"/>
              </w:rPr>
              <w:t>€760-€1.120</w:t>
            </w:r>
          </w:p>
        </w:tc>
        <w:tc>
          <w:tcPr>
            <w:tcW w:type="dxa" w:w="2351"/>
          </w:tcPr>
          <w:p>
            <w:r>
              <w:rPr>
                <w:sz w:val="18"/>
              </w:rPr>
              <w:t>+20%</w:t>
            </w:r>
          </w:p>
        </w:tc>
      </w:tr>
      <w:tr>
        <w:tc>
          <w:tcPr>
            <w:tcW w:type="dxa" w:w="2351"/>
            <w:shd w:fill="E8F0F8"/>
          </w:tcPr>
          <w:p>
            <w:r>
              <w:rPr>
                <w:sz w:val="18"/>
              </w:rPr>
              <w:t>HSEQ Audit &amp; Compliance</w:t>
            </w:r>
          </w:p>
        </w:tc>
        <w:tc>
          <w:tcPr>
            <w:tcW w:type="dxa" w:w="2351"/>
            <w:shd w:fill="E8F0F8"/>
          </w:tcPr>
          <w:p>
            <w:r>
              <w:rPr>
                <w:sz w:val="18"/>
              </w:rPr>
              <w:t>€120-€170</w:t>
            </w:r>
          </w:p>
        </w:tc>
        <w:tc>
          <w:tcPr>
            <w:tcW w:type="dxa" w:w="2351"/>
            <w:shd w:fill="E8F0F8"/>
          </w:tcPr>
          <w:p>
            <w:r>
              <w:rPr>
                <w:sz w:val="18"/>
              </w:rPr>
              <w:t>€960-€1.360</w:t>
            </w:r>
          </w:p>
        </w:tc>
        <w:tc>
          <w:tcPr>
            <w:tcW w:type="dxa" w:w="2351"/>
            <w:shd w:fill="E8F0F8"/>
          </w:tcPr>
          <w:p>
            <w:r>
              <w:rPr>
                <w:sz w:val="18"/>
              </w:rPr>
              <w:t>+20%</w:t>
            </w:r>
          </w:p>
        </w:tc>
      </w:tr>
      <w:tr>
        <w:tc>
          <w:tcPr>
            <w:tcW w:type="dxa" w:w="2351"/>
          </w:tcPr>
          <w:p>
            <w:r>
              <w:rPr>
                <w:sz w:val="18"/>
              </w:rPr>
              <w:t>Training &amp; Workshop</w:t>
            </w:r>
          </w:p>
        </w:tc>
        <w:tc>
          <w:tcPr>
            <w:tcW w:type="dxa" w:w="2351"/>
          </w:tcPr>
          <w:p>
            <w:r>
              <w:rPr>
                <w:sz w:val="18"/>
              </w:rPr>
              <w:t>€130-€170</w:t>
            </w:r>
          </w:p>
        </w:tc>
        <w:tc>
          <w:tcPr>
            <w:tcW w:type="dxa" w:w="2351"/>
          </w:tcPr>
          <w:p>
            <w:r>
              <w:rPr>
                <w:sz w:val="18"/>
              </w:rPr>
              <w:t>€1.040-€1.360</w:t>
            </w:r>
          </w:p>
        </w:tc>
        <w:tc>
          <w:tcPr>
            <w:tcW w:type="dxa" w:w="2351"/>
          </w:tcPr>
          <w:p>
            <w:r>
              <w:rPr>
                <w:sz w:val="18"/>
              </w:rPr>
              <w:t>N.v.t.</w:t>
            </w:r>
          </w:p>
        </w:tc>
      </w:tr>
      <w:tr>
        <w:tc>
          <w:tcPr>
            <w:tcW w:type="dxa" w:w="2351"/>
            <w:shd w:fill="E8F0F8"/>
          </w:tcPr>
          <w:p>
            <w:r>
              <w:rPr>
                <w:sz w:val="18"/>
              </w:rPr>
              <w:t>Strategisch Advies</w:t>
            </w:r>
          </w:p>
        </w:tc>
        <w:tc>
          <w:tcPr>
            <w:tcW w:type="dxa" w:w="2351"/>
            <w:shd w:fill="E8F0F8"/>
          </w:tcPr>
          <w:p>
            <w:r>
              <w:rPr>
                <w:sz w:val="18"/>
              </w:rPr>
              <w:t>€140-€170</w:t>
            </w:r>
          </w:p>
        </w:tc>
        <w:tc>
          <w:tcPr>
            <w:tcW w:type="dxa" w:w="2351"/>
            <w:shd w:fill="E8F0F8"/>
          </w:tcPr>
          <w:p>
            <w:r>
              <w:rPr>
                <w:sz w:val="18"/>
              </w:rPr>
              <w:t>€1.120-€1.360</w:t>
            </w:r>
          </w:p>
        </w:tc>
        <w:tc>
          <w:tcPr>
            <w:tcW w:type="dxa" w:w="2351"/>
            <w:shd w:fill="E8F0F8"/>
          </w:tcPr>
          <w:p>
            <w:r>
              <w:rPr>
                <w:sz w:val="18"/>
              </w:rPr>
              <w:t>+15%</w:t>
            </w:r>
          </w:p>
        </w:tc>
      </w:tr>
      <w:tr>
        <w:tc>
          <w:tcPr>
            <w:tcW w:type="dxa" w:w="2351"/>
          </w:tcPr>
          <w:p>
            <w:r>
              <w:rPr>
                <w:sz w:val="18"/>
              </w:rPr>
              <w:t>Projectmanagement HSEQ</w:t>
            </w:r>
          </w:p>
        </w:tc>
        <w:tc>
          <w:tcPr>
            <w:tcW w:type="dxa" w:w="2351"/>
          </w:tcPr>
          <w:p>
            <w:r>
              <w:rPr>
                <w:sz w:val="18"/>
              </w:rPr>
              <w:t>€110-€150</w:t>
            </w:r>
          </w:p>
        </w:tc>
        <w:tc>
          <w:tcPr>
            <w:tcW w:type="dxa" w:w="2351"/>
          </w:tcPr>
          <w:p>
            <w:r>
              <w:rPr>
                <w:sz w:val="18"/>
              </w:rPr>
              <w:t>€880-€1.200</w:t>
            </w:r>
          </w:p>
        </w:tc>
        <w:tc>
          <w:tcPr>
            <w:tcW w:type="dxa" w:w="2351"/>
          </w:tcPr>
          <w:p>
            <w:r>
              <w:rPr>
                <w:sz w:val="18"/>
              </w:rPr>
              <w:t>+20%</w:t>
            </w:r>
          </w:p>
        </w:tc>
      </w:tr>
    </w:tbl>
    <w:p>
      <w:pPr>
        <w:pStyle w:val="Heading2"/>
      </w:pPr>
      <w:r>
        <w:t>Bijlage B — Juridische Checklist</w:t>
      </w:r>
    </w:p>
    <w:p>
      <w:pPr>
        <w:pStyle w:val="ListBullet"/>
      </w:pPr>
      <w:r>
        <w:t>KvK-inschrijving (SBI 74901 + 82992)</w:t>
      </w:r>
    </w:p>
    <w:p>
      <w:pPr>
        <w:pStyle w:val="ListBullet"/>
      </w:pPr>
      <w:r>
        <w:t>BTW-aanvraag indienen</w:t>
      </w:r>
    </w:p>
    <w:p>
      <w:pPr>
        <w:pStyle w:val="ListBullet"/>
      </w:pPr>
      <w:r>
        <w:t>BA-verzekering (min. €1M dekking)</w:t>
      </w:r>
    </w:p>
    <w:p>
      <w:pPr>
        <w:pStyle w:val="ListBullet"/>
      </w:pPr>
      <w:r>
        <w:t>AOV-verzekering afsluiten</w:t>
      </w:r>
    </w:p>
    <w:p>
      <w:pPr>
        <w:pStyle w:val="ListBullet"/>
      </w:pPr>
      <w:r>
        <w:t>Modelovereenkomst ZZP (Belastingdienst) klaarzetten</w:t>
      </w:r>
    </w:p>
    <w:p>
      <w:pPr>
        <w:pStyle w:val="ListBullet"/>
      </w:pPr>
      <w:r>
        <w:t>Algemene voorwaarden opstellen (juridisch specialist)</w:t>
      </w:r>
    </w:p>
    <w:p>
      <w:pPr>
        <w:pStyle w:val="ListBullet"/>
      </w:pPr>
      <w:r>
        <w:t>AVG/GDPR verwerkingsregister opzetten</w:t>
      </w:r>
    </w:p>
    <w:p>
      <w:pPr>
        <w:pStyle w:val="ListBullet"/>
      </w:pPr>
      <w:r>
        <w:t>Privacyverklaring op website</w:t>
      </w:r>
    </w:p>
    <w:p>
      <w:pPr>
        <w:pStyle w:val="ListBullet"/>
      </w:pPr>
      <w:r>
        <w:t>Fiscaal advies inwinnen (vóór KvK-inschrijving)</w:t>
      </w:r>
    </w:p>
    <w:p>
      <w:pPr>
        <w:pStyle w:val="Heading2"/>
      </w:pPr>
      <w:r>
        <w:t>Bijlage C — Overzicht Certificeringen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pPr>
              <w:jc w:val="center"/>
            </w:pPr>
            <w:r>
              <w:rPr>
                <w:b/>
                <w:color w:val="FFFFFF"/>
                <w:sz w:val="18"/>
              </w:rPr>
              <w:t>Certificering</w:t>
            </w:r>
          </w:p>
        </w:tc>
        <w:tc>
          <w:tcPr>
            <w:tcW w:type="dxa" w:w="2351"/>
            <w:shd w:fill="003366"/>
          </w:tcPr>
          <w:p>
            <w:pPr>
              <w:jc w:val="center"/>
            </w:pPr>
            <w:r>
              <w:rPr>
                <w:b/>
                <w:color w:val="FFFFFF"/>
                <w:sz w:val="18"/>
              </w:rPr>
              <w:t>Beschrijving</w:t>
            </w:r>
          </w:p>
        </w:tc>
        <w:tc>
          <w:tcPr>
            <w:tcW w:type="dxa" w:w="2351"/>
            <w:shd w:fill="003366"/>
          </w:tcPr>
          <w:p>
            <w:pPr>
              <w:jc w:val="center"/>
            </w:pPr>
            <w:r>
              <w:rPr>
                <w:b/>
                <w:color w:val="FFFFFF"/>
                <w:sz w:val="18"/>
              </w:rPr>
              <w:t>Investering</w:t>
            </w:r>
          </w:p>
        </w:tc>
        <w:tc>
          <w:tcPr>
            <w:tcW w:type="dxa" w:w="2351"/>
            <w:shd w:fill="003366"/>
          </w:tcPr>
          <w:p>
            <w:pPr>
              <w:jc w:val="center"/>
            </w:pPr>
            <w:r>
              <w:rPr>
                <w:b/>
                <w:color w:val="FFFFFF"/>
                <w:sz w:val="18"/>
              </w:rPr>
              <w:t>Prioriteit</w:t>
            </w:r>
          </w:p>
        </w:tc>
      </w:tr>
      <w:tr>
        <w:tc>
          <w:tcPr>
            <w:tcW w:type="dxa" w:w="2351"/>
          </w:tcPr>
          <w:p>
            <w:r>
              <w:rPr>
                <w:sz w:val="18"/>
              </w:rPr>
              <w:t>MVK</w:t>
            </w:r>
          </w:p>
        </w:tc>
        <w:tc>
          <w:tcPr>
            <w:tcW w:type="dxa" w:w="2351"/>
          </w:tcPr>
          <w:p>
            <w:r>
              <w:rPr>
                <w:sz w:val="18"/>
              </w:rPr>
              <w:t>HBO-niveau veiligheidskunde</w:t>
            </w:r>
          </w:p>
        </w:tc>
        <w:tc>
          <w:tcPr>
            <w:tcW w:type="dxa" w:w="2351"/>
          </w:tcPr>
          <w:p>
            <w:r>
              <w:rPr>
                <w:sz w:val="18"/>
              </w:rPr>
              <w:t>~€3.500</w:t>
            </w:r>
          </w:p>
        </w:tc>
        <w:tc>
          <w:tcPr>
            <w:tcW w:type="dxa" w:w="2351"/>
          </w:tcPr>
          <w:p>
            <w:r>
              <w:rPr>
                <w:sz w:val="18"/>
              </w:rPr>
              <w:t>Verplicht</w:t>
            </w:r>
          </w:p>
        </w:tc>
      </w:tr>
      <w:tr>
        <w:tc>
          <w:tcPr>
            <w:tcW w:type="dxa" w:w="2351"/>
            <w:shd w:fill="E8F0F8"/>
          </w:tcPr>
          <w:p>
            <w:r>
              <w:rPr>
                <w:sz w:val="18"/>
              </w:rPr>
              <w:t>HVK</w:t>
            </w:r>
          </w:p>
        </w:tc>
        <w:tc>
          <w:tcPr>
            <w:tcW w:type="dxa" w:w="2351"/>
            <w:shd w:fill="E8F0F8"/>
          </w:tcPr>
          <w:p>
            <w:r>
              <w:rPr>
                <w:sz w:val="18"/>
              </w:rPr>
              <w:t>HBO+/WO-niveau</w:t>
            </w:r>
          </w:p>
        </w:tc>
        <w:tc>
          <w:tcPr>
            <w:tcW w:type="dxa" w:w="2351"/>
            <w:shd w:fill="E8F0F8"/>
          </w:tcPr>
          <w:p>
            <w:r>
              <w:rPr>
                <w:sz w:val="18"/>
              </w:rPr>
              <w:t>~€4.000</w:t>
            </w:r>
          </w:p>
        </w:tc>
        <w:tc>
          <w:tcPr>
            <w:tcW w:type="dxa" w:w="2351"/>
            <w:shd w:fill="E8F0F8"/>
          </w:tcPr>
          <w:p>
            <w:r>
              <w:rPr>
                <w:sz w:val="18"/>
              </w:rPr>
              <w:t>Verplicht</w:t>
            </w:r>
          </w:p>
        </w:tc>
      </w:tr>
      <w:tr>
        <w:tc>
          <w:tcPr>
            <w:tcW w:type="dxa" w:w="2351"/>
          </w:tcPr>
          <w:p>
            <w:r>
              <w:rPr>
                <w:sz w:val="18"/>
              </w:rPr>
              <w:t>VCA-VOL</w:t>
            </w:r>
          </w:p>
        </w:tc>
        <w:tc>
          <w:tcPr>
            <w:tcW w:type="dxa" w:w="2351"/>
          </w:tcPr>
          <w:p>
            <w:r>
              <w:rPr>
                <w:sz w:val="18"/>
              </w:rPr>
              <w:t>VGM-basisveiligheid</w:t>
            </w:r>
          </w:p>
        </w:tc>
        <w:tc>
          <w:tcPr>
            <w:tcW w:type="dxa" w:w="2351"/>
          </w:tcPr>
          <w:p>
            <w:r>
              <w:rPr>
                <w:sz w:val="18"/>
              </w:rPr>
              <w:t>~€500</w:t>
            </w:r>
          </w:p>
        </w:tc>
        <w:tc>
          <w:tcPr>
            <w:tcW w:type="dxa" w:w="2351"/>
          </w:tcPr>
          <w:p>
            <w:r>
              <w:rPr>
                <w:sz w:val="18"/>
              </w:rPr>
              <w:t>Verplicht</w:t>
            </w:r>
          </w:p>
        </w:tc>
      </w:tr>
      <w:tr>
        <w:tc>
          <w:tcPr>
            <w:tcW w:type="dxa" w:w="2351"/>
            <w:shd w:fill="E8F0F8"/>
          </w:tcPr>
          <w:p>
            <w:r>
              <w:rPr>
                <w:sz w:val="18"/>
              </w:rPr>
              <w:t>ISO 45001 Lead Auditor</w:t>
            </w:r>
          </w:p>
        </w:tc>
        <w:tc>
          <w:tcPr>
            <w:tcW w:type="dxa" w:w="2351"/>
            <w:shd w:fill="E8F0F8"/>
          </w:tcPr>
          <w:p>
            <w:r>
              <w:rPr>
                <w:sz w:val="18"/>
              </w:rPr>
              <w:t>Audit-competentie</w:t>
            </w:r>
          </w:p>
        </w:tc>
        <w:tc>
          <w:tcPr>
            <w:tcW w:type="dxa" w:w="2351"/>
            <w:shd w:fill="E8F0F8"/>
          </w:tcPr>
          <w:p>
            <w:r>
              <w:rPr>
                <w:sz w:val="18"/>
              </w:rPr>
              <w:t>~€2.500</w:t>
            </w:r>
          </w:p>
        </w:tc>
        <w:tc>
          <w:tcPr>
            <w:tcW w:type="dxa" w:w="2351"/>
            <w:shd w:fill="E8F0F8"/>
          </w:tcPr>
          <w:p>
            <w:r>
              <w:rPr>
                <w:sz w:val="18"/>
              </w:rPr>
              <w:t>Hoog</w:t>
            </w:r>
          </w:p>
        </w:tc>
      </w:tr>
      <w:tr>
        <w:tc>
          <w:tcPr>
            <w:tcW w:type="dxa" w:w="2351"/>
          </w:tcPr>
          <w:p>
            <w:r>
              <w:rPr>
                <w:sz w:val="18"/>
              </w:rPr>
              <w:t>NEBOSH IGC</w:t>
            </w:r>
          </w:p>
        </w:tc>
        <w:tc>
          <w:tcPr>
            <w:tcW w:type="dxa" w:w="2351"/>
          </w:tcPr>
          <w:p>
            <w:r>
              <w:rPr>
                <w:sz w:val="18"/>
              </w:rPr>
              <w:t>Internationaal erkend</w:t>
            </w:r>
          </w:p>
        </w:tc>
        <w:tc>
          <w:tcPr>
            <w:tcW w:type="dxa" w:w="2351"/>
          </w:tcPr>
          <w:p>
            <w:r>
              <w:rPr>
                <w:sz w:val="18"/>
              </w:rPr>
              <w:t>~€2.000</w:t>
            </w:r>
          </w:p>
        </w:tc>
        <w:tc>
          <w:tcPr>
            <w:tcW w:type="dxa" w:w="2351"/>
          </w:tcPr>
          <w:p>
            <w:r>
              <w:rPr>
                <w:sz w:val="18"/>
              </w:rPr>
              <w:t>Hoog</w:t>
            </w:r>
          </w:p>
        </w:tc>
      </w:tr>
      <w:tr>
        <w:tc>
          <w:tcPr>
            <w:tcW w:type="dxa" w:w="2351"/>
            <w:shd w:fill="E8F0F8"/>
          </w:tcPr>
          <w:p>
            <w:r>
              <w:rPr>
                <w:sz w:val="18"/>
              </w:rPr>
              <w:t>Asbestdeskundige SC-540</w:t>
            </w:r>
          </w:p>
        </w:tc>
        <w:tc>
          <w:tcPr>
            <w:tcW w:type="dxa" w:w="2351"/>
            <w:shd w:fill="E8F0F8"/>
          </w:tcPr>
          <w:p>
            <w:r>
              <w:rPr>
                <w:sz w:val="18"/>
              </w:rPr>
              <w:t>Asbest-inventarisatie</w:t>
            </w:r>
          </w:p>
        </w:tc>
        <w:tc>
          <w:tcPr>
            <w:tcW w:type="dxa" w:w="2351"/>
            <w:shd w:fill="E8F0F8"/>
          </w:tcPr>
          <w:p>
            <w:r>
              <w:rPr>
                <w:sz w:val="18"/>
              </w:rPr>
              <w:t>~€5.000</w:t>
            </w:r>
          </w:p>
        </w:tc>
        <w:tc>
          <w:tcPr>
            <w:tcW w:type="dxa" w:w="2351"/>
            <w:shd w:fill="E8F0F8"/>
          </w:tcPr>
          <w:p>
            <w:r>
              <w:rPr>
                <w:sz w:val="18"/>
              </w:rPr>
              <w:t>Niche</w:t>
            </w:r>
          </w:p>
        </w:tc>
      </w:tr>
    </w:tbl>
    <w:p>
      <w:pPr>
        <w:pStyle w:val="Heading2"/>
      </w:pPr>
      <w:r>
        <w:t>Bijlage D — Bronvermelding</w:t>
      </w:r>
    </w:p>
    <w:p>
      <w:pPr>
        <w:spacing w:after="40"/>
      </w:pPr>
      <w:r>
        <w:rPr>
          <w:sz w:val="18"/>
        </w:rPr>
        <w:t>[1] The Business Research Company — HSE Consulting Market Report 2026</w:t>
      </w:r>
    </w:p>
    <w:p>
      <w:pPr>
        <w:spacing w:after="40"/>
      </w:pPr>
      <w:r>
        <w:rPr>
          <w:sz w:val="18"/>
        </w:rPr>
        <w:t>[2] ResearchAndMarkets — Netherlands Management Consulting Market 2026</w:t>
      </w:r>
    </w:p>
    <w:p>
      <w:pPr>
        <w:spacing w:after="40"/>
      </w:pPr>
      <w:r>
        <w:rPr>
          <w:sz w:val="18"/>
        </w:rPr>
        <w:t>[3] Knab — ZZP Uurtarievenboekje 2026 (20.000+ respondenten)</w:t>
      </w:r>
    </w:p>
    <w:p>
      <w:pPr>
        <w:spacing w:after="40"/>
      </w:pPr>
      <w:r>
        <w:rPr>
          <w:sz w:val="18"/>
        </w:rPr>
        <w:t>[4] ERI SalaryExpert — Safety Consultant/Manager Salary NL 2026</w:t>
      </w:r>
    </w:p>
    <w:p>
      <w:pPr>
        <w:spacing w:after="40"/>
      </w:pPr>
      <w:r>
        <w:rPr>
          <w:sz w:val="18"/>
        </w:rPr>
        <w:t>[5] Hays Netherlands — Salary Guide 2025/2026</w:t>
      </w:r>
    </w:p>
    <w:p>
      <w:pPr>
        <w:spacing w:after="40"/>
      </w:pPr>
      <w:r>
        <w:rPr>
          <w:sz w:val="18"/>
        </w:rPr>
        <w:t>[6] Transit HSE — Vacaturedata Q4 2025 / Q1 2026</w:t>
      </w:r>
    </w:p>
    <w:p>
      <w:pPr>
        <w:spacing w:after="40"/>
      </w:pPr>
      <w:r>
        <w:rPr>
          <w:sz w:val="18"/>
        </w:rPr>
        <w:t>[7] Shirley Parsons — HSEQ Consultants in the Netherlands 2026</w:t>
      </w:r>
    </w:p>
    <w:p>
      <w:pPr>
        <w:spacing w:after="40"/>
      </w:pPr>
      <w:r>
        <w:rPr>
          <w:sz w:val="18"/>
        </w:rPr>
        <w:t>[8] UWV — Vacaturecijfers Veiligheidskundigen Q4 2025</w:t>
      </w:r>
    </w:p>
    <w:p>
      <w:pPr>
        <w:spacing w:after="40"/>
      </w:pPr>
      <w:r>
        <w:rPr>
          <w:sz w:val="18"/>
        </w:rPr>
        <w:t>[9] Rijksoverheid — Arbowet herziening 2025, CSRD implementatie</w:t>
      </w:r>
    </w:p>
    <w:p>
      <w:pPr>
        <w:spacing w:after="40"/>
      </w:pPr>
      <w:r>
        <w:rPr>
          <w:sz w:val="18"/>
        </w:rPr>
        <w:t>[10] Europese Commissie — EU-Chroom-6 richtlijn, Asbestverordening</w:t>
      </w:r>
    </w:p>
    <w:p>
      <w:pPr>
        <w:spacing w:after="40"/>
      </w:pPr>
      <w:r>
        <w:rPr>
          <w:sz w:val="18"/>
        </w:rPr>
        <w:t>[11] Belastingdienst — Tarieven en percentages 2026</w:t>
      </w:r>
    </w:p>
    <w:p>
      <w:pPr>
        <w:spacing w:after="40"/>
      </w:pPr>
      <w:r>
        <w:rPr>
          <w:sz w:val="18"/>
        </w:rPr>
        <w:t>[12] KVK — Handelsregisterwet 2007, UBO-registratie</w:t>
      </w:r>
    </w:p>
    <w:p/>
    <w:p>
      <w:r>
        <w:rPr>
          <w:b/>
          <w:sz w:val="18"/>
        </w:rPr>
        <w:t xml:space="preserve">Disclaimer: </w:t>
      </w:r>
      <w:r>
        <w:rPr>
          <w:sz w:val="18"/>
        </w:rPr>
        <w:t>Dit document is uitsluitend bestemd voor interne besluitvorming door Jorick van Gemert. Marktdata zijn gebaseerd op publiekelijk beschikbare bronnen en eigen analyse. Cijfers zijn indicatief. Raadpleeg een financieel adviseur voor specifieke fiscale of juridische beslissingen.</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Calibri" w:hAnsi="Calibri"/>
      <w:b/>
      <w:bCs/>
      <w:color w:val="003366"/>
      <w:sz w:val="44"/>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ascii="Calibri" w:hAnsi="Calibri"/>
      <w:b/>
      <w:bCs/>
      <w:color w:val="003366"/>
      <w:sz w:val="32"/>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003366"/>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