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right"/>
      </w:pPr>
      <w:r>
        <w:drawing>
          <wp:inline xmlns:a="http://schemas.openxmlformats.org/drawingml/2006/main" xmlns:pic="http://schemas.openxmlformats.org/drawingml/2006/picture">
            <wp:extent cx="1800000" cy="1620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800000" cy="1620000"/>
                    </a:xfrm>
                    <a:prstGeom prst="rect"/>
                  </pic:spPr>
                </pic:pic>
              </a:graphicData>
            </a:graphic>
          </wp:inline>
        </w:drawing>
      </w:r>
    </w:p>
    <w:p/>
    <w:p>
      <w:pPr>
        <w:jc w:val="center"/>
      </w:pPr>
      <w:r>
        <w:rPr>
          <w:rFonts w:ascii="Segoe UI" w:hAnsi="Segoe UI"/>
          <w:b/>
          <w:color w:val="003366"/>
          <w:sz w:val="72"/>
        </w:rPr>
        <w:t>REACH KENNISDOSSIER</w:t>
      </w:r>
    </w:p>
    <w:p>
      <w:pPr>
        <w:jc w:val="center"/>
      </w:pPr>
      <w:r>
        <w:rPr>
          <w:rFonts w:ascii="Segoe UI" w:hAnsi="Segoe UI"/>
          <w:color w:val="374151"/>
          <w:sz w:val="32"/>
        </w:rPr>
        <w:t>Registratie, Evaluatie, Autorisatie</w:t>
        <w:br/>
        <w:t>en Restrictie van Chemische Stoffen</w:t>
      </w:r>
    </w:p>
    <w:p/>
    <w:tbl>
      <w:tblPr>
        <w:tblW w:type="auto" w:w="0"/>
        <w:jc w:val="center"/>
        <w:tblLook w:firstColumn="1" w:firstRow="1" w:lastColumn="0" w:lastRow="0" w:noHBand="0" w:noVBand="1" w:val="04A0"/>
      </w:tblPr>
      <w:tblGrid>
        <w:gridCol w:w="8640"/>
      </w:tblGrid>
      <w:tr>
        <w:tc>
          <w:tcPr>
            <w:tcW w:type="dxa" w:w="8640"/>
            <w:shd w:fill="003366"/>
          </w:tcPr>
          <w:p/>
        </w:tc>
      </w:tr>
    </w:tbl>
    <w:p/>
    <w:p>
      <w:pPr>
        <w:jc w:val="center"/>
      </w:pPr>
      <w:r>
        <w:rPr>
          <w:rFonts w:ascii="Calibri" w:hAnsi="Calibri"/>
          <w:color w:val="1F2937"/>
          <w:sz w:val="28"/>
        </w:rPr>
        <w:t>Phoenix Metals IJmuiden</w:t>
        <w:br/>
        <w:t>Vanadium-elektrolyten uit staalslakken</w:t>
      </w:r>
    </w:p>
    <w:p/>
    <w:p/>
    <w:p>
      <w:pPr>
        <w:jc w:val="center"/>
      </w:pPr>
      <w:r>
        <w:rPr>
          <w:b/>
          <w:color w:val="374151"/>
          <w:sz w:val="22"/>
        </w:rPr>
        <w:t xml:space="preserve">Versie: </w:t>
      </w:r>
      <w:r>
        <w:rPr>
          <w:sz w:val="22"/>
        </w:rPr>
        <w:t>v2.0</w:t>
      </w:r>
    </w:p>
    <w:p>
      <w:pPr>
        <w:jc w:val="center"/>
      </w:pPr>
      <w:r>
        <w:rPr>
          <w:b/>
          <w:color w:val="374151"/>
          <w:sz w:val="22"/>
        </w:rPr>
        <w:t xml:space="preserve">Datum: </w:t>
      </w:r>
      <w:r>
        <w:rPr>
          <w:sz w:val="22"/>
        </w:rPr>
        <w:t>24 april 2026</w:t>
      </w:r>
    </w:p>
    <w:p>
      <w:pPr>
        <w:jc w:val="center"/>
      </w:pPr>
      <w:r>
        <w:rPr>
          <w:b/>
          <w:color w:val="374151"/>
          <w:sz w:val="22"/>
        </w:rPr>
        <w:t xml:space="preserve">Opdrachtgever: </w:t>
      </w:r>
      <w:r>
        <w:rPr>
          <w:sz w:val="22"/>
        </w:rPr>
        <w:t>Phoenix Metals IJmuiden</w:t>
      </w:r>
    </w:p>
    <w:p>
      <w:pPr>
        <w:jc w:val="center"/>
      </w:pPr>
      <w:r>
        <w:rPr>
          <w:b/>
          <w:color w:val="374151"/>
          <w:sz w:val="22"/>
        </w:rPr>
        <w:t xml:space="preserve">Auteur: </w:t>
      </w:r>
      <w:r>
        <w:rPr>
          <w:sz w:val="22"/>
        </w:rPr>
        <w:t>JvG Consultancy — HSEQ Division</w:t>
      </w:r>
    </w:p>
    <w:p>
      <w:pPr>
        <w:jc w:val="center"/>
      </w:pPr>
      <w:r>
        <w:rPr>
          <w:b/>
          <w:color w:val="374151"/>
          <w:sz w:val="22"/>
        </w:rPr>
        <w:t xml:space="preserve">Classificatie: </w:t>
      </w:r>
      <w:r>
        <w:rPr>
          <w:sz w:val="22"/>
        </w:rPr>
        <w:t>Intern</w:t>
      </w:r>
    </w:p>
    <w:p>
      <w:r>
        <w:br w:type="page"/>
      </w:r>
    </w:p>
    <w:p>
      <w:pPr>
        <w:pStyle w:val="Heading1"/>
      </w:pPr>
      <w:r>
        <w:t>Inhoudsopgave</w:t>
      </w:r>
    </w:p>
    <w:p>
      <w:pPr>
        <w:spacing w:after="80"/>
      </w:pPr>
      <w:r>
        <w:rPr>
          <w:sz w:val="24"/>
        </w:rPr>
        <w:t>1. Management Samenvatting</w:t>
      </w:r>
    </w:p>
    <w:p>
      <w:pPr>
        <w:spacing w:after="80"/>
      </w:pPr>
      <w:r>
        <w:rPr>
          <w:sz w:val="24"/>
        </w:rPr>
        <w:t>2. Wat is REACH?</w:t>
      </w:r>
    </w:p>
    <w:p>
      <w:pPr>
        <w:spacing w:after="80"/>
      </w:pPr>
      <w:r>
        <w:rPr>
          <w:sz w:val="24"/>
        </w:rPr>
        <w:t>3. Wie valt onder REACH? — Rollen en Verplichtingen</w:t>
      </w:r>
    </w:p>
    <w:p>
      <w:pPr>
        <w:spacing w:after="80"/>
      </w:pPr>
      <w:r>
        <w:rPr>
          <w:sz w:val="24"/>
        </w:rPr>
        <w:t>4. Registratieplicht &amp; Tonnagebands</w:t>
      </w:r>
    </w:p>
    <w:p>
      <w:pPr>
        <w:spacing w:after="80"/>
      </w:pPr>
      <w:r>
        <w:rPr>
          <w:sz w:val="24"/>
        </w:rPr>
        <w:t>5. CLP Pictogrammen — GHS Classificatie</w:t>
      </w:r>
    </w:p>
    <w:p>
      <w:pPr>
        <w:spacing w:after="80"/>
      </w:pPr>
      <w:r>
        <w:rPr>
          <w:sz w:val="24"/>
        </w:rPr>
        <w:t>6. SVHC, Autorisatie en Restrictie</w:t>
      </w:r>
    </w:p>
    <w:p>
      <w:pPr>
        <w:spacing w:after="80"/>
      </w:pPr>
      <w:r>
        <w:rPr>
          <w:sz w:val="24"/>
        </w:rPr>
        <w:t>7. Veiligheidsinformatieblad (SDS) &amp; eSDS</w:t>
      </w:r>
    </w:p>
    <w:p>
      <w:pPr>
        <w:spacing w:after="80"/>
      </w:pPr>
      <w:r>
        <w:rPr>
          <w:sz w:val="24"/>
        </w:rPr>
        <w:t>8. Phoenix Metals Praktijkcase</w:t>
      </w:r>
    </w:p>
    <w:p>
      <w:pPr>
        <w:spacing w:after="80"/>
      </w:pPr>
      <w:r>
        <w:rPr>
          <w:sz w:val="24"/>
        </w:rPr>
        <w:t>9. Phoenix Metals Chemicaliënregister</w:t>
      </w:r>
    </w:p>
    <w:p>
      <w:pPr>
        <w:spacing w:after="80"/>
      </w:pPr>
      <w:r>
        <w:rPr>
          <w:sz w:val="24"/>
        </w:rPr>
        <w:t>10. CLP vs ADR vs ADN vs IMDG</w:t>
      </w:r>
    </w:p>
    <w:p>
      <w:pPr>
        <w:spacing w:after="80"/>
      </w:pPr>
      <w:r>
        <w:rPr>
          <w:sz w:val="24"/>
        </w:rPr>
        <w:t>11. TierVerify — Bronverificatie Log</w:t>
      </w:r>
    </w:p>
    <w:p>
      <w:pPr>
        <w:spacing w:after="80"/>
      </w:pPr>
      <w:r>
        <w:rPr>
          <w:sz w:val="24"/>
        </w:rPr>
        <w:t>12. Bronverwijzingen</w:t>
      </w:r>
    </w:p>
    <w:p>
      <w:r>
        <w:br w:type="page"/>
      </w:r>
    </w:p>
    <w:p>
      <w:pPr>
        <w:pStyle w:val="Heading1"/>
      </w:pPr>
      <w:r>
        <w:t>1. Management Samenvatting</w:t>
      </w:r>
    </w:p>
    <w:p>
      <w:r>
        <w:rPr>
          <w:rFonts w:ascii="Calibri" w:hAnsi="Calibri"/>
          <w:b w:val="0"/>
          <w:i w:val="0"/>
          <w:sz w:val="22"/>
        </w:rPr>
        <w:t>Dit kennisdossier biedt een uitgebreid overzicht van de REACH-verordening en de CLP-verordening, specifiek gericht op de situatie van Phoenix Metals IJmuiden. Phoenix Metals produceert vanadium-elektrolyten uit staalslakken ten behoeve van batterijopslag. Het bedrijf valt onder de REACH-verordening als fabrikant van chemische stoffen en moet voldoen aan registratieverplichtingen zodra de productie van een stof ≥ 1 ton per jaar bedraagt [1][3].</w:t>
      </w:r>
    </w:p>
    <w:p>
      <w:r>
        <w:rPr>
          <w:rFonts w:ascii="Calibri" w:hAnsi="Calibri"/>
          <w:b w:val="0"/>
          <w:i w:val="0"/>
          <w:sz w:val="22"/>
        </w:rPr>
        <w:t>Het huidige productievolume in de pilot-fase is &lt; 1 ton/jaar, wat betekent dat er geen REACH-registratieplicht geldt. CLP-verplichtingen (classificatie, etikettering, verpakking) en Arbowet-verplichtingen (RI&amp;E) blijven echter van toepassing. Bij opschaling naar demonstrator- of commerciële fase treden registratieverplichtingen in werking, variërend van €15.000 (1-10 t/jaar) tot &gt;€2.000.000 (&gt;1.000 t/jaar) [2][3].</w:t>
      </w:r>
    </w:p>
    <w:p>
      <w:r>
        <w:rPr>
          <w:rFonts w:ascii="Calibri" w:hAnsi="Calibri"/>
          <w:b w:val="0"/>
          <w:i w:val="0"/>
          <w:sz w:val="22"/>
        </w:rPr>
        <w:t>Dit dossier behandelt de vijf REACH-tonnagebands, de bijbehorende Annex-eisen, kosten en doorlooptijden, het CLP-classificatiesysteem met GHS-pictogrammen, SVHC-verplichtingen, SDS/eSDS-eisen, en een praktische case voor de drie fases van Phoenix Metals. Alle feiten zijn ontleend aan brondocumenten in /research/ en voorzien van bronverwijzingen.</w:t>
      </w:r>
    </w:p>
    <w:tbl>
      <w:tblPr>
        <w:tblW w:type="auto" w:w="0"/>
        <w:jc w:val="center"/>
        <w:tblLook w:firstColumn="1" w:firstRow="1" w:lastColumn="0" w:lastRow="0" w:noHBand="0" w:noVBand="1" w:val="04A0"/>
      </w:tblPr>
      <w:tblGrid>
        <w:gridCol w:w="8640"/>
      </w:tblGrid>
      <w:tr>
        <w:tc>
          <w:tcPr>
            <w:tcW w:type="dxa" w:w="8640"/>
            <w:shd w:fill="F8F9FA"/>
          </w:tcPr>
          <w:p>
            <w:r/>
            <w:r>
              <w:rPr>
                <w:b/>
                <w:color w:val="003366"/>
                <w:sz w:val="22"/>
              </w:rPr>
              <w:t>Kerncijfers Phoenix Metals</w:t>
              <w:br/>
            </w:r>
            <w:r>
              <w:rPr>
                <w:sz w:val="20"/>
              </w:rPr>
              <w:t>• Pilot fase: &lt; 1 ton/jaar — geen REACH-registratie</w:t>
              <w:br/>
            </w:r>
            <w:r>
              <w:rPr>
                <w:sz w:val="20"/>
              </w:rPr>
              <w:t>• Demonstrator: 1-10 ton/jaar — Annex VII, kosten €15.000-€50.000</w:t>
              <w:br/>
            </w:r>
            <w:r>
              <w:rPr>
                <w:sz w:val="20"/>
              </w:rPr>
              <w:t>• Commercieel (10-100 t/jaar): Annex VII+VIII, CSR verplicht, €50.000-€150.000</w:t>
              <w:br/>
            </w:r>
            <w:r>
              <w:rPr>
                <w:sz w:val="20"/>
              </w:rPr>
              <w:t>• Budgetindicatie project: €120.000-€290.000 [3]</w:t>
              <w:br/>
            </w:r>
          </w:p>
        </w:tc>
      </w:tr>
    </w:tbl>
    <w:p>
      <w:r>
        <w:br w:type="page"/>
      </w:r>
    </w:p>
    <w:p>
      <w:pPr>
        <w:pStyle w:val="Heading1"/>
      </w:pPr>
      <w:r>
        <w:t>2. Wat is REACH?</w:t>
      </w:r>
    </w:p>
    <w:p>
      <w:r>
        <w:rPr>
          <w:rFonts w:ascii="Calibri" w:hAnsi="Calibri"/>
          <w:b w:val="0"/>
          <w:i w:val="0"/>
          <w:sz w:val="22"/>
        </w:rPr>
        <w:t>REACH is de afkorting voor Registration, Evaluation, Authorisation and Restriction of Chemicals (Verordening (EG) nr. 1907/2006). Het is een verordening van de Europese Unie die de registratie, evaluatie, autorisatie en restrictie van chemische stoffen regelt. REACH is van toepassing op alle chemische stoffen die in de EU worden geproduceerd of geïmporteerd [1].</w:t>
      </w:r>
    </w:p>
    <w:p>
      <w:r>
        <w:rPr>
          <w:rFonts w:ascii="Calibri" w:hAnsi="Calibri"/>
          <w:b/>
          <w:i w:val="0"/>
          <w:sz w:val="22"/>
        </w:rPr>
        <w:t>Het fundamentele principe van REACH is "No Data, No Market":</w:t>
      </w:r>
    </w:p>
    <w:p>
      <w:r>
        <w:rPr>
          <w:rFonts w:ascii="Calibri" w:hAnsi="Calibri"/>
          <w:b w:val="0"/>
          <w:i w:val="0"/>
          <w:sz w:val="22"/>
        </w:rPr>
        <w:t>Stoffen die niet zijn geregistreerd bij ECHA (European Chemicals Agency) mogen niet op de Europese markt worden gebracht. Fabrikanten en importeurs zijn verantwoordelijk voor het aantonen dat hun stoffen veilig gebruikt kunnen worden [1].</w:t>
      </w:r>
    </w:p>
    <w:p>
      <w:r>
        <w:rPr>
          <w:rFonts w:ascii="Calibri" w:hAnsi="Calibri"/>
          <w:b/>
          <w:i w:val="0"/>
          <w:sz w:val="22"/>
        </w:rPr>
        <w:t>Scope van REACH:</w:t>
      </w:r>
    </w:p>
    <w:p>
      <w:pPr>
        <w:pStyle w:val="ListBullet"/>
      </w:pPr>
      <w:r>
        <w:rPr>
          <w:sz w:val="22"/>
        </w:rPr>
        <w:t>Van toepassing op alle chemische stoffen, zowel als zuivere stof als in mengsels</w:t>
      </w:r>
    </w:p>
    <w:p>
      <w:pPr>
        <w:pStyle w:val="ListBullet"/>
      </w:pPr>
      <w:r>
        <w:rPr>
          <w:sz w:val="22"/>
        </w:rPr>
        <w:t>Dekking van de volledige toeleveringsketen: van productie tot eindgebruik</w:t>
      </w:r>
    </w:p>
    <w:p>
      <w:pPr>
        <w:pStyle w:val="ListBullet"/>
      </w:pPr>
      <w:r>
        <w:rPr>
          <w:sz w:val="22"/>
        </w:rPr>
        <w:t>Stoffen in artikelen vallen onder specifieke voorwaarden (Art. 7)</w:t>
      </w:r>
    </w:p>
    <w:p>
      <w:pPr>
        <w:pStyle w:val="ListBullet"/>
      </w:pPr>
      <w:r>
        <w:rPr>
          <w:sz w:val="22"/>
        </w:rPr>
        <w:t>Uitzonderingen: radioactieve stoffen, stoffen onder douanetoezicht, bepaalde afvalstoffen</w:t>
      </w:r>
    </w:p>
    <w:p>
      <w:pPr>
        <w:pStyle w:val="ListBullet"/>
      </w:pPr>
      <w:r>
        <w:rPr>
          <w:sz w:val="22"/>
        </w:rPr>
        <w:t>CLP-verordening (EG nr. 1272/2008) vormt het aanvullende kader voor classificatie, etikettering en verpakking [1][5]</w:t>
      </w:r>
    </w:p>
    <w:p>
      <w:r>
        <w:rPr>
          <w:rFonts w:ascii="Calibri" w:hAnsi="Calibri"/>
          <w:b w:val="0"/>
          <w:i w:val="0"/>
          <w:sz w:val="22"/>
        </w:rPr>
        <w:t>ECHA, gevestigd in Helsinki, fungeert als het centrale agentschap voor de uitvoering van REACH. Het beheert de REACH-IT portal voor registraties, de SVHC-kandidaatlijst, de SCIP-database en diverse andere instrumenten [1][4].</w:t>
      </w:r>
    </w:p>
    <w:p>
      <w:r>
        <w:br w:type="page"/>
      </w:r>
    </w:p>
    <w:p>
      <w:pPr>
        <w:pStyle w:val="Heading1"/>
      </w:pPr>
      <w:r>
        <w:t>3. Wie valt onder REACH? — Rollen en Verplichtingen</w:t>
      </w:r>
    </w:p>
    <w:p>
      <w:r>
        <w:rPr>
          <w:rFonts w:ascii="Calibri" w:hAnsi="Calibri"/>
          <w:b w:val="0"/>
          <w:i w:val="0"/>
          <w:sz w:val="22"/>
        </w:rPr>
        <w:t>REACH onderscheidt vijf hoofdrollen in de toeleveringsketen. Elke rol kent specifieke verplichtingen op basis van de activiteit [1][2].</w:t>
      </w:r>
    </w:p>
    <w:tbl>
      <w:tblPr>
        <w:tblStyle w:val="TableGrid"/>
        <w:tblW w:type="auto" w:w="0"/>
        <w:jc w:val="center"/>
        <w:tblLook w:firstColumn="1" w:firstRow="1" w:lastColumn="0" w:lastRow="0" w:noHBand="0" w:noVBand="1" w:val="04A0"/>
      </w:tblPr>
      <w:tblGrid>
        <w:gridCol w:w="2880"/>
        <w:gridCol w:w="2880"/>
        <w:gridCol w:w="2880"/>
      </w:tblGrid>
      <w:tr>
        <w:tc>
          <w:tcPr>
            <w:tcW w:type="dxa" w:w="2551"/>
            <w:shd w:fill="003366"/>
          </w:tcPr>
          <w:p>
            <w:pPr>
              <w:spacing w:before="40" w:after="40"/>
            </w:pPr>
            <w:r/>
            <w:r>
              <w:rPr>
                <w:rFonts w:ascii="Calibri" w:hAnsi="Calibri"/>
                <w:b/>
                <w:color w:val="FFFFFF"/>
                <w:sz w:val="20"/>
              </w:rPr>
              <w:t>Rol</w:t>
            </w:r>
          </w:p>
        </w:tc>
        <w:tc>
          <w:tcPr>
            <w:tcW w:type="dxa" w:w="1417"/>
            <w:shd w:fill="003366"/>
          </w:tcPr>
          <w:p>
            <w:pPr>
              <w:spacing w:before="40" w:after="40"/>
            </w:pPr>
            <w:r/>
            <w:r>
              <w:rPr>
                <w:rFonts w:ascii="Calibri" w:hAnsi="Calibri"/>
                <w:b/>
                <w:color w:val="FFFFFF"/>
                <w:sz w:val="20"/>
              </w:rPr>
              <w:t>Artikel</w:t>
            </w:r>
          </w:p>
        </w:tc>
        <w:tc>
          <w:tcPr>
            <w:tcW w:type="dxa" w:w="5669"/>
            <w:shd w:fill="003366"/>
          </w:tcPr>
          <w:p>
            <w:pPr>
              <w:spacing w:before="40" w:after="40"/>
            </w:pPr>
            <w:r/>
            <w:r>
              <w:rPr>
                <w:rFonts w:ascii="Calibri" w:hAnsi="Calibri"/>
                <w:b/>
                <w:color w:val="FFFFFF"/>
                <w:sz w:val="20"/>
              </w:rPr>
              <w:t>Verplichtingen</w:t>
            </w:r>
          </w:p>
        </w:tc>
      </w:tr>
      <w:tr>
        <w:tc>
          <w:tcPr>
            <w:tcW w:type="dxa" w:w="2551"/>
            <w:shd w:fill="F8F9FA"/>
          </w:tcPr>
          <w:p>
            <w:pPr>
              <w:spacing w:before="40" w:after="40"/>
            </w:pPr>
            <w:r/>
            <w:r>
              <w:rPr>
                <w:rFonts w:ascii="Calibri" w:hAnsi="Calibri"/>
                <w:b w:val="0"/>
                <w:color w:val="1F2937"/>
                <w:sz w:val="20"/>
              </w:rPr>
              <w:t>Fabrikant (produceert stoffen in de EU)</w:t>
            </w:r>
          </w:p>
        </w:tc>
        <w:tc>
          <w:tcPr>
            <w:tcW w:type="dxa" w:w="1417"/>
            <w:shd w:fill="F8F9FA"/>
          </w:tcPr>
          <w:p>
            <w:pPr>
              <w:spacing w:before="40" w:after="40"/>
            </w:pPr>
            <w:r/>
            <w:r>
              <w:rPr>
                <w:rFonts w:ascii="Calibri" w:hAnsi="Calibri"/>
                <w:b w:val="0"/>
                <w:color w:val="1F2937"/>
                <w:sz w:val="20"/>
              </w:rPr>
              <w:t>Art. 5, 6 REACH</w:t>
            </w:r>
          </w:p>
        </w:tc>
        <w:tc>
          <w:tcPr>
            <w:tcW w:type="dxa" w:w="5669"/>
            <w:shd w:fill="F8F9FA"/>
          </w:tcPr>
          <w:p>
            <w:pPr>
              <w:spacing w:before="40" w:after="40"/>
            </w:pPr>
            <w:r/>
            <w:r>
              <w:rPr>
                <w:rFonts w:ascii="Calibri" w:hAnsi="Calibri"/>
                <w:b w:val="0"/>
                <w:color w:val="1F2937"/>
                <w:sz w:val="20"/>
              </w:rPr>
              <w:t>• Registratie bij ≥1 ton/jaar per stof</w:t>
              <w:br/>
              <w:t>• Indienen registratiedossier bij ECHA via REACH-IT</w:t>
              <w:br/>
              <w:t>• Opstellen/update Veiligheidsinformatieblad (SDS)</w:t>
              <w:br/>
              <w:t>• Classificatie &amp; etikettering conform CLP</w:t>
              <w:br/>
              <w:t>• (+ 3 overige)</w:t>
            </w:r>
          </w:p>
        </w:tc>
      </w:tr>
      <w:tr>
        <w:tc>
          <w:tcPr>
            <w:tcW w:type="dxa" w:w="2551"/>
            <w:shd w:fill="FFFFFF"/>
          </w:tcPr>
          <w:p>
            <w:pPr>
              <w:spacing w:before="40" w:after="40"/>
            </w:pPr>
            <w:r/>
            <w:r>
              <w:rPr>
                <w:rFonts w:ascii="Calibri" w:hAnsi="Calibri"/>
                <w:b w:val="0"/>
                <w:color w:val="1F2937"/>
                <w:sz w:val="20"/>
              </w:rPr>
              <w:t>Importeur (importeert stoffen/mengsels van buiten EU)</w:t>
            </w:r>
          </w:p>
        </w:tc>
        <w:tc>
          <w:tcPr>
            <w:tcW w:type="dxa" w:w="1417"/>
            <w:shd w:fill="FFFFFF"/>
          </w:tcPr>
          <w:p>
            <w:pPr>
              <w:spacing w:before="40" w:after="40"/>
            </w:pPr>
            <w:r/>
            <w:r>
              <w:rPr>
                <w:rFonts w:ascii="Calibri" w:hAnsi="Calibri"/>
                <w:b w:val="0"/>
                <w:color w:val="1F2937"/>
                <w:sz w:val="20"/>
              </w:rPr>
              <w:t>Art. 5, 6 REACH</w:t>
            </w:r>
          </w:p>
        </w:tc>
        <w:tc>
          <w:tcPr>
            <w:tcW w:type="dxa" w:w="5669"/>
            <w:shd w:fill="FFFFFF"/>
          </w:tcPr>
          <w:p>
            <w:pPr>
              <w:spacing w:before="40" w:after="40"/>
            </w:pPr>
            <w:r/>
            <w:r>
              <w:rPr>
                <w:rFonts w:ascii="Calibri" w:hAnsi="Calibri"/>
                <w:b w:val="0"/>
                <w:color w:val="1F2937"/>
                <w:sz w:val="20"/>
              </w:rPr>
              <w:t>• Registratie bij ≥1 ton/jaar per stof</w:t>
              <w:br/>
              <w:t>• Indienen registratiedossier bij ECHA via REACH-IT</w:t>
              <w:br/>
              <w:t>• Opstellen/update Veiligheidsinformatieblad (SDS)</w:t>
              <w:br/>
              <w:t>• Classificatie &amp; etikettering conform CLP</w:t>
              <w:br/>
              <w:t>• (+ 3 overige)</w:t>
            </w:r>
          </w:p>
        </w:tc>
      </w:tr>
      <w:tr>
        <w:tc>
          <w:tcPr>
            <w:tcW w:type="dxa" w:w="2551"/>
            <w:shd w:fill="F8F9FA"/>
          </w:tcPr>
          <w:p>
            <w:pPr>
              <w:spacing w:before="40" w:after="40"/>
            </w:pPr>
            <w:r/>
            <w:r>
              <w:rPr>
                <w:rFonts w:ascii="Calibri" w:hAnsi="Calibri"/>
                <w:b w:val="0"/>
                <w:color w:val="1F2937"/>
                <w:sz w:val="20"/>
              </w:rPr>
              <w:t>Downstream Gebruiker (gebruikt stoffen in proces/product)</w:t>
            </w:r>
          </w:p>
        </w:tc>
        <w:tc>
          <w:tcPr>
            <w:tcW w:type="dxa" w:w="1417"/>
            <w:shd w:fill="F8F9FA"/>
          </w:tcPr>
          <w:p>
            <w:pPr>
              <w:spacing w:before="40" w:after="40"/>
            </w:pPr>
            <w:r/>
            <w:r>
              <w:rPr>
                <w:rFonts w:ascii="Calibri" w:hAnsi="Calibri"/>
                <w:b w:val="0"/>
                <w:color w:val="1F2937"/>
                <w:sz w:val="20"/>
              </w:rPr>
              <w:t>Art. 37-38 REACH</w:t>
            </w:r>
          </w:p>
        </w:tc>
        <w:tc>
          <w:tcPr>
            <w:tcW w:type="dxa" w:w="5669"/>
            <w:shd w:fill="F8F9FA"/>
          </w:tcPr>
          <w:p>
            <w:pPr>
              <w:spacing w:before="40" w:after="40"/>
            </w:pPr>
            <w:r/>
            <w:r>
              <w:rPr>
                <w:rFonts w:ascii="Calibri" w:hAnsi="Calibri"/>
                <w:b w:val="0"/>
                <w:color w:val="1F2937"/>
                <w:sz w:val="20"/>
              </w:rPr>
              <w:t>• SDS raadplegen en opvolgen</w:t>
              <w:br/>
              <w:t>• Blootstellingsscenario's implementeren (indien verstrekt)</w:t>
              <w:br/>
              <w:t>• Risicobeheersmaatregelen toepassen</w:t>
              <w:br/>
              <w:t>• ECHA melding bij niet-geautoriseerd gebruik (Art. 38)</w:t>
              <w:br/>
              <w:t>• (+ 1 overige)</w:t>
            </w:r>
          </w:p>
        </w:tc>
      </w:tr>
      <w:tr>
        <w:tc>
          <w:tcPr>
            <w:tcW w:type="dxa" w:w="2551"/>
            <w:shd w:fill="FFFFFF"/>
          </w:tcPr>
          <w:p>
            <w:pPr>
              <w:spacing w:before="40" w:after="40"/>
            </w:pPr>
            <w:r/>
            <w:r>
              <w:rPr>
                <w:rFonts w:ascii="Calibri" w:hAnsi="Calibri"/>
                <w:b w:val="0"/>
                <w:color w:val="1F2937"/>
                <w:sz w:val="20"/>
              </w:rPr>
              <w:t>Distributeur (opslaan/verdelen, geen productie)</w:t>
            </w:r>
          </w:p>
        </w:tc>
        <w:tc>
          <w:tcPr>
            <w:tcW w:type="dxa" w:w="1417"/>
            <w:shd w:fill="FFFFFF"/>
          </w:tcPr>
          <w:p>
            <w:pPr>
              <w:spacing w:before="40" w:after="40"/>
            </w:pPr>
            <w:r/>
            <w:r>
              <w:rPr>
                <w:rFonts w:ascii="Calibri" w:hAnsi="Calibri"/>
                <w:b w:val="0"/>
                <w:color w:val="1F2937"/>
                <w:sz w:val="20"/>
              </w:rPr>
              <w:t>Art. 31, 34 REACH</w:t>
            </w:r>
          </w:p>
        </w:tc>
        <w:tc>
          <w:tcPr>
            <w:tcW w:type="dxa" w:w="5669"/>
            <w:shd w:fill="FFFFFF"/>
          </w:tcPr>
          <w:p>
            <w:pPr>
              <w:spacing w:before="40" w:after="40"/>
            </w:pPr>
            <w:r/>
            <w:r>
              <w:rPr>
                <w:rFonts w:ascii="Calibri" w:hAnsi="Calibri"/>
                <w:b w:val="0"/>
                <w:color w:val="1F2937"/>
                <w:sz w:val="20"/>
              </w:rPr>
              <w:t>• SDS doorgeven aan klanten</w:t>
              <w:br/>
              <w:t>• Informatie doorgeven over risico's</w:t>
              <w:br/>
              <w:t>• Etikettering en verpakking controleren (CLP)</w:t>
              <w:br/>
              <w:t>• SVHC-informatie doorgeven (Art. 33)</w:t>
            </w:r>
          </w:p>
        </w:tc>
      </w:tr>
      <w:tr>
        <w:tc>
          <w:tcPr>
            <w:tcW w:type="dxa" w:w="2551"/>
            <w:shd w:fill="F8F9FA"/>
          </w:tcPr>
          <w:p>
            <w:pPr>
              <w:spacing w:before="40" w:after="40"/>
            </w:pPr>
            <w:r/>
            <w:r>
              <w:rPr>
                <w:rFonts w:ascii="Calibri" w:hAnsi="Calibri"/>
                <w:b w:val="0"/>
                <w:color w:val="1F2937"/>
                <w:sz w:val="20"/>
              </w:rPr>
              <w:t>Enige Importeur (Only Representative)</w:t>
            </w:r>
          </w:p>
        </w:tc>
        <w:tc>
          <w:tcPr>
            <w:tcW w:type="dxa" w:w="1417"/>
            <w:shd w:fill="F8F9FA"/>
          </w:tcPr>
          <w:p>
            <w:pPr>
              <w:spacing w:before="40" w:after="40"/>
            </w:pPr>
            <w:r/>
            <w:r>
              <w:rPr>
                <w:rFonts w:ascii="Calibri" w:hAnsi="Calibri"/>
                <w:b w:val="0"/>
                <w:color w:val="1F2937"/>
                <w:sz w:val="20"/>
              </w:rPr>
              <w:t>Art. 8 REACH</w:t>
            </w:r>
          </w:p>
        </w:tc>
        <w:tc>
          <w:tcPr>
            <w:tcW w:type="dxa" w:w="5669"/>
            <w:shd w:fill="F8F9FA"/>
          </w:tcPr>
          <w:p>
            <w:pPr>
              <w:spacing w:before="40" w:after="40"/>
            </w:pPr>
            <w:r/>
            <w:r>
              <w:rPr>
                <w:rFonts w:ascii="Calibri" w:hAnsi="Calibri"/>
                <w:b w:val="0"/>
                <w:color w:val="1F2937"/>
                <w:sz w:val="20"/>
              </w:rPr>
              <w:t>• Registratie voor niet-EU fabrikant</w:t>
              <w:br/>
              <w:t>• Volledige REACH-registratieverplichtingen</w:t>
              <w:br/>
              <w:t>• Informatieverschaffing aan EU-importeurs</w:t>
              <w:br/>
              <w:t>• SIEF-deelname</w:t>
            </w:r>
          </w:p>
        </w:tc>
      </w:tr>
    </w:tbl>
    <w:p>
      <w:r>
        <w:rPr>
          <w:rFonts w:ascii="Calibri" w:hAnsi="Calibri"/>
          <w:b w:val="0"/>
          <w:i w:val="0"/>
          <w:sz w:val="22"/>
        </w:rPr>
      </w:r>
    </w:p>
    <w:p>
      <w:r>
        <w:rPr>
          <w:rFonts w:ascii="Calibri" w:hAnsi="Calibri"/>
          <w:b w:val="0"/>
          <w:i w:val="0"/>
          <w:sz w:val="22"/>
        </w:rPr>
        <w:t>Phoenix Metals fungeert in de eerste instantie als fabrikant (produceert vanadium-elektrolyten in de EU) en tevens als downstream gebruiker voor de inkoop van grondstoffen (NaOH, H₂SO₄, aceton, diesel) [3].</w:t>
      </w:r>
    </w:p>
    <w:p>
      <w:r>
        <w:br w:type="page"/>
      </w:r>
    </w:p>
    <w:p>
      <w:pPr>
        <w:pStyle w:val="Heading1"/>
      </w:pPr>
      <w:r>
        <w:t>4. Registratieplicht &amp; Tonnagebands</w:t>
      </w:r>
    </w:p>
    <w:p>
      <w:r>
        <w:rPr>
          <w:rFonts w:ascii="Calibri" w:hAnsi="Calibri"/>
          <w:b w:val="0"/>
          <w:i w:val="0"/>
          <w:sz w:val="22"/>
        </w:rPr>
        <w:t>De REACH-registratieplicht treedt in werking bij een productie- of importvolume van ≥ 1 ton per jaar per stof. De omvang van de vereiste gegevens neemt toe met de tonnageband, conform de Annex VII tot en met X van REACH [1][2].</w:t>
      </w:r>
    </w:p>
    <w:tbl>
      <w:tblPr>
        <w:tblW w:type="auto" w:w="0"/>
        <w:tblLook w:firstColumn="1" w:firstRow="1" w:lastColumn="0" w:lastRow="0" w:noHBand="0" w:noVBand="1" w:val="04A0"/>
      </w:tblPr>
      <w:tblGrid>
        <w:gridCol w:w="8640"/>
      </w:tblGrid>
      <w:tr>
        <w:tc>
          <w:tcPr>
            <w:tcW w:type="dxa" w:w="8640"/>
            <w:shd w:fill="003366"/>
          </w:tcPr>
          <w:p>
            <w:r/>
            <w:r>
              <w:rPr>
                <w:b/>
                <w:color w:val="FFFFFF"/>
                <w:sz w:val="22"/>
              </w:rPr>
              <w:t>Verplichte Controleset — Annex-eisen (REACH Art. 12)</w:t>
              <w:br/>
            </w:r>
            <w:r>
              <w:rPr>
                <w:color w:val="FFFFFF"/>
                <w:sz w:val="20"/>
              </w:rPr>
              <w:t>✓ Annex VII: ≥ 1 ton/jaar (REACH Art. 12(1))</w:t>
              <w:br/>
            </w:r>
            <w:r>
              <w:rPr>
                <w:color w:val="FFFFFF"/>
                <w:sz w:val="20"/>
              </w:rPr>
              <w:t>✓ Annex VIII: ≥ 10 ton/jaar (REACH Art. 12(2))</w:t>
              <w:br/>
            </w:r>
            <w:r>
              <w:rPr>
                <w:color w:val="FFFFFF"/>
                <w:sz w:val="20"/>
              </w:rPr>
              <w:t>✓ Annex IX: ≥ 100 ton/jaar (REACH Art. 12(3))</w:t>
              <w:br/>
            </w:r>
            <w:r>
              <w:rPr>
                <w:color w:val="FFFFFF"/>
                <w:sz w:val="20"/>
              </w:rPr>
              <w:t>✓ Annex X: ≥ 1.000 ton/jaar (REACH Art. 12(4))</w:t>
              <w:br/>
            </w:r>
            <w:r>
              <w:rPr>
                <w:color w:val="FFFFFF"/>
                <w:sz w:val="20"/>
              </w:rPr>
              <w:t>✓ CSR verplicht: ≥ 10 ton/jaar (REACH Art. 14(1))</w:t>
              <w:br/>
            </w:r>
          </w:p>
        </w:tc>
      </w:tr>
    </w:tbl>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984"/>
            <w:shd w:fill="003366"/>
          </w:tcPr>
          <w:p>
            <w:pPr>
              <w:spacing w:before="40" w:after="40"/>
            </w:pPr>
            <w:r/>
            <w:r>
              <w:rPr>
                <w:rFonts w:ascii="Calibri" w:hAnsi="Calibri"/>
                <w:b/>
                <w:color w:val="FFFFFF"/>
                <w:sz w:val="20"/>
              </w:rPr>
              <w:t>Tonnageband</w:t>
            </w:r>
          </w:p>
        </w:tc>
        <w:tc>
          <w:tcPr>
            <w:tcW w:type="dxa" w:w="2268"/>
            <w:shd w:fill="003366"/>
          </w:tcPr>
          <w:p>
            <w:pPr>
              <w:spacing w:before="40" w:after="40"/>
            </w:pPr>
            <w:r/>
            <w:r>
              <w:rPr>
                <w:rFonts w:ascii="Calibri" w:hAnsi="Calibri"/>
                <w:b/>
                <w:color w:val="FFFFFF"/>
                <w:sz w:val="20"/>
              </w:rPr>
              <w:t>Annex</w:t>
            </w:r>
          </w:p>
        </w:tc>
        <w:tc>
          <w:tcPr>
            <w:tcW w:type="dxa" w:w="850"/>
            <w:shd w:fill="003366"/>
          </w:tcPr>
          <w:p>
            <w:pPr>
              <w:spacing w:before="40" w:after="40"/>
            </w:pPr>
            <w:r/>
            <w:r>
              <w:rPr>
                <w:rFonts w:ascii="Calibri" w:hAnsi="Calibri"/>
                <w:b/>
                <w:color w:val="FFFFFF"/>
                <w:sz w:val="20"/>
              </w:rPr>
              <w:t>CSR</w:t>
            </w:r>
          </w:p>
        </w:tc>
        <w:tc>
          <w:tcPr>
            <w:tcW w:type="dxa" w:w="2268"/>
            <w:shd w:fill="003366"/>
          </w:tcPr>
          <w:p>
            <w:pPr>
              <w:spacing w:before="40" w:after="40"/>
            </w:pPr>
            <w:r/>
            <w:r>
              <w:rPr>
                <w:rFonts w:ascii="Calibri" w:hAnsi="Calibri"/>
                <w:b/>
                <w:color w:val="FFFFFF"/>
                <w:sz w:val="20"/>
              </w:rPr>
              <w:t>Kosten</w:t>
            </w:r>
          </w:p>
        </w:tc>
        <w:tc>
          <w:tcPr>
            <w:tcW w:type="dxa" w:w="1701"/>
            <w:shd w:fill="003366"/>
          </w:tcPr>
          <w:p>
            <w:pPr>
              <w:spacing w:before="40" w:after="40"/>
            </w:pPr>
            <w:r/>
            <w:r>
              <w:rPr>
                <w:rFonts w:ascii="Calibri" w:hAnsi="Calibri"/>
                <w:b/>
                <w:color w:val="FFFFFF"/>
                <w:sz w:val="20"/>
              </w:rPr>
              <w:t>Doorlooptijd</w:t>
            </w:r>
          </w:p>
        </w:tc>
      </w:tr>
      <w:tr>
        <w:tc>
          <w:tcPr>
            <w:tcW w:type="dxa" w:w="1984"/>
            <w:shd w:fill="F8F9FA"/>
          </w:tcPr>
          <w:p>
            <w:pPr>
              <w:spacing w:before="40" w:after="40"/>
            </w:pPr>
            <w:r/>
            <w:r>
              <w:rPr>
                <w:rFonts w:ascii="Calibri" w:hAnsi="Calibri"/>
                <w:b w:val="0"/>
                <w:color w:val="1F2937"/>
                <w:sz w:val="20"/>
              </w:rPr>
              <w:t>&lt; 1 ton/jaar</w:t>
            </w:r>
          </w:p>
        </w:tc>
        <w:tc>
          <w:tcPr>
            <w:tcW w:type="dxa" w:w="2268"/>
            <w:shd w:fill="F8F9FA"/>
          </w:tcPr>
          <w:p>
            <w:pPr>
              <w:spacing w:before="40" w:after="40"/>
            </w:pPr>
            <w:r/>
            <w:r>
              <w:rPr>
                <w:rFonts w:ascii="Calibri" w:hAnsi="Calibri"/>
                <w:b w:val="0"/>
                <w:color w:val="1F2937"/>
                <w:sz w:val="20"/>
              </w:rPr>
              <w:t>Geen registratie</w:t>
            </w:r>
          </w:p>
        </w:tc>
        <w:tc>
          <w:tcPr>
            <w:tcW w:type="dxa" w:w="850"/>
            <w:shd w:fill="F8F9FA"/>
          </w:tcPr>
          <w:p>
            <w:pPr>
              <w:spacing w:before="40" w:after="40"/>
            </w:pPr>
            <w:r/>
            <w:r>
              <w:rPr>
                <w:rFonts w:ascii="Calibri" w:hAnsi="Calibri"/>
                <w:b w:val="0"/>
                <w:color w:val="1F2937"/>
                <w:sz w:val="20"/>
              </w:rPr>
              <w:t>Nee</w:t>
            </w:r>
          </w:p>
        </w:tc>
        <w:tc>
          <w:tcPr>
            <w:tcW w:type="dxa" w:w="2268"/>
            <w:shd w:fill="F8F9FA"/>
          </w:tcPr>
          <w:p>
            <w:pPr>
              <w:spacing w:before="40" w:after="40"/>
            </w:pPr>
            <w:r/>
            <w:r>
              <w:rPr>
                <w:rFonts w:ascii="Calibri" w:hAnsi="Calibri"/>
                <w:b w:val="0"/>
                <w:color w:val="1F2937"/>
                <w:sz w:val="20"/>
              </w:rPr>
              <w:t>Geen</w:t>
            </w:r>
          </w:p>
        </w:tc>
        <w:tc>
          <w:tcPr>
            <w:tcW w:type="dxa" w:w="1701"/>
            <w:shd w:fill="F8F9FA"/>
          </w:tcPr>
          <w:p>
            <w:pPr>
              <w:spacing w:before="40" w:after="40"/>
            </w:pPr>
            <w:r/>
            <w:r>
              <w:rPr>
                <w:rFonts w:ascii="Calibri" w:hAnsi="Calibri"/>
                <w:b w:val="0"/>
                <w:color w:val="1F2937"/>
                <w:sz w:val="20"/>
              </w:rPr>
              <w:t>N.v.t.</w:t>
            </w:r>
          </w:p>
        </w:tc>
      </w:tr>
      <w:tr>
        <w:tc>
          <w:tcPr>
            <w:tcW w:type="dxa" w:w="1984"/>
            <w:shd w:fill="FFFFFF"/>
          </w:tcPr>
          <w:p>
            <w:pPr>
              <w:spacing w:before="40" w:after="40"/>
            </w:pPr>
            <w:r/>
            <w:r>
              <w:rPr>
                <w:rFonts w:ascii="Calibri" w:hAnsi="Calibri"/>
                <w:b w:val="0"/>
                <w:color w:val="1F2937"/>
                <w:sz w:val="20"/>
              </w:rPr>
              <w:t>1 – 10 ton/jaar</w:t>
            </w:r>
          </w:p>
        </w:tc>
        <w:tc>
          <w:tcPr>
            <w:tcW w:type="dxa" w:w="2268"/>
            <w:shd w:fill="FFFFFF"/>
          </w:tcPr>
          <w:p>
            <w:pPr>
              <w:spacing w:before="40" w:after="40"/>
            </w:pPr>
            <w:r/>
            <w:r>
              <w:rPr>
                <w:rFonts w:ascii="Calibri" w:hAnsi="Calibri"/>
                <w:b w:val="0"/>
                <w:color w:val="1F2937"/>
                <w:sz w:val="20"/>
              </w:rPr>
              <w:t>Annex VII</w:t>
            </w:r>
          </w:p>
        </w:tc>
        <w:tc>
          <w:tcPr>
            <w:tcW w:type="dxa" w:w="850"/>
            <w:shd w:fill="FFFFFF"/>
          </w:tcPr>
          <w:p>
            <w:pPr>
              <w:spacing w:before="40" w:after="40"/>
            </w:pPr>
            <w:r/>
            <w:r>
              <w:rPr>
                <w:rFonts w:ascii="Calibri" w:hAnsi="Calibri"/>
                <w:b w:val="0"/>
                <w:color w:val="1F2937"/>
                <w:sz w:val="20"/>
              </w:rPr>
              <w:t>Nee</w:t>
            </w:r>
          </w:p>
        </w:tc>
        <w:tc>
          <w:tcPr>
            <w:tcW w:type="dxa" w:w="2268"/>
            <w:shd w:fill="FFFFFF"/>
          </w:tcPr>
          <w:p>
            <w:pPr>
              <w:spacing w:before="40" w:after="40"/>
            </w:pPr>
            <w:r/>
            <w:r>
              <w:rPr>
                <w:rFonts w:ascii="Calibri" w:hAnsi="Calibri"/>
                <w:b w:val="0"/>
                <w:color w:val="1F2937"/>
                <w:sz w:val="20"/>
              </w:rPr>
              <w:t>EUR 15.000 - EUR 50.000</w:t>
            </w:r>
          </w:p>
        </w:tc>
        <w:tc>
          <w:tcPr>
            <w:tcW w:type="dxa" w:w="1701"/>
            <w:shd w:fill="FFFFFF"/>
          </w:tcPr>
          <w:p>
            <w:pPr>
              <w:spacing w:before="40" w:after="40"/>
            </w:pPr>
            <w:r/>
            <w:r>
              <w:rPr>
                <w:rFonts w:ascii="Calibri" w:hAnsi="Calibri"/>
                <w:b w:val="0"/>
                <w:color w:val="1F2937"/>
                <w:sz w:val="20"/>
              </w:rPr>
              <w:t>6-12 maanden</w:t>
            </w:r>
          </w:p>
        </w:tc>
      </w:tr>
      <w:tr>
        <w:tc>
          <w:tcPr>
            <w:tcW w:type="dxa" w:w="1984"/>
            <w:shd w:fill="F8F9FA"/>
          </w:tcPr>
          <w:p>
            <w:pPr>
              <w:spacing w:before="40" w:after="40"/>
            </w:pPr>
            <w:r/>
            <w:r>
              <w:rPr>
                <w:rFonts w:ascii="Calibri" w:hAnsi="Calibri"/>
                <w:b w:val="0"/>
                <w:color w:val="1F2937"/>
                <w:sz w:val="20"/>
              </w:rPr>
              <w:t>10 – 100 ton/jaar</w:t>
            </w:r>
          </w:p>
        </w:tc>
        <w:tc>
          <w:tcPr>
            <w:tcW w:type="dxa" w:w="2268"/>
            <w:shd w:fill="F8F9FA"/>
          </w:tcPr>
          <w:p>
            <w:pPr>
              <w:spacing w:before="40" w:after="40"/>
            </w:pPr>
            <w:r/>
            <w:r>
              <w:rPr>
                <w:rFonts w:ascii="Calibri" w:hAnsi="Calibri"/>
                <w:b w:val="0"/>
                <w:color w:val="1F2937"/>
                <w:sz w:val="20"/>
              </w:rPr>
              <w:t>Annex VII + VIII</w:t>
            </w:r>
          </w:p>
        </w:tc>
        <w:tc>
          <w:tcPr>
            <w:tcW w:type="dxa" w:w="850"/>
            <w:shd w:fill="F8F9FA"/>
          </w:tcPr>
          <w:p>
            <w:pPr>
              <w:spacing w:before="40" w:after="40"/>
            </w:pPr>
            <w:r/>
            <w:r>
              <w:rPr>
                <w:rFonts w:ascii="Calibri" w:hAnsi="Calibri"/>
                <w:b w:val="0"/>
                <w:color w:val="1F2937"/>
                <w:sz w:val="20"/>
              </w:rPr>
              <w:t>Ja</w:t>
            </w:r>
          </w:p>
        </w:tc>
        <w:tc>
          <w:tcPr>
            <w:tcW w:type="dxa" w:w="2268"/>
            <w:shd w:fill="F8F9FA"/>
          </w:tcPr>
          <w:p>
            <w:pPr>
              <w:spacing w:before="40" w:after="40"/>
            </w:pPr>
            <w:r/>
            <w:r>
              <w:rPr>
                <w:rFonts w:ascii="Calibri" w:hAnsi="Calibri"/>
                <w:b w:val="0"/>
                <w:color w:val="1F2937"/>
                <w:sz w:val="20"/>
              </w:rPr>
              <w:t>EUR 50.000 - EUR 150.000</w:t>
            </w:r>
          </w:p>
        </w:tc>
        <w:tc>
          <w:tcPr>
            <w:tcW w:type="dxa" w:w="1701"/>
            <w:shd w:fill="F8F9FA"/>
          </w:tcPr>
          <w:p>
            <w:pPr>
              <w:spacing w:before="40" w:after="40"/>
            </w:pPr>
            <w:r/>
            <w:r>
              <w:rPr>
                <w:rFonts w:ascii="Calibri" w:hAnsi="Calibri"/>
                <w:b w:val="0"/>
                <w:color w:val="1F2937"/>
                <w:sz w:val="20"/>
              </w:rPr>
              <w:t>12-18 maanden</w:t>
            </w:r>
          </w:p>
        </w:tc>
      </w:tr>
      <w:tr>
        <w:tc>
          <w:tcPr>
            <w:tcW w:type="dxa" w:w="1984"/>
            <w:shd w:fill="FFFFFF"/>
          </w:tcPr>
          <w:p>
            <w:pPr>
              <w:spacing w:before="40" w:after="40"/>
            </w:pPr>
            <w:r/>
            <w:r>
              <w:rPr>
                <w:rFonts w:ascii="Calibri" w:hAnsi="Calibri"/>
                <w:b w:val="0"/>
                <w:color w:val="1F2937"/>
                <w:sz w:val="20"/>
              </w:rPr>
              <w:t>100 – 1.000 ton/jaar</w:t>
            </w:r>
          </w:p>
        </w:tc>
        <w:tc>
          <w:tcPr>
            <w:tcW w:type="dxa" w:w="2268"/>
            <w:shd w:fill="FFFFFF"/>
          </w:tcPr>
          <w:p>
            <w:pPr>
              <w:spacing w:before="40" w:after="40"/>
            </w:pPr>
            <w:r/>
            <w:r>
              <w:rPr>
                <w:rFonts w:ascii="Calibri" w:hAnsi="Calibri"/>
                <w:b w:val="0"/>
                <w:color w:val="1F2937"/>
                <w:sz w:val="20"/>
              </w:rPr>
              <w:t>Annex VII + VIII + IX</w:t>
            </w:r>
          </w:p>
        </w:tc>
        <w:tc>
          <w:tcPr>
            <w:tcW w:type="dxa" w:w="850"/>
            <w:shd w:fill="FFFFFF"/>
          </w:tcPr>
          <w:p>
            <w:pPr>
              <w:spacing w:before="40" w:after="40"/>
            </w:pPr>
            <w:r/>
            <w:r>
              <w:rPr>
                <w:rFonts w:ascii="Calibri" w:hAnsi="Calibri"/>
                <w:b w:val="0"/>
                <w:color w:val="1F2937"/>
                <w:sz w:val="20"/>
              </w:rPr>
              <w:t>Ja</w:t>
            </w:r>
          </w:p>
        </w:tc>
        <w:tc>
          <w:tcPr>
            <w:tcW w:type="dxa" w:w="2268"/>
            <w:shd w:fill="FFFFFF"/>
          </w:tcPr>
          <w:p>
            <w:pPr>
              <w:spacing w:before="40" w:after="40"/>
            </w:pPr>
            <w:r/>
            <w:r>
              <w:rPr>
                <w:rFonts w:ascii="Calibri" w:hAnsi="Calibri"/>
                <w:b w:val="0"/>
                <w:color w:val="1F2937"/>
                <w:sz w:val="20"/>
              </w:rPr>
              <w:t>EUR 150.000 - EUR 500.000</w:t>
            </w:r>
          </w:p>
        </w:tc>
        <w:tc>
          <w:tcPr>
            <w:tcW w:type="dxa" w:w="1701"/>
            <w:shd w:fill="FFFFFF"/>
          </w:tcPr>
          <w:p>
            <w:pPr>
              <w:spacing w:before="40" w:after="40"/>
            </w:pPr>
            <w:r/>
            <w:r>
              <w:rPr>
                <w:rFonts w:ascii="Calibri" w:hAnsi="Calibri"/>
                <w:b w:val="0"/>
                <w:color w:val="1F2937"/>
                <w:sz w:val="20"/>
              </w:rPr>
              <w:t>18-36 maanden</w:t>
            </w:r>
          </w:p>
        </w:tc>
      </w:tr>
      <w:tr>
        <w:tc>
          <w:tcPr>
            <w:tcW w:type="dxa" w:w="1984"/>
            <w:shd w:fill="F8F9FA"/>
          </w:tcPr>
          <w:p>
            <w:pPr>
              <w:spacing w:before="40" w:after="40"/>
            </w:pPr>
            <w:r/>
            <w:r>
              <w:rPr>
                <w:rFonts w:ascii="Calibri" w:hAnsi="Calibri"/>
                <w:b w:val="0"/>
                <w:color w:val="1F2937"/>
                <w:sz w:val="20"/>
              </w:rPr>
              <w:t>&gt; 1.000 ton/jaar</w:t>
            </w:r>
          </w:p>
        </w:tc>
        <w:tc>
          <w:tcPr>
            <w:tcW w:type="dxa" w:w="2268"/>
            <w:shd w:fill="F8F9FA"/>
          </w:tcPr>
          <w:p>
            <w:pPr>
              <w:spacing w:before="40" w:after="40"/>
            </w:pPr>
            <w:r/>
            <w:r>
              <w:rPr>
                <w:rFonts w:ascii="Calibri" w:hAnsi="Calibri"/>
                <w:b w:val="0"/>
                <w:color w:val="1F2937"/>
                <w:sz w:val="20"/>
              </w:rPr>
              <w:t>Annex VII + VIII + IX + X</w:t>
            </w:r>
          </w:p>
        </w:tc>
        <w:tc>
          <w:tcPr>
            <w:tcW w:type="dxa" w:w="850"/>
            <w:shd w:fill="F8F9FA"/>
          </w:tcPr>
          <w:p>
            <w:pPr>
              <w:spacing w:before="40" w:after="40"/>
            </w:pPr>
            <w:r/>
            <w:r>
              <w:rPr>
                <w:rFonts w:ascii="Calibri" w:hAnsi="Calibri"/>
                <w:b w:val="0"/>
                <w:color w:val="1F2937"/>
                <w:sz w:val="20"/>
              </w:rPr>
              <w:t>Ja</w:t>
            </w:r>
          </w:p>
        </w:tc>
        <w:tc>
          <w:tcPr>
            <w:tcW w:type="dxa" w:w="2268"/>
            <w:shd w:fill="F8F9FA"/>
          </w:tcPr>
          <w:p>
            <w:pPr>
              <w:spacing w:before="40" w:after="40"/>
            </w:pPr>
            <w:r/>
            <w:r>
              <w:rPr>
                <w:rFonts w:ascii="Calibri" w:hAnsi="Calibri"/>
                <w:b w:val="0"/>
                <w:color w:val="1F2937"/>
                <w:sz w:val="20"/>
              </w:rPr>
              <w:t>EUR 500.000 - EUR 2.000.000+</w:t>
            </w:r>
          </w:p>
        </w:tc>
        <w:tc>
          <w:tcPr>
            <w:tcW w:type="dxa" w:w="1701"/>
            <w:shd w:fill="F8F9FA"/>
          </w:tcPr>
          <w:p>
            <w:pPr>
              <w:spacing w:before="40" w:after="40"/>
            </w:pPr>
            <w:r/>
            <w:r>
              <w:rPr>
                <w:rFonts w:ascii="Calibri" w:hAnsi="Calibri"/>
                <w:b w:val="0"/>
                <w:color w:val="1F2937"/>
                <w:sz w:val="20"/>
              </w:rPr>
              <w:t>24-48 maanden</w:t>
            </w:r>
          </w:p>
        </w:tc>
      </w:tr>
    </w:tbl>
    <w:p/>
    <w:p>
      <w:pPr>
        <w:pStyle w:val="Heading2"/>
      </w:pPr>
      <w:r>
        <w:t>4.1 Detail per Tonnageband</w:t>
      </w:r>
    </w:p>
    <w:p>
      <w:pPr>
        <w:pStyle w:val="Heading3"/>
      </w:pPr>
      <w:r>
        <w:t>4.1.1 &lt; 1 ton/jaar</w:t>
      </w:r>
    </w:p>
    <w:p>
      <w:r>
        <w:rPr>
          <w:rFonts w:ascii="Calibri" w:hAnsi="Calibri"/>
          <w:b/>
          <w:i w:val="0"/>
          <w:sz w:val="22"/>
        </w:rPr>
        <w:t>Registratieplicht: Nee</w:t>
      </w:r>
    </w:p>
    <w:p>
      <w:r>
        <w:rPr>
          <w:rFonts w:ascii="Calibri" w:hAnsi="Calibri"/>
          <w:b w:val="0"/>
          <w:i w:val="0"/>
          <w:sz w:val="22"/>
        </w:rPr>
        <w:t>Annex-eis: Geen registratie</w:t>
      </w:r>
    </w:p>
    <w:p>
      <w:r>
        <w:rPr>
          <w:rFonts w:ascii="Calibri" w:hAnsi="Calibri"/>
          <w:b w:val="0"/>
          <w:i w:val="0"/>
          <w:sz w:val="22"/>
        </w:rPr>
        <w:t>Vereisten:</w:t>
      </w:r>
    </w:p>
    <w:p>
      <w:pPr>
        <w:pStyle w:val="ListBullet"/>
      </w:pPr>
      <w:r>
        <w:rPr>
          <w:sz w:val="20"/>
        </w:rPr>
        <w:t>Geen REACH-registratieverplichting</w:t>
      </w:r>
    </w:p>
    <w:p>
      <w:pPr>
        <w:pStyle w:val="ListBullet"/>
      </w:pPr>
      <w:r>
        <w:rPr>
          <w:sz w:val="20"/>
        </w:rPr>
        <w:t>CLP-verplichtingen blijven gelden</w:t>
      </w:r>
    </w:p>
    <w:p>
      <w:pPr>
        <w:pStyle w:val="ListBullet"/>
      </w:pPr>
      <w:r>
        <w:rPr>
          <w:sz w:val="20"/>
        </w:rPr>
        <w:t>Arbowet: Risico Inventarisatie &amp; Evaluatie (RI&amp;E)</w:t>
      </w:r>
    </w:p>
    <w:p>
      <w:pPr>
        <w:pStyle w:val="ListBullet"/>
      </w:pPr>
      <w:r>
        <w:rPr>
          <w:sz w:val="20"/>
        </w:rPr>
        <w:t>SDS vrijwillig maar aanbevolen bij gevaarlijke stoffen</w:t>
      </w:r>
    </w:p>
    <w:p>
      <w:r>
        <w:rPr>
          <w:rFonts w:ascii="Calibri" w:hAnsi="Calibri"/>
          <w:b w:val="0"/>
          <w:i w:val="0"/>
          <w:sz w:val="22"/>
        </w:rPr>
        <w:t>Benodigde documenten: RI&amp;E, SDS (vrijwillig)</w:t>
      </w:r>
    </w:p>
    <w:p>
      <w:pPr>
        <w:pStyle w:val="Heading3"/>
      </w:pPr>
      <w:r>
        <w:t>4.1.2 1 – 10 ton/jaar</w:t>
      </w:r>
    </w:p>
    <w:p>
      <w:r>
        <w:rPr>
          <w:rFonts w:ascii="Calibri" w:hAnsi="Calibri"/>
          <w:b/>
          <w:i w:val="0"/>
          <w:sz w:val="22"/>
        </w:rPr>
        <w:t>Registratieplicht: Ja</w:t>
      </w:r>
    </w:p>
    <w:p>
      <w:r>
        <w:rPr>
          <w:rFonts w:ascii="Calibri" w:hAnsi="Calibri"/>
          <w:b w:val="0"/>
          <w:i w:val="0"/>
          <w:sz w:val="22"/>
        </w:rPr>
        <w:t>Annex-eis: Annex VII</w:t>
      </w:r>
    </w:p>
    <w:p>
      <w:r>
        <w:rPr>
          <w:rFonts w:ascii="Calibri" w:hAnsi="Calibri"/>
          <w:b w:val="0"/>
          <w:i w:val="0"/>
          <w:sz w:val="22"/>
        </w:rPr>
        <w:t>Vereisten:</w:t>
      </w:r>
    </w:p>
    <w:p>
      <w:pPr>
        <w:pStyle w:val="ListBullet"/>
      </w:pPr>
      <w:r>
        <w:rPr>
          <w:sz w:val="20"/>
        </w:rPr>
        <w:t>REACH-registratie VERPLICHT</w:t>
      </w:r>
    </w:p>
    <w:p>
      <w:pPr>
        <w:pStyle w:val="ListBullet"/>
      </w:pPr>
      <w:r>
        <w:rPr>
          <w:sz w:val="20"/>
        </w:rPr>
        <w:t>Registratiedossier: Annex VII (basis fysisch-chemisch + toxicologisch data)</w:t>
      </w:r>
    </w:p>
    <w:p>
      <w:pPr>
        <w:pStyle w:val="ListBullet"/>
      </w:pPr>
      <w:r>
        <w:rPr>
          <w:sz w:val="20"/>
        </w:rPr>
        <w:t>SDS verplicht bij gevaarlijke stoffen</w:t>
      </w:r>
    </w:p>
    <w:p>
      <w:pPr>
        <w:pStyle w:val="ListBullet"/>
      </w:pPr>
      <w:r>
        <w:rPr>
          <w:sz w:val="20"/>
        </w:rPr>
        <w:t>CLP-classificatie &amp; etikettering</w:t>
      </w:r>
    </w:p>
    <w:p>
      <w:pPr>
        <w:pStyle w:val="ListBullet"/>
      </w:pPr>
      <w:r>
        <w:rPr>
          <w:sz w:val="20"/>
        </w:rPr>
        <w:t>Geen CSR vereist (tenzij CMR cat 1A/1B of PBT/vPvB)</w:t>
      </w:r>
    </w:p>
    <w:p>
      <w:r>
        <w:rPr>
          <w:rFonts w:ascii="Calibri" w:hAnsi="Calibri"/>
          <w:b w:val="0"/>
          <w:i w:val="0"/>
          <w:sz w:val="22"/>
        </w:rPr>
        <w:t>Benodigde documenten: Registratiedossier (Annex VII), SDS, CLP-classificatie, RI&amp;E</w:t>
      </w:r>
    </w:p>
    <w:p>
      <w:pPr>
        <w:pStyle w:val="Heading3"/>
      </w:pPr>
      <w:r>
        <w:t>4.1.3 10 – 100 ton/jaar</w:t>
      </w:r>
    </w:p>
    <w:p>
      <w:r>
        <w:rPr>
          <w:rFonts w:ascii="Calibri" w:hAnsi="Calibri"/>
          <w:b/>
          <w:i w:val="0"/>
          <w:sz w:val="22"/>
        </w:rPr>
        <w:t>Registratieplicht: Ja</w:t>
      </w:r>
    </w:p>
    <w:p>
      <w:r>
        <w:rPr>
          <w:rFonts w:ascii="Calibri" w:hAnsi="Calibri"/>
          <w:b w:val="0"/>
          <w:i w:val="0"/>
          <w:sz w:val="22"/>
        </w:rPr>
        <w:t>Annex-eis: Annex VII + VIII</w:t>
      </w:r>
    </w:p>
    <w:p>
      <w:r>
        <w:rPr>
          <w:rFonts w:ascii="Calibri" w:hAnsi="Calibri"/>
          <w:b w:val="0"/>
          <w:i w:val="0"/>
          <w:sz w:val="22"/>
        </w:rPr>
        <w:t>Vereisten:</w:t>
      </w:r>
    </w:p>
    <w:p>
      <w:pPr>
        <w:pStyle w:val="ListBullet"/>
      </w:pPr>
      <w:r>
        <w:rPr>
          <w:sz w:val="20"/>
        </w:rPr>
        <w:t>REACH-registratie VERPLICHT</w:t>
      </w:r>
    </w:p>
    <w:p>
      <w:pPr>
        <w:pStyle w:val="ListBullet"/>
      </w:pPr>
      <w:r>
        <w:rPr>
          <w:sz w:val="20"/>
        </w:rPr>
        <w:t>Registratiedossier: Annex VII + VIII (uitgebreidere toxicologische data)</w:t>
      </w:r>
    </w:p>
    <w:p>
      <w:pPr>
        <w:pStyle w:val="ListBullet"/>
      </w:pPr>
      <w:r>
        <w:rPr>
          <w:sz w:val="20"/>
        </w:rPr>
        <w:t>Chemical Safety Report (CSR) VERPLICHT</w:t>
      </w:r>
    </w:p>
    <w:p>
      <w:pPr>
        <w:pStyle w:val="ListBullet"/>
      </w:pPr>
      <w:r>
        <w:rPr>
          <w:sz w:val="20"/>
        </w:rPr>
        <w:t>Blootstellingsscenario's opstellen</w:t>
      </w:r>
    </w:p>
    <w:p>
      <w:pPr>
        <w:pStyle w:val="ListBullet"/>
      </w:pPr>
      <w:r>
        <w:rPr>
          <w:sz w:val="20"/>
        </w:rPr>
        <w:t>SDS verplicht met blootstellingsscenario's</w:t>
      </w:r>
    </w:p>
    <w:p>
      <w:pPr>
        <w:pStyle w:val="ListBullet"/>
      </w:pPr>
      <w:r>
        <w:rPr>
          <w:sz w:val="20"/>
        </w:rPr>
        <w:t>CLP-classificatie &amp; etikettering</w:t>
      </w:r>
    </w:p>
    <w:p>
      <w:r>
        <w:rPr>
          <w:rFonts w:ascii="Calibri" w:hAnsi="Calibri"/>
          <w:b w:val="0"/>
          <w:i w:val="0"/>
          <w:sz w:val="22"/>
        </w:rPr>
        <w:t>Benodigde documenten: Registratiedossier (Annex VII+VIII), CSR, SDS met ES, CLP-classificatie, RI&amp;E</w:t>
      </w:r>
    </w:p>
    <w:p>
      <w:pPr>
        <w:pStyle w:val="Heading3"/>
      </w:pPr>
      <w:r>
        <w:t>4.1.4 100 – 1.000 ton/jaar</w:t>
      </w:r>
    </w:p>
    <w:p>
      <w:r>
        <w:rPr>
          <w:rFonts w:ascii="Calibri" w:hAnsi="Calibri"/>
          <w:b/>
          <w:i w:val="0"/>
          <w:sz w:val="22"/>
        </w:rPr>
        <w:t>Registratieplicht: Ja</w:t>
      </w:r>
    </w:p>
    <w:p>
      <w:r>
        <w:rPr>
          <w:rFonts w:ascii="Calibri" w:hAnsi="Calibri"/>
          <w:b w:val="0"/>
          <w:i w:val="0"/>
          <w:sz w:val="22"/>
        </w:rPr>
        <w:t>Annex-eis: Annex VII + VIII + IX</w:t>
      </w:r>
    </w:p>
    <w:p>
      <w:r>
        <w:rPr>
          <w:rFonts w:ascii="Calibri" w:hAnsi="Calibri"/>
          <w:b w:val="0"/>
          <w:i w:val="0"/>
          <w:sz w:val="22"/>
        </w:rPr>
        <w:t>Vereisten:</w:t>
      </w:r>
    </w:p>
    <w:p>
      <w:pPr>
        <w:pStyle w:val="ListBullet"/>
      </w:pPr>
      <w:r>
        <w:rPr>
          <w:sz w:val="20"/>
        </w:rPr>
        <w:t>REACH-registratie VERPLICHT</w:t>
      </w:r>
    </w:p>
    <w:p>
      <w:pPr>
        <w:pStyle w:val="ListBullet"/>
      </w:pPr>
      <w:r>
        <w:rPr>
          <w:sz w:val="20"/>
        </w:rPr>
        <w:t>Registratiedossier: Annex VII + VIII + IX</w:t>
      </w:r>
    </w:p>
    <w:p>
      <w:pPr>
        <w:pStyle w:val="ListBullet"/>
      </w:pPr>
      <w:r>
        <w:rPr>
          <w:sz w:val="20"/>
        </w:rPr>
        <w:t>Uitgebreid CSR met alle blootstellingsscenario's</w:t>
      </w:r>
    </w:p>
    <w:p>
      <w:pPr>
        <w:pStyle w:val="ListBullet"/>
      </w:pPr>
      <w:r>
        <w:rPr>
          <w:sz w:val="20"/>
        </w:rPr>
        <w:t>Extra toxicologische en ecotoxicologische testen</w:t>
      </w:r>
    </w:p>
    <w:p>
      <w:pPr>
        <w:pStyle w:val="ListBullet"/>
      </w:pPr>
      <w:r>
        <w:rPr>
          <w:sz w:val="20"/>
        </w:rPr>
        <w:t>SDS verplicht met volledige risicobeoordeling</w:t>
      </w:r>
    </w:p>
    <w:p>
      <w:pPr>
        <w:pStyle w:val="ListBullet"/>
      </w:pPr>
      <w:r>
        <w:rPr>
          <w:sz w:val="20"/>
        </w:rPr>
        <w:t>Evaluatie door ECHA (compliance check)</w:t>
      </w:r>
    </w:p>
    <w:p>
      <w:r>
        <w:rPr>
          <w:rFonts w:ascii="Calibri" w:hAnsi="Calibri"/>
          <w:b w:val="0"/>
          <w:i w:val="0"/>
          <w:sz w:val="22"/>
        </w:rPr>
        <w:t>Benodigde documenten: Registratiedossier (Annex VII-IX), CSR (volledig), SDS met ES, CLP-classificatie, RI&amp;E, Testrapporten</w:t>
      </w:r>
    </w:p>
    <w:p>
      <w:pPr>
        <w:pStyle w:val="Heading3"/>
      </w:pPr>
      <w:r>
        <w:t>4.1.5 &gt; 1.000 ton/jaar</w:t>
      </w:r>
    </w:p>
    <w:p>
      <w:r>
        <w:rPr>
          <w:rFonts w:ascii="Calibri" w:hAnsi="Calibri"/>
          <w:b/>
          <w:i w:val="0"/>
          <w:sz w:val="22"/>
        </w:rPr>
        <w:t>Registratieplicht: Ja</w:t>
      </w:r>
    </w:p>
    <w:p>
      <w:r>
        <w:rPr>
          <w:rFonts w:ascii="Calibri" w:hAnsi="Calibri"/>
          <w:b w:val="0"/>
          <w:i w:val="0"/>
          <w:sz w:val="22"/>
        </w:rPr>
        <w:t>Annex-eis: Annex VII + VIII + IX + X</w:t>
      </w:r>
    </w:p>
    <w:p>
      <w:r>
        <w:rPr>
          <w:rFonts w:ascii="Calibri" w:hAnsi="Calibri"/>
          <w:b w:val="0"/>
          <w:i w:val="0"/>
          <w:sz w:val="22"/>
        </w:rPr>
        <w:t>Vereisten:</w:t>
      </w:r>
    </w:p>
    <w:p>
      <w:pPr>
        <w:pStyle w:val="ListBullet"/>
      </w:pPr>
      <w:r>
        <w:rPr>
          <w:sz w:val="20"/>
        </w:rPr>
        <w:t>REACH-registratie VERPLICHT</w:t>
      </w:r>
    </w:p>
    <w:p>
      <w:pPr>
        <w:pStyle w:val="ListBullet"/>
      </w:pPr>
      <w:r>
        <w:rPr>
          <w:sz w:val="20"/>
        </w:rPr>
        <w:t>Registratiedossier: Annex VII + VIII + IX + X (volledig)</w:t>
      </w:r>
    </w:p>
    <w:p>
      <w:pPr>
        <w:pStyle w:val="ListBullet"/>
      </w:pPr>
      <w:r>
        <w:rPr>
          <w:sz w:val="20"/>
        </w:rPr>
        <w:t>Volledig CSR met alle gebruiksvoorwaarden</w:t>
      </w:r>
    </w:p>
    <w:p>
      <w:pPr>
        <w:pStyle w:val="ListBullet"/>
      </w:pPr>
      <w:r>
        <w:rPr>
          <w:sz w:val="20"/>
        </w:rPr>
        <w:t>Alle toxicologische en ecotoxicologische data</w:t>
      </w:r>
    </w:p>
    <w:p>
      <w:pPr>
        <w:pStyle w:val="ListBullet"/>
      </w:pPr>
      <w:r>
        <w:rPr>
          <w:sz w:val="20"/>
        </w:rPr>
        <w:t>Substance Evaluation mogelijk (CoRAP)</w:t>
      </w:r>
    </w:p>
    <w:p>
      <w:pPr>
        <w:pStyle w:val="ListBullet"/>
      </w:pPr>
      <w:r>
        <w:rPr>
          <w:sz w:val="20"/>
        </w:rPr>
        <w:t>SDS verplicht met alle relevante info</w:t>
      </w:r>
    </w:p>
    <w:p>
      <w:r>
        <w:rPr>
          <w:rFonts w:ascii="Calibri" w:hAnsi="Calibri"/>
          <w:b w:val="0"/>
          <w:i w:val="0"/>
          <w:sz w:val="22"/>
        </w:rPr>
        <w:t>Benodigde documenten: Registratiedossier (Annex VII-X), CSR (compleet), SDS met alle ES, CLP-classificatie, RI&amp;E, Alle testrapporten, DU-meldingen</w:t>
      </w:r>
    </w:p>
    <w:p>
      <w:r>
        <w:br w:type="page"/>
      </w:r>
    </w:p>
    <w:p>
      <w:pPr>
        <w:pStyle w:val="Heading1"/>
      </w:pPr>
      <w:r>
        <w:t>5. CLP Pictogrammen — GHS Classificatie</w:t>
      </w:r>
    </w:p>
    <w:p>
      <w:r>
        <w:rPr>
          <w:rFonts w:ascii="Calibri" w:hAnsi="Calibri"/>
          <w:b w:val="0"/>
          <w:i w:val="0"/>
          <w:sz w:val="22"/>
        </w:rPr>
        <w:t>De CLP-verordening (EG nr. 1272/2008) harmoniseert de classificatie, etikettering en verpakking van gevaarlijke stoffen en mengsels in de EU, conform het mondiale GHS-systeem van de VN. Een CLP-etiket bevat gevaarpictogrammen, signaalwoorden, H-zinnen (gevaaraanduidingen) en P-zinnen (voorzorgsmaatregelen) [5].</w:t>
      </w:r>
    </w:p>
    <w:tbl>
      <w:tblPr>
        <w:tblStyle w:val="TableGrid"/>
        <w:tblW w:type="auto" w:w="0"/>
        <w:jc w:val="center"/>
        <w:tblLook w:firstColumn="1" w:firstRow="1" w:lastColumn="0" w:lastRow="0" w:noHBand="0" w:noVBand="1" w:val="04A0"/>
      </w:tblPr>
      <w:tblGrid>
        <w:gridCol w:w="2880"/>
        <w:gridCol w:w="2880"/>
        <w:gridCol w:w="2880"/>
      </w:tblGrid>
      <w:tr>
        <w:tc>
          <w:tcPr>
            <w:tcW w:type="dxa" w:w="1701"/>
            <w:shd w:fill="003366"/>
          </w:tcPr>
          <w:p>
            <w:pPr>
              <w:spacing w:before="40" w:after="40"/>
            </w:pPr>
            <w:r/>
            <w:r>
              <w:rPr>
                <w:rFonts w:ascii="Calibri" w:hAnsi="Calibri"/>
                <w:b/>
                <w:color w:val="FFFFFF"/>
                <w:sz w:val="20"/>
              </w:rPr>
              <w:t>Pictogram</w:t>
            </w:r>
          </w:p>
        </w:tc>
        <w:tc>
          <w:tcPr>
            <w:tcW w:type="dxa" w:w="1701"/>
            <w:shd w:fill="003366"/>
          </w:tcPr>
          <w:p>
            <w:pPr>
              <w:spacing w:before="40" w:after="40"/>
            </w:pPr>
            <w:r/>
            <w:r>
              <w:rPr>
                <w:rFonts w:ascii="Calibri" w:hAnsi="Calibri"/>
                <w:b/>
                <w:color w:val="FFFFFF"/>
                <w:sz w:val="20"/>
              </w:rPr>
              <w:t>Code</w:t>
            </w:r>
          </w:p>
        </w:tc>
        <w:tc>
          <w:tcPr>
            <w:tcW w:type="dxa" w:w="4535"/>
            <w:shd w:fill="003366"/>
          </w:tcPr>
          <w:p>
            <w:pPr>
              <w:spacing w:before="40" w:after="40"/>
            </w:pPr>
            <w:r/>
            <w:r>
              <w:rPr>
                <w:rFonts w:ascii="Calibri" w:hAnsi="Calibri"/>
                <w:b/>
                <w:color w:val="FFFFFF"/>
                <w:sz w:val="20"/>
              </w:rPr>
              <w:t>ECHA NL Naam</w:t>
            </w:r>
          </w:p>
        </w:tc>
      </w:tr>
      <w:tr>
        <w:tc>
          <w:tcPr>
            <w:tcW w:type="dxa" w:w="1701"/>
            <w:shd w:fill="F8F9FA"/>
          </w:tcPr>
          <w:p>
            <w:pPr>
              <w:jc w:val="center"/>
            </w:pPr>
            <w:r/>
            <w:r>
              <w:drawing>
                <wp:inline xmlns:a="http://schemas.openxmlformats.org/drawingml/2006/main" xmlns:pic="http://schemas.openxmlformats.org/drawingml/2006/picture">
                  <wp:extent cx="648000" cy="648000"/>
                  <wp:docPr id="2" name="Picture 2"/>
                  <wp:cNvGraphicFramePr>
                    <a:graphicFrameLocks noChangeAspect="1"/>
                  </wp:cNvGraphicFramePr>
                  <a:graphic>
                    <a:graphicData uri="http://schemas.openxmlformats.org/drawingml/2006/picture">
                      <pic:pic>
                        <pic:nvPicPr>
                          <pic:cNvPr id="0" name="GHS01.png"/>
                          <pic:cNvPicPr/>
                        </pic:nvPicPr>
                        <pic:blipFill>
                          <a:blip r:embed="rId10"/>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GHS01</w:t>
            </w:r>
          </w:p>
        </w:tc>
        <w:tc>
          <w:tcPr>
            <w:tcW w:type="dxa" w:w="4535"/>
            <w:shd w:fill="F8F9FA"/>
          </w:tcPr>
          <w:p>
            <w:pPr>
              <w:spacing w:before="40" w:after="40"/>
            </w:pPr>
            <w:r/>
            <w:r>
              <w:rPr>
                <w:rFonts w:ascii="Calibri" w:hAnsi="Calibri"/>
                <w:b w:val="0"/>
                <w:color w:val="1F2937"/>
                <w:sz w:val="20"/>
              </w:rPr>
              <w:t>Ontploffing</w:t>
            </w:r>
          </w:p>
        </w:tc>
      </w:tr>
      <w:tr>
        <w:tc>
          <w:tcPr>
            <w:tcW w:type="dxa" w:w="1701"/>
            <w:shd w:fill="FFFFFF"/>
          </w:tcPr>
          <w:p>
            <w:pPr>
              <w:jc w:val="center"/>
            </w:pPr>
            <w:r/>
            <w:r>
              <w:drawing>
                <wp:inline xmlns:a="http://schemas.openxmlformats.org/drawingml/2006/main" xmlns:pic="http://schemas.openxmlformats.org/drawingml/2006/picture">
                  <wp:extent cx="648000" cy="648000"/>
                  <wp:docPr id="3" name="Picture 3"/>
                  <wp:cNvGraphicFramePr>
                    <a:graphicFrameLocks noChangeAspect="1"/>
                  </wp:cNvGraphicFramePr>
                  <a:graphic>
                    <a:graphicData uri="http://schemas.openxmlformats.org/drawingml/2006/picture">
                      <pic:pic>
                        <pic:nvPicPr>
                          <pic:cNvPr id="0" name="GHS02.png"/>
                          <pic:cNvPicPr/>
                        </pic:nvPicPr>
                        <pic:blipFill>
                          <a:blip r:embed="rId11"/>
                          <a:stretch>
                            <a:fillRect/>
                          </a:stretch>
                        </pic:blipFill>
                        <pic:spPr>
                          <a:xfrm>
                            <a:off x="0" y="0"/>
                            <a:ext cx="648000" cy="648000"/>
                          </a:xfrm>
                          <a:prstGeom prst="rect"/>
                        </pic:spPr>
                      </pic:pic>
                    </a:graphicData>
                  </a:graphic>
                </wp:inline>
              </w:drawing>
            </w:r>
          </w:p>
        </w:tc>
        <w:tc>
          <w:tcPr>
            <w:tcW w:type="dxa" w:w="1701"/>
            <w:shd w:fill="FFFFFF"/>
          </w:tcPr>
          <w:p>
            <w:pPr>
              <w:spacing w:before="40" w:after="40"/>
            </w:pPr>
            <w:r/>
            <w:r>
              <w:rPr>
                <w:rFonts w:ascii="Calibri" w:hAnsi="Calibri"/>
                <w:b w:val="0"/>
                <w:color w:val="1F2937"/>
                <w:sz w:val="20"/>
              </w:rPr>
              <w:t>GHS02</w:t>
            </w:r>
          </w:p>
        </w:tc>
        <w:tc>
          <w:tcPr>
            <w:tcW w:type="dxa" w:w="4535"/>
            <w:shd w:fill="FFFFFF"/>
          </w:tcPr>
          <w:p>
            <w:pPr>
              <w:spacing w:before="40" w:after="40"/>
            </w:pPr>
            <w:r/>
            <w:r>
              <w:rPr>
                <w:rFonts w:ascii="Calibri" w:hAnsi="Calibri"/>
                <w:b w:val="0"/>
                <w:color w:val="1F2937"/>
                <w:sz w:val="20"/>
              </w:rPr>
              <w:t>Brandbaar</w:t>
            </w:r>
          </w:p>
        </w:tc>
      </w:tr>
      <w:tr>
        <w:tc>
          <w:tcPr>
            <w:tcW w:type="dxa" w:w="1701"/>
            <w:shd w:fill="F8F9FA"/>
          </w:tcPr>
          <w:p>
            <w:pPr>
              <w:jc w:val="center"/>
            </w:pPr>
            <w:r/>
            <w:r>
              <w:drawing>
                <wp:inline xmlns:a="http://schemas.openxmlformats.org/drawingml/2006/main" xmlns:pic="http://schemas.openxmlformats.org/drawingml/2006/picture">
                  <wp:extent cx="648000" cy="648000"/>
                  <wp:docPr id="4" name="Picture 4"/>
                  <wp:cNvGraphicFramePr>
                    <a:graphicFrameLocks noChangeAspect="1"/>
                  </wp:cNvGraphicFramePr>
                  <a:graphic>
                    <a:graphicData uri="http://schemas.openxmlformats.org/drawingml/2006/picture">
                      <pic:pic>
                        <pic:nvPicPr>
                          <pic:cNvPr id="0" name="GHS03.png"/>
                          <pic:cNvPicPr/>
                        </pic:nvPicPr>
                        <pic:blipFill>
                          <a:blip r:embed="rId12"/>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GHS03</w:t>
            </w:r>
          </w:p>
        </w:tc>
        <w:tc>
          <w:tcPr>
            <w:tcW w:type="dxa" w:w="4535"/>
            <w:shd w:fill="F8F9FA"/>
          </w:tcPr>
          <w:p>
            <w:pPr>
              <w:spacing w:before="40" w:after="40"/>
            </w:pPr>
            <w:r/>
            <w:r>
              <w:rPr>
                <w:rFonts w:ascii="Calibri" w:hAnsi="Calibri"/>
                <w:b w:val="0"/>
                <w:color w:val="1F2937"/>
                <w:sz w:val="20"/>
              </w:rPr>
              <w:t>Oxiderend</w:t>
            </w:r>
          </w:p>
        </w:tc>
      </w:tr>
      <w:tr>
        <w:tc>
          <w:tcPr>
            <w:tcW w:type="dxa" w:w="1701"/>
            <w:shd w:fill="FFFFFF"/>
          </w:tcPr>
          <w:p>
            <w:pPr>
              <w:jc w:val="center"/>
            </w:pPr>
            <w:r/>
            <w:r>
              <w:drawing>
                <wp:inline xmlns:a="http://schemas.openxmlformats.org/drawingml/2006/main" xmlns:pic="http://schemas.openxmlformats.org/drawingml/2006/picture">
                  <wp:extent cx="648000" cy="648000"/>
                  <wp:docPr id="5" name="Picture 5"/>
                  <wp:cNvGraphicFramePr>
                    <a:graphicFrameLocks noChangeAspect="1"/>
                  </wp:cNvGraphicFramePr>
                  <a:graphic>
                    <a:graphicData uri="http://schemas.openxmlformats.org/drawingml/2006/picture">
                      <pic:pic>
                        <pic:nvPicPr>
                          <pic:cNvPr id="0" name="GHS04.png"/>
                          <pic:cNvPicPr/>
                        </pic:nvPicPr>
                        <pic:blipFill>
                          <a:blip r:embed="rId13"/>
                          <a:stretch>
                            <a:fillRect/>
                          </a:stretch>
                        </pic:blipFill>
                        <pic:spPr>
                          <a:xfrm>
                            <a:off x="0" y="0"/>
                            <a:ext cx="648000" cy="648000"/>
                          </a:xfrm>
                          <a:prstGeom prst="rect"/>
                        </pic:spPr>
                      </pic:pic>
                    </a:graphicData>
                  </a:graphic>
                </wp:inline>
              </w:drawing>
            </w:r>
          </w:p>
        </w:tc>
        <w:tc>
          <w:tcPr>
            <w:tcW w:type="dxa" w:w="1701"/>
            <w:shd w:fill="FFFFFF"/>
          </w:tcPr>
          <w:p>
            <w:pPr>
              <w:spacing w:before="40" w:after="40"/>
            </w:pPr>
            <w:r/>
            <w:r>
              <w:rPr>
                <w:rFonts w:ascii="Calibri" w:hAnsi="Calibri"/>
                <w:b w:val="0"/>
                <w:color w:val="1F2937"/>
                <w:sz w:val="20"/>
              </w:rPr>
              <w:t>GHS04</w:t>
            </w:r>
          </w:p>
        </w:tc>
        <w:tc>
          <w:tcPr>
            <w:tcW w:type="dxa" w:w="4535"/>
            <w:shd w:fill="FFFFFF"/>
          </w:tcPr>
          <w:p>
            <w:pPr>
              <w:spacing w:before="40" w:after="40"/>
            </w:pPr>
            <w:r/>
            <w:r>
              <w:rPr>
                <w:rFonts w:ascii="Calibri" w:hAnsi="Calibri"/>
                <w:b w:val="0"/>
                <w:color w:val="1F2937"/>
                <w:sz w:val="20"/>
              </w:rPr>
              <w:t>Drukgas</w:t>
            </w:r>
          </w:p>
        </w:tc>
      </w:tr>
      <w:tr>
        <w:tc>
          <w:tcPr>
            <w:tcW w:type="dxa" w:w="1701"/>
            <w:shd w:fill="F8F9FA"/>
          </w:tcPr>
          <w:p>
            <w:pPr>
              <w:jc w:val="center"/>
            </w:pPr>
            <w:r/>
            <w:r>
              <w:drawing>
                <wp:inline xmlns:a="http://schemas.openxmlformats.org/drawingml/2006/main" xmlns:pic="http://schemas.openxmlformats.org/drawingml/2006/picture">
                  <wp:extent cx="648000" cy="648000"/>
                  <wp:docPr id="6" name="Picture 6"/>
                  <wp:cNvGraphicFramePr>
                    <a:graphicFrameLocks noChangeAspect="1"/>
                  </wp:cNvGraphicFramePr>
                  <a:graphic>
                    <a:graphicData uri="http://schemas.openxmlformats.org/drawingml/2006/picture">
                      <pic:pic>
                        <pic:nvPicPr>
                          <pic:cNvPr id="0" name="GHS05.png"/>
                          <pic:cNvPicPr/>
                        </pic:nvPicPr>
                        <pic:blipFill>
                          <a:blip r:embed="rId14"/>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GHS05</w:t>
            </w:r>
          </w:p>
        </w:tc>
        <w:tc>
          <w:tcPr>
            <w:tcW w:type="dxa" w:w="4535"/>
            <w:shd w:fill="F8F9FA"/>
          </w:tcPr>
          <w:p>
            <w:pPr>
              <w:spacing w:before="40" w:after="40"/>
            </w:pPr>
            <w:r/>
            <w:r>
              <w:rPr>
                <w:rFonts w:ascii="Calibri" w:hAnsi="Calibri"/>
                <w:b w:val="0"/>
                <w:color w:val="1F2937"/>
                <w:sz w:val="20"/>
              </w:rPr>
              <w:t>Corrosief</w:t>
            </w:r>
          </w:p>
        </w:tc>
      </w:tr>
      <w:tr>
        <w:tc>
          <w:tcPr>
            <w:tcW w:type="dxa" w:w="1701"/>
            <w:shd w:fill="FFFFFF"/>
          </w:tcPr>
          <w:p>
            <w:pPr>
              <w:jc w:val="center"/>
            </w:pPr>
            <w:r/>
            <w:r>
              <w:drawing>
                <wp:inline xmlns:a="http://schemas.openxmlformats.org/drawingml/2006/main" xmlns:pic="http://schemas.openxmlformats.org/drawingml/2006/picture">
                  <wp:extent cx="648000" cy="648000"/>
                  <wp:docPr id="7" name="Picture 7"/>
                  <wp:cNvGraphicFramePr>
                    <a:graphicFrameLocks noChangeAspect="1"/>
                  </wp:cNvGraphicFramePr>
                  <a:graphic>
                    <a:graphicData uri="http://schemas.openxmlformats.org/drawingml/2006/picture">
                      <pic:pic>
                        <pic:nvPicPr>
                          <pic:cNvPr id="0" name="GHS06.png"/>
                          <pic:cNvPicPr/>
                        </pic:nvPicPr>
                        <pic:blipFill>
                          <a:blip r:embed="rId15"/>
                          <a:stretch>
                            <a:fillRect/>
                          </a:stretch>
                        </pic:blipFill>
                        <pic:spPr>
                          <a:xfrm>
                            <a:off x="0" y="0"/>
                            <a:ext cx="648000" cy="648000"/>
                          </a:xfrm>
                          <a:prstGeom prst="rect"/>
                        </pic:spPr>
                      </pic:pic>
                    </a:graphicData>
                  </a:graphic>
                </wp:inline>
              </w:drawing>
            </w:r>
          </w:p>
        </w:tc>
        <w:tc>
          <w:tcPr>
            <w:tcW w:type="dxa" w:w="1701"/>
            <w:shd w:fill="FFFFFF"/>
          </w:tcPr>
          <w:p>
            <w:pPr>
              <w:spacing w:before="40" w:after="40"/>
            </w:pPr>
            <w:r/>
            <w:r>
              <w:rPr>
                <w:rFonts w:ascii="Calibri" w:hAnsi="Calibri"/>
                <w:b w:val="0"/>
                <w:color w:val="1F2937"/>
                <w:sz w:val="20"/>
              </w:rPr>
              <w:t>GHS06</w:t>
            </w:r>
          </w:p>
        </w:tc>
        <w:tc>
          <w:tcPr>
            <w:tcW w:type="dxa" w:w="4535"/>
            <w:shd w:fill="FFFFFF"/>
          </w:tcPr>
          <w:p>
            <w:pPr>
              <w:spacing w:before="40" w:after="40"/>
            </w:pPr>
            <w:r/>
            <w:r>
              <w:rPr>
                <w:rFonts w:ascii="Calibri" w:hAnsi="Calibri"/>
                <w:b w:val="0"/>
                <w:color w:val="1F2937"/>
                <w:sz w:val="20"/>
              </w:rPr>
              <w:t>Giftig / Acuut toxisch</w:t>
            </w:r>
          </w:p>
        </w:tc>
      </w:tr>
      <w:tr>
        <w:tc>
          <w:tcPr>
            <w:tcW w:type="dxa" w:w="1701"/>
            <w:shd w:fill="F8F9FA"/>
          </w:tcPr>
          <w:p>
            <w:pPr>
              <w:jc w:val="center"/>
            </w:pPr>
            <w:r/>
            <w:r>
              <w:drawing>
                <wp:inline xmlns:a="http://schemas.openxmlformats.org/drawingml/2006/main" xmlns:pic="http://schemas.openxmlformats.org/drawingml/2006/picture">
                  <wp:extent cx="648000" cy="648000"/>
                  <wp:docPr id="8" name="Picture 8"/>
                  <wp:cNvGraphicFramePr>
                    <a:graphicFrameLocks noChangeAspect="1"/>
                  </wp:cNvGraphicFramePr>
                  <a:graphic>
                    <a:graphicData uri="http://schemas.openxmlformats.org/drawingml/2006/picture">
                      <pic:pic>
                        <pic:nvPicPr>
                          <pic:cNvPr id="0" name="GHS07.png"/>
                          <pic:cNvPicPr/>
                        </pic:nvPicPr>
                        <pic:blipFill>
                          <a:blip r:embed="rId16"/>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GHS07</w:t>
            </w:r>
          </w:p>
        </w:tc>
        <w:tc>
          <w:tcPr>
            <w:tcW w:type="dxa" w:w="4535"/>
            <w:shd w:fill="F8F9FA"/>
          </w:tcPr>
          <w:p>
            <w:pPr>
              <w:spacing w:before="40" w:after="40"/>
            </w:pPr>
            <w:r/>
            <w:r>
              <w:rPr>
                <w:rFonts w:ascii="Calibri" w:hAnsi="Calibri"/>
                <w:b w:val="0"/>
                <w:color w:val="1F2937"/>
                <w:sz w:val="20"/>
              </w:rPr>
              <w:t>Irriterend / Gezondheidsschade</w:t>
            </w:r>
          </w:p>
        </w:tc>
      </w:tr>
      <w:tr>
        <w:tc>
          <w:tcPr>
            <w:tcW w:type="dxa" w:w="1701"/>
            <w:shd w:fill="FFFFFF"/>
          </w:tcPr>
          <w:p>
            <w:pPr>
              <w:jc w:val="center"/>
            </w:pPr>
            <w:r/>
            <w:r>
              <w:drawing>
                <wp:inline xmlns:a="http://schemas.openxmlformats.org/drawingml/2006/main" xmlns:pic="http://schemas.openxmlformats.org/drawingml/2006/picture">
                  <wp:extent cx="648000" cy="648000"/>
                  <wp:docPr id="9" name="Picture 9"/>
                  <wp:cNvGraphicFramePr>
                    <a:graphicFrameLocks noChangeAspect="1"/>
                  </wp:cNvGraphicFramePr>
                  <a:graphic>
                    <a:graphicData uri="http://schemas.openxmlformats.org/drawingml/2006/picture">
                      <pic:pic>
                        <pic:nvPicPr>
                          <pic:cNvPr id="0" name="GHS08.png"/>
                          <pic:cNvPicPr/>
                        </pic:nvPicPr>
                        <pic:blipFill>
                          <a:blip r:embed="rId17"/>
                          <a:stretch>
                            <a:fillRect/>
                          </a:stretch>
                        </pic:blipFill>
                        <pic:spPr>
                          <a:xfrm>
                            <a:off x="0" y="0"/>
                            <a:ext cx="648000" cy="648000"/>
                          </a:xfrm>
                          <a:prstGeom prst="rect"/>
                        </pic:spPr>
                      </pic:pic>
                    </a:graphicData>
                  </a:graphic>
                </wp:inline>
              </w:drawing>
            </w:r>
          </w:p>
        </w:tc>
        <w:tc>
          <w:tcPr>
            <w:tcW w:type="dxa" w:w="1701"/>
            <w:shd w:fill="FFFFFF"/>
          </w:tcPr>
          <w:p>
            <w:pPr>
              <w:spacing w:before="40" w:after="40"/>
            </w:pPr>
            <w:r/>
            <w:r>
              <w:rPr>
                <w:rFonts w:ascii="Calibri" w:hAnsi="Calibri"/>
                <w:b w:val="0"/>
                <w:color w:val="1F2937"/>
                <w:sz w:val="20"/>
              </w:rPr>
              <w:t>GHS08</w:t>
            </w:r>
          </w:p>
        </w:tc>
        <w:tc>
          <w:tcPr>
            <w:tcW w:type="dxa" w:w="4535"/>
            <w:shd w:fill="FFFFFF"/>
          </w:tcPr>
          <w:p>
            <w:pPr>
              <w:spacing w:before="40" w:after="40"/>
            </w:pPr>
            <w:r/>
            <w:r>
              <w:rPr>
                <w:rFonts w:ascii="Calibri" w:hAnsi="Calibri"/>
                <w:b w:val="0"/>
                <w:color w:val="1F2937"/>
                <w:sz w:val="20"/>
              </w:rPr>
              <w:t>Gezondheidsgevaar</w:t>
            </w:r>
          </w:p>
        </w:tc>
      </w:tr>
      <w:tr>
        <w:tc>
          <w:tcPr>
            <w:tcW w:type="dxa" w:w="1701"/>
            <w:shd w:fill="F8F9FA"/>
          </w:tcPr>
          <w:p>
            <w:pPr>
              <w:jc w:val="center"/>
            </w:pPr>
            <w:r/>
            <w:r>
              <w:drawing>
                <wp:inline xmlns:a="http://schemas.openxmlformats.org/drawingml/2006/main" xmlns:pic="http://schemas.openxmlformats.org/drawingml/2006/picture">
                  <wp:extent cx="648000" cy="648000"/>
                  <wp:docPr id="10" name="Picture 10"/>
                  <wp:cNvGraphicFramePr>
                    <a:graphicFrameLocks noChangeAspect="1"/>
                  </wp:cNvGraphicFramePr>
                  <a:graphic>
                    <a:graphicData uri="http://schemas.openxmlformats.org/drawingml/2006/picture">
                      <pic:pic>
                        <pic:nvPicPr>
                          <pic:cNvPr id="0" name="GHS09.png"/>
                          <pic:cNvPicPr/>
                        </pic:nvPicPr>
                        <pic:blipFill>
                          <a:blip r:embed="rId18"/>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GHS09</w:t>
            </w:r>
          </w:p>
        </w:tc>
        <w:tc>
          <w:tcPr>
            <w:tcW w:type="dxa" w:w="4535"/>
            <w:shd w:fill="F8F9FA"/>
          </w:tcPr>
          <w:p>
            <w:pPr>
              <w:spacing w:before="40" w:after="40"/>
            </w:pPr>
            <w:r/>
            <w:r>
              <w:rPr>
                <w:rFonts w:ascii="Calibri" w:hAnsi="Calibri"/>
                <w:b w:val="0"/>
                <w:color w:val="1F2937"/>
                <w:sz w:val="20"/>
              </w:rPr>
              <w:t>Milieugevaar</w:t>
            </w:r>
          </w:p>
        </w:tc>
      </w:tr>
    </w:tbl>
    <w:p/>
    <w:p>
      <w:r>
        <w:rPr>
          <w:rFonts w:ascii="Calibri" w:hAnsi="Calibri"/>
          <w:b w:val="0"/>
          <w:i w:val="0"/>
          <w:sz w:val="22"/>
        </w:rPr>
        <w:t>Bron: Officiële Wikimedia Commons GHS-pictogrammen, conform CLP Verordening (EG) nr. 1272/2008, Bijlage I, Deel 2 [5][6]. De UFI (Unique Formula Identifier) is een 16-cijferige code verplicht op etiketten van gevaarlijke mengsels [5].</w:t>
      </w:r>
    </w:p>
    <w:p>
      <w:r>
        <w:br w:type="page"/>
      </w:r>
    </w:p>
    <w:p>
      <w:pPr>
        <w:pStyle w:val="Heading1"/>
      </w:pPr>
      <w:r>
        <w:t>6. SVHC, Autorisatie en Restrictie</w:t>
      </w:r>
    </w:p>
    <w:p>
      <w:pPr>
        <w:pStyle w:val="Heading2"/>
      </w:pPr>
      <w:r>
        <w:t>6.1 SVHC — Zeer Zorgwekkende Stoffen</w:t>
      </w:r>
    </w:p>
    <w:p>
      <w:r>
        <w:rPr>
          <w:rFonts w:ascii="Calibri" w:hAnsi="Calibri"/>
          <w:b w:val="0"/>
          <w:i w:val="0"/>
          <w:sz w:val="22"/>
        </w:rPr>
        <w:t>SVHC-stoffen (Substances of Very High Concern) zijn stoffen met ernstige en vaak onomkeerbare effecten op mens of milieu. ECHA beheert de SVHC-kandidaatlijst [7]. Een stof kan als SVHC worden aangemerkt indien zij:</w:t>
      </w:r>
    </w:p>
    <w:p>
      <w:pPr>
        <w:pStyle w:val="ListBullet"/>
      </w:pPr>
      <w:r>
        <w:rPr>
          <w:sz w:val="22"/>
        </w:rPr>
        <w:t>Kankerverwekkend, mutageen of toxisch voor de voortplanting (CMR, cat. 1A of 1B)</w:t>
      </w:r>
    </w:p>
    <w:p>
      <w:pPr>
        <w:pStyle w:val="ListBullet"/>
      </w:pPr>
      <w:r>
        <w:rPr>
          <w:sz w:val="22"/>
        </w:rPr>
        <w:t>Persistent, bioaccumulatief en toxisch (PBT)</w:t>
      </w:r>
    </w:p>
    <w:p>
      <w:pPr>
        <w:pStyle w:val="ListBullet"/>
      </w:pPr>
      <w:r>
        <w:rPr>
          <w:sz w:val="22"/>
        </w:rPr>
        <w:t>Zeer persistent en zeer bioaccumulatief (vPvB)</w:t>
      </w:r>
    </w:p>
    <w:p>
      <w:pPr>
        <w:pStyle w:val="ListBullet"/>
      </w:pPr>
      <w:r>
        <w:rPr>
          <w:sz w:val="22"/>
        </w:rPr>
        <w:t>Ernstige zorgwekkende effecten vertoont (bijv. endocriene disruptors)</w:t>
      </w:r>
    </w:p>
    <w:p>
      <w:r>
        <w:rPr>
          <w:rFonts w:ascii="Calibri" w:hAnsi="Calibri"/>
          <w:b w:val="0"/>
          <w:i w:val="0"/>
          <w:sz w:val="22"/>
        </w:rPr>
        <w:t>Verplichtingen rond SVHC: fabrikanten/importeurs van artikelen moeten ECHA informeren wanneer een SVHC &gt; 0,1% gewichtspercentage in een artikel aanwezig is (Art. 7(2) REACH). Leveranciers moeten ontvangers informeren over de aanwezigheid van SVHC (Art. 33 REACH) [7].</w:t>
      </w:r>
    </w:p>
    <w:p>
      <w:pPr>
        <w:pStyle w:val="Heading2"/>
      </w:pPr>
      <w:r>
        <w:t>6.2 Autorisatie (Titel VII REACH)</w:t>
      </w:r>
    </w:p>
    <w:p>
      <w:r>
        <w:rPr>
          <w:rFonts w:ascii="Calibri" w:hAnsi="Calibri"/>
          <w:b w:val="0"/>
          <w:i w:val="0"/>
          <w:sz w:val="22"/>
        </w:rPr>
        <w:t>Stoffen op de Autorisatielijst (Annex XIV) mogen na een bepaalde datum ('sunset date') niet langer gebruikt worden zonder voorafgaande autorisatie van ECHA. Bedrijven die dergelijke stoffen willen blijven gebruiken, moeten een autorisatieaanvraag indienen waarin zij aantonen dat het risico voldoende is beheerst en dat er geen geschikte alternatieven beschikbaar zijn [1][7].</w:t>
      </w:r>
    </w:p>
    <w:p>
      <w:pPr>
        <w:pStyle w:val="Heading2"/>
      </w:pPr>
      <w:r>
        <w:t>6.3 Restrictie (Titel VIII REACH)</w:t>
      </w:r>
    </w:p>
    <w:p>
      <w:r>
        <w:rPr>
          <w:rFonts w:ascii="Calibri" w:hAnsi="Calibri"/>
          <w:b w:val="0"/>
          <w:i w:val="0"/>
          <w:sz w:val="22"/>
        </w:rPr>
        <w:t>Restricties zijn permanente of voorwaardelijke verboden op het gebruik van specifieke stoffen. De restricties zijn opgenomen in Annex XVII van REACH en zijn bindend voor alle actoren in de keten. Restricties kunnen betrekking hebben op de stof zelf, op mengsels die de stof bevatten, of op artikelen waarin de stof is verwerkt [1].</w:t>
      </w:r>
    </w:p>
    <w:p>
      <w:r>
        <w:br w:type="page"/>
      </w:r>
    </w:p>
    <w:p>
      <w:pPr>
        <w:pStyle w:val="Heading1"/>
      </w:pPr>
      <w:r>
        <w:t>7. Veiligheidsinformatieblad (SDS) &amp; eSDS</w:t>
      </w:r>
    </w:p>
    <w:p>
      <w:r>
        <w:rPr>
          <w:rFonts w:ascii="Calibri" w:hAnsi="Calibri"/>
          <w:b w:val="0"/>
          <w:i w:val="0"/>
          <w:sz w:val="22"/>
        </w:rPr>
        <w:t>Een Veiligheidsinformatieblad (Safety Data Sheet, SDS) is een document dat informatie verschaft over de eigenschappen van een gevaarlijke stof of mengsel, de gevaren, en de veilige wijze van gebruik. Het SDS is verplicht voor gevaarlijke stoffen en mengsels (CLP-geclassificeerd) bij ≥ 1 ton/jaar (Art. 31 REACH) [8].</w:t>
      </w:r>
    </w:p>
    <w:p>
      <w:pPr>
        <w:pStyle w:val="Heading2"/>
      </w:pPr>
      <w:r>
        <w:t>7.1 Structuur van het SDS</w:t>
      </w:r>
    </w:p>
    <w:p>
      <w:r>
        <w:rPr>
          <w:rFonts w:ascii="Calibri" w:hAnsi="Calibri"/>
          <w:b w:val="0"/>
          <w:i w:val="0"/>
          <w:sz w:val="22"/>
        </w:rPr>
        <w:t>Een SDS bevat 16 secties conform Annex II van REACH [8]:</w:t>
      </w:r>
    </w:p>
    <w:p>
      <w:pPr>
        <w:pStyle w:val="ListBullet"/>
      </w:pPr>
      <w:r>
        <w:rPr>
          <w:sz w:val="20"/>
        </w:rPr>
        <w:t>1. Identificatie van de stof/mengsel en van de onderneming</w:t>
      </w:r>
    </w:p>
    <w:p>
      <w:pPr>
        <w:pStyle w:val="ListBullet"/>
      </w:pPr>
      <w:r>
        <w:rPr>
          <w:sz w:val="20"/>
        </w:rPr>
        <w:t>2. Identificatie van de gevaren</w:t>
      </w:r>
    </w:p>
    <w:p>
      <w:pPr>
        <w:pStyle w:val="ListBullet"/>
      </w:pPr>
      <w:r>
        <w:rPr>
          <w:sz w:val="20"/>
        </w:rPr>
        <w:t>3. Samenstelling en informatie over de bestanddelen</w:t>
      </w:r>
    </w:p>
    <w:p>
      <w:pPr>
        <w:pStyle w:val="ListBullet"/>
      </w:pPr>
      <w:r>
        <w:rPr>
          <w:sz w:val="20"/>
        </w:rPr>
        <w:t>4. Eerste-hulpmaatregelen</w:t>
      </w:r>
    </w:p>
    <w:p>
      <w:pPr>
        <w:pStyle w:val="ListBullet"/>
      </w:pPr>
      <w:r>
        <w:rPr>
          <w:sz w:val="20"/>
        </w:rPr>
        <w:t>5. Brandblusmaatregelen</w:t>
      </w:r>
    </w:p>
    <w:p>
      <w:pPr>
        <w:pStyle w:val="ListBullet"/>
      </w:pPr>
      <w:r>
        <w:rPr>
          <w:sz w:val="20"/>
        </w:rPr>
        <w:t>6. Maatregelen bij onopzettelijke verspreiding</w:t>
      </w:r>
    </w:p>
    <w:p>
      <w:pPr>
        <w:pStyle w:val="ListBullet"/>
      </w:pPr>
      <w:r>
        <w:rPr>
          <w:sz w:val="20"/>
        </w:rPr>
        <w:t>7. Hanteren en opslag</w:t>
      </w:r>
    </w:p>
    <w:p>
      <w:pPr>
        <w:pStyle w:val="ListBullet"/>
      </w:pPr>
      <w:r>
        <w:rPr>
          <w:sz w:val="20"/>
        </w:rPr>
        <w:t>8. Blootstellingsbeheersing / persoonlijke bescherming</w:t>
      </w:r>
    </w:p>
    <w:p>
      <w:pPr>
        <w:pStyle w:val="ListBullet"/>
      </w:pPr>
      <w:r>
        <w:rPr>
          <w:sz w:val="20"/>
        </w:rPr>
        <w:t>9. Fysische en chemische eigenschappen</w:t>
      </w:r>
    </w:p>
    <w:p>
      <w:pPr>
        <w:pStyle w:val="ListBullet"/>
      </w:pPr>
      <w:r>
        <w:rPr>
          <w:sz w:val="20"/>
        </w:rPr>
        <w:t>10. Stabiliteit en reactiviteit</w:t>
      </w:r>
    </w:p>
    <w:p>
      <w:pPr>
        <w:pStyle w:val="ListBullet"/>
      </w:pPr>
      <w:r>
        <w:rPr>
          <w:sz w:val="20"/>
        </w:rPr>
        <w:t>11. Toxicologische informatie</w:t>
      </w:r>
    </w:p>
    <w:p>
      <w:pPr>
        <w:pStyle w:val="ListBullet"/>
      </w:pPr>
      <w:r>
        <w:rPr>
          <w:sz w:val="20"/>
        </w:rPr>
        <w:t>12. Ecologische informatie</w:t>
      </w:r>
    </w:p>
    <w:p>
      <w:pPr>
        <w:pStyle w:val="ListBullet"/>
      </w:pPr>
      <w:r>
        <w:rPr>
          <w:sz w:val="20"/>
        </w:rPr>
        <w:t>13. Afvoeroverwegingen</w:t>
      </w:r>
    </w:p>
    <w:p>
      <w:pPr>
        <w:pStyle w:val="ListBullet"/>
      </w:pPr>
      <w:r>
        <w:rPr>
          <w:sz w:val="20"/>
        </w:rPr>
        <w:t>14. Informatie over het vervoer</w:t>
      </w:r>
    </w:p>
    <w:p>
      <w:pPr>
        <w:pStyle w:val="ListBullet"/>
      </w:pPr>
      <w:r>
        <w:rPr>
          <w:sz w:val="20"/>
        </w:rPr>
        <w:t>15. Wettelijke voorschriften</w:t>
      </w:r>
    </w:p>
    <w:p>
      <w:pPr>
        <w:pStyle w:val="ListBullet"/>
      </w:pPr>
      <w:r>
        <w:rPr>
          <w:sz w:val="20"/>
        </w:rPr>
        <w:t>16. Overige informatie</w:t>
      </w:r>
    </w:p>
    <w:p>
      <w:pPr>
        <w:pStyle w:val="Heading2"/>
      </w:pPr>
      <w:r>
        <w:t>7.2 Uitgebreid SDS (eSDS)</w:t>
      </w:r>
    </w:p>
    <w:p>
      <w:r>
        <w:rPr>
          <w:rFonts w:ascii="Calibri" w:hAnsi="Calibri"/>
          <w:b w:val="0"/>
          <w:i w:val="0"/>
          <w:sz w:val="22"/>
        </w:rPr>
        <w:t>Bij registratie ≥ 10 ton/jaar is een Chemical Safety Report (CSR) verplicht. De blootstellingsscenario's uit de CSR worden opgenomen in een uitgebreid SDS (eSDS). Het eSDS bevat naast de standaard 16 secties ook specifieke blootstellingsscenario's met beschermingsmaatregelen en voorwaarden voor veilig gebruik [1][8].</w:t>
      </w:r>
    </w:p>
    <w:p>
      <w:r>
        <w:rPr>
          <w:rFonts w:ascii="Calibri" w:hAnsi="Calibri"/>
          <w:b w:val="0"/>
          <w:i w:val="0"/>
          <w:sz w:val="22"/>
        </w:rPr>
        <w:t>Phoenix Metals moet als fabrikant van vanadium-elektrolyten eSDS opstellen zodra de productie ≥ 10 ton/jaar bereikt. Als downstream gebruiker van grondstoffen (NaOH, H₂SO₄, aceton, diesel) is Phoenix Metals verplicht de eSDS van leveranciers te raadplegen en de blootstellingsscenario's op te volgen [3].</w:t>
      </w:r>
    </w:p>
    <w:p>
      <w:r>
        <w:br w:type="page"/>
      </w:r>
    </w:p>
    <w:p>
      <w:pPr>
        <w:pStyle w:val="Heading1"/>
      </w:pPr>
      <w:r>
        <w:t>8. Phoenix Metals Praktijkcase</w:t>
      </w:r>
    </w:p>
    <w:p>
      <w:r>
        <w:rPr>
          <w:rFonts w:ascii="Calibri" w:hAnsi="Calibri"/>
          <w:b w:val="0"/>
          <w:i w:val="0"/>
          <w:sz w:val="22"/>
        </w:rPr>
        <w:t>Phoenix Metals IJmuiden produceert vanadium-elektrolyten uit staalslakken voor batterijopslag. Het productieproces omvat het verwerken van staalslakken tot vanadium-elektrolyten, waarbij meerdere chemische grondstoffen worden gebruikt [3].</w:t>
      </w:r>
    </w:p>
    <w:p>
      <w:pPr>
        <w:pStyle w:val="Heading2"/>
      </w:pPr>
      <w:r>
        <w:t>8.1 Scenario 1: Pilot Fase (&lt; 1 ton/jaar)</w:t>
      </w:r>
    </w:p>
    <w:p>
      <w:r>
        <w:rPr>
          <w:rFonts w:ascii="Calibri" w:hAnsi="Calibri"/>
          <w:b w:val="0"/>
          <w:i w:val="0"/>
          <w:sz w:val="22"/>
        </w:rPr>
        <w:t>In de pilot-fase produceert Phoenix Metals &lt; 1 ton vanadium-elektrolyten per jaar.</w:t>
      </w:r>
    </w:p>
    <w:tbl>
      <w:tblPr>
        <w:tblW w:type="auto" w:w="0"/>
        <w:tblLook w:firstColumn="1" w:firstRow="1" w:lastColumn="0" w:lastRow="0" w:noHBand="0" w:noVBand="1" w:val="04A0"/>
      </w:tblPr>
      <w:tblGrid>
        <w:gridCol w:w="8640"/>
      </w:tblGrid>
      <w:tr>
        <w:tc>
          <w:tcPr>
            <w:tcW w:type="dxa" w:w="8640"/>
            <w:shd w:fill="F0FFF0"/>
          </w:tcPr>
          <w:p>
            <w:r/>
            <w:r>
              <w:rPr>
                <w:sz w:val="20"/>
              </w:rPr>
              <w:t>• Status: GEEN REACH-registratieplicht</w:t>
              <w:br/>
            </w:r>
            <w:r>
              <w:rPr>
                <w:sz w:val="20"/>
              </w:rPr>
              <w:t>• CLP-verplichtingen: Ja — classificatie, etikettering, verpakking conform CLP</w:t>
              <w:br/>
            </w:r>
            <w:r>
              <w:rPr>
                <w:sz w:val="20"/>
              </w:rPr>
              <w:t>• Arbowet: RI&amp;E verplicht (Risico Inventarisatie &amp; Evaluatie)</w:t>
              <w:br/>
            </w:r>
            <w:r>
              <w:rPr>
                <w:sz w:val="20"/>
              </w:rPr>
              <w:t>• SDS: Vrijwillig maar aanbevolen bij gevaarlijke stoffen</w:t>
              <w:br/>
            </w:r>
            <w:r>
              <w:rPr>
                <w:sz w:val="20"/>
              </w:rPr>
              <w:t>• Kosten registratie: Geen</w:t>
              <w:br/>
            </w:r>
            <w:r>
              <w:rPr>
                <w:sz w:val="20"/>
              </w:rPr>
              <w:t>• Doorlooptijd: N.v.t.</w:t>
              <w:br/>
            </w:r>
          </w:p>
        </w:tc>
      </w:tr>
    </w:tbl>
    <w:p>
      <w:pPr>
        <w:pStyle w:val="Heading2"/>
      </w:pPr>
      <w:r>
        <w:t>8.2 Scenario 2: Demonstrator Fase (1 – 10 ton/jaar)</w:t>
      </w:r>
    </w:p>
    <w:p>
      <w:r>
        <w:rPr>
          <w:rFonts w:ascii="Calibri" w:hAnsi="Calibri"/>
          <w:b w:val="0"/>
          <w:i w:val="0"/>
          <w:sz w:val="22"/>
        </w:rPr>
        <w:t>Bij opschaling naar 1-10 ton/jaar treedt de REACH-registratieplicht in werking. Het registratiedossier moet voldoen aan Annex VII [1][2].</w:t>
      </w:r>
    </w:p>
    <w:tbl>
      <w:tblPr>
        <w:tblW w:type="auto" w:w="0"/>
        <w:tblLook w:firstColumn="1" w:firstRow="1" w:lastColumn="0" w:lastRow="0" w:noHBand="0" w:noVBand="1" w:val="04A0"/>
      </w:tblPr>
      <w:tblGrid>
        <w:gridCol w:w="8640"/>
      </w:tblGrid>
      <w:tr>
        <w:tc>
          <w:tcPr>
            <w:tcW w:type="dxa" w:w="8640"/>
            <w:shd w:fill="FFFEBA"/>
          </w:tcPr>
          <w:p>
            <w:r/>
            <w:r>
              <w:rPr>
                <w:sz w:val="20"/>
              </w:rPr>
              <w:t>• Status: REACH-registratie VERPLICHT — Annex VII</w:t>
              <w:br/>
            </w:r>
            <w:r>
              <w:rPr>
                <w:sz w:val="20"/>
              </w:rPr>
              <w:t>• CSR: Niet verplicht (tenzij CMR cat 1A/1B of PBT/vPvB)</w:t>
              <w:br/>
            </w:r>
            <w:r>
              <w:rPr>
                <w:sz w:val="20"/>
              </w:rPr>
              <w:t>• Documenten: Registratiedossier (Annex VII), SDS, CLP-classificatie, RI&amp;E</w:t>
              <w:br/>
            </w:r>
            <w:r>
              <w:rPr>
                <w:sz w:val="20"/>
              </w:rPr>
              <w:t>• Kosten: EUR 15.000 – EUR 50.000</w:t>
              <w:br/>
            </w:r>
            <w:r>
              <w:rPr>
                <w:sz w:val="20"/>
              </w:rPr>
              <w:t>• Doorlooptijd: 6 – 12 maanden</w:t>
              <w:br/>
            </w:r>
            <w:r>
              <w:rPr>
                <w:sz w:val="20"/>
              </w:rPr>
              <w:t>• Actie: Vroegtijdig starten met consortiumdeelname en gegevensverzameling</w:t>
              <w:br/>
            </w:r>
          </w:p>
        </w:tc>
      </w:tr>
    </w:tbl>
    <w:p>
      <w:pPr>
        <w:pStyle w:val="Heading2"/>
      </w:pPr>
      <w:r>
        <w:t>8.3 Scenario 3: Commerciële Fase</w:t>
      </w:r>
    </w:p>
    <w:p>
      <w:pPr>
        <w:pStyle w:val="Heading3"/>
      </w:pPr>
      <w:r>
        <w:t>8.3.1 Commercieel 10 – 100 ton/jaar</w:t>
      </w:r>
    </w:p>
    <w:tbl>
      <w:tblPr>
        <w:tblW w:type="auto" w:w="0"/>
        <w:tblLook w:firstColumn="1" w:firstRow="1" w:lastColumn="0" w:lastRow="0" w:noHBand="0" w:noVBand="1" w:val="04A0"/>
      </w:tblPr>
      <w:tblGrid>
        <w:gridCol w:w="8640"/>
      </w:tblGrid>
      <w:tr>
        <w:tc>
          <w:tcPr>
            <w:tcW w:type="dxa" w:w="8640"/>
            <w:shd w:fill="FFE0E0"/>
          </w:tcPr>
          <w:p>
            <w:r/>
            <w:r>
              <w:rPr>
                <w:sz w:val="20"/>
              </w:rPr>
              <w:t>• Annex: VII + VIII</w:t>
              <w:br/>
            </w:r>
            <w:r>
              <w:rPr>
                <w:sz w:val="20"/>
              </w:rPr>
              <w:t>• CSR: VERPLICHT</w:t>
              <w:br/>
            </w:r>
            <w:r>
              <w:rPr>
                <w:sz w:val="20"/>
              </w:rPr>
              <w:t>• Kosten: EUR 50.000 – EUR 150.000</w:t>
              <w:br/>
            </w:r>
            <w:r>
              <w:rPr>
                <w:sz w:val="20"/>
              </w:rPr>
              <w:t>• Doorlooptijd: 12 – 18 maanden</w:t>
              <w:br/>
            </w:r>
            <w:r>
              <w:rPr>
                <w:sz w:val="20"/>
              </w:rPr>
              <w:t>• Documenten: Registratiedossier, CSR, eSDS met blootstellingsscenario's, CLP</w:t>
              <w:br/>
            </w:r>
          </w:p>
        </w:tc>
      </w:tr>
    </w:tbl>
    <w:p>
      <w:pPr>
        <w:pStyle w:val="Heading3"/>
      </w:pPr>
      <w:r>
        <w:t>8.3.2 Commercieel 100 – 1.000 ton/jaar</w:t>
      </w:r>
    </w:p>
    <w:tbl>
      <w:tblPr>
        <w:tblW w:type="auto" w:w="0"/>
        <w:tblLook w:firstColumn="1" w:firstRow="1" w:lastColumn="0" w:lastRow="0" w:noHBand="0" w:noVBand="1" w:val="04A0"/>
      </w:tblPr>
      <w:tblGrid>
        <w:gridCol w:w="8640"/>
      </w:tblGrid>
      <w:tr>
        <w:tc>
          <w:tcPr>
            <w:tcW w:type="dxa" w:w="8640"/>
            <w:shd w:fill="FFE0E0"/>
          </w:tcPr>
          <w:p>
            <w:r/>
            <w:r>
              <w:rPr>
                <w:sz w:val="20"/>
              </w:rPr>
              <w:t>• Annex: VII + VIII + IX</w:t>
              <w:br/>
            </w:r>
            <w:r>
              <w:rPr>
                <w:sz w:val="20"/>
              </w:rPr>
              <w:t>• CSR: Uitgebreid VERPLICHT</w:t>
              <w:br/>
            </w:r>
            <w:r>
              <w:rPr>
                <w:sz w:val="20"/>
              </w:rPr>
              <w:t>• Kosten: EUR 150.000 – EUR 500.000</w:t>
              <w:br/>
            </w:r>
            <w:r>
              <w:rPr>
                <w:sz w:val="20"/>
              </w:rPr>
              <w:t>• Doorlooptijd: 18 – 36 maanden</w:t>
              <w:br/>
            </w:r>
            <w:r>
              <w:rPr>
                <w:sz w:val="20"/>
              </w:rPr>
              <w:t>• Documenten: Volledig registratiedossier, CSR, eSDS, testrapporten, RI&amp;E</w:t>
              <w:br/>
            </w:r>
            <w:r>
              <w:rPr>
                <w:sz w:val="20"/>
              </w:rPr>
              <w:t>• Evaluatie door ECHA (compliance check) mogelijk</w:t>
              <w:br/>
            </w:r>
          </w:p>
        </w:tc>
      </w:tr>
    </w:tbl>
    <w:p>
      <w:pPr>
        <w:pStyle w:val="Heading3"/>
      </w:pPr>
      <w:r>
        <w:t>8.3.3 Commercieel &gt; 1.000 ton/jaar</w:t>
      </w:r>
    </w:p>
    <w:tbl>
      <w:tblPr>
        <w:tblW w:type="auto" w:w="0"/>
        <w:tblLook w:firstColumn="1" w:firstRow="1" w:lastColumn="0" w:lastRow="0" w:noHBand="0" w:noVBand="1" w:val="04A0"/>
      </w:tblPr>
      <w:tblGrid>
        <w:gridCol w:w="8640"/>
      </w:tblGrid>
      <w:tr>
        <w:tc>
          <w:tcPr>
            <w:tcW w:type="dxa" w:w="8640"/>
            <w:shd w:fill="FFE0E0"/>
          </w:tcPr>
          <w:p>
            <w:r/>
            <w:r>
              <w:rPr>
                <w:sz w:val="20"/>
              </w:rPr>
              <w:t>• Annex: VII + VIII + IX + X (volledig)</w:t>
              <w:br/>
            </w:r>
            <w:r>
              <w:rPr>
                <w:sz w:val="20"/>
              </w:rPr>
              <w:t>• CSR: Compleet VERPLICHT</w:t>
              <w:br/>
            </w:r>
            <w:r>
              <w:rPr>
                <w:sz w:val="20"/>
              </w:rPr>
              <w:t>• Kosten: EUR 500.000 – EUR 2.000.000+</w:t>
              <w:br/>
            </w:r>
            <w:r>
              <w:rPr>
                <w:sz w:val="20"/>
              </w:rPr>
              <w:t>• Doorlooptijd: 24 – 48 maanden</w:t>
              <w:br/>
            </w:r>
            <w:r>
              <w:rPr>
                <w:sz w:val="20"/>
              </w:rPr>
              <w:t>• Documenten: Volledig pakket incl. alle testrapporten, DU-meldingen</w:t>
              <w:br/>
            </w:r>
            <w:r>
              <w:rPr>
                <w:sz w:val="20"/>
              </w:rPr>
              <w:t>• Substance Evaluation mogelijk (CoRAP)</w:t>
              <w:br/>
            </w:r>
          </w:p>
        </w:tc>
      </w:tr>
    </w:tbl>
    <w:p>
      <w:r>
        <w:rPr>
          <w:rFonts w:ascii="Calibri" w:hAnsi="Calibri"/>
          <w:b w:val="0"/>
          <w:i w:val="0"/>
          <w:sz w:val="22"/>
        </w:rPr>
      </w:r>
    </w:p>
    <w:p>
      <w:r>
        <w:rPr>
          <w:rFonts w:ascii="Calibri" w:hAnsi="Calibri"/>
          <w:b w:val="0"/>
          <w:i w:val="0"/>
          <w:sz w:val="22"/>
        </w:rPr>
        <w:t>Budgetindicatie Phoenix Metals REACH-project: €120.000 – €290.000 (inclusief toxicoloog/consultant, consortiumlidmaatschap, ECHA-registratiekosten, aanvullende testen en interne kosten) [3].</w:t>
      </w:r>
    </w:p>
    <w:p>
      <w:r>
        <w:br w:type="page"/>
      </w:r>
    </w:p>
    <w:p>
      <w:pPr>
        <w:pStyle w:val="Heading1"/>
      </w:pPr>
      <w:r>
        <w:t>9. Phoenix Metals Chemicaliënregister</w:t>
      </w:r>
    </w:p>
    <w:p>
      <w:r>
        <w:rPr>
          <w:rFonts w:ascii="Calibri" w:hAnsi="Calibri"/>
          <w:b w:val="0"/>
          <w:i w:val="0"/>
          <w:sz w:val="22"/>
        </w:rPr>
        <w:t>Het volgende overzicht toont de chemische stoffen die Phoenix Metals gebruikt in het productieproces van vanadium-elektrolyten. De CLP- en ADR-classificaties zijn ontleend aan de interne procedures en veiligheidsinformatiebladen [3][9][10].</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984"/>
            <w:shd w:fill="003366"/>
          </w:tcPr>
          <w:p>
            <w:pPr>
              <w:spacing w:before="40" w:after="40"/>
            </w:pPr>
            <w:r/>
            <w:r>
              <w:rPr>
                <w:rFonts w:ascii="Calibri" w:hAnsi="Calibri"/>
                <w:b/>
                <w:color w:val="FFFFFF"/>
                <w:sz w:val="20"/>
              </w:rPr>
              <w:t>Stof</w:t>
            </w:r>
          </w:p>
        </w:tc>
        <w:tc>
          <w:tcPr>
            <w:tcW w:type="dxa" w:w="1984"/>
            <w:shd w:fill="003366"/>
          </w:tcPr>
          <w:p>
            <w:pPr>
              <w:spacing w:before="40" w:after="40"/>
            </w:pPr>
            <w:r/>
            <w:r>
              <w:rPr>
                <w:rFonts w:ascii="Calibri" w:hAnsi="Calibri"/>
                <w:b/>
                <w:color w:val="FFFFFF"/>
                <w:sz w:val="20"/>
              </w:rPr>
              <w:t>CLP Pictogrammen</w:t>
            </w:r>
          </w:p>
        </w:tc>
        <w:tc>
          <w:tcPr>
            <w:tcW w:type="dxa" w:w="3118"/>
            <w:shd w:fill="003366"/>
          </w:tcPr>
          <w:p>
            <w:pPr>
              <w:spacing w:before="40" w:after="40"/>
            </w:pPr>
            <w:r/>
            <w:r>
              <w:rPr>
                <w:rFonts w:ascii="Calibri" w:hAnsi="Calibri"/>
                <w:b/>
                <w:color w:val="FFFFFF"/>
                <w:sz w:val="20"/>
              </w:rPr>
              <w:t>CLP Classificatie</w:t>
            </w:r>
          </w:p>
        </w:tc>
        <w:tc>
          <w:tcPr>
            <w:tcW w:type="dxa" w:w="1984"/>
            <w:shd w:fill="003366"/>
          </w:tcPr>
          <w:p>
            <w:pPr>
              <w:spacing w:before="40" w:after="40"/>
            </w:pPr>
            <w:r/>
            <w:r>
              <w:rPr>
                <w:rFonts w:ascii="Calibri" w:hAnsi="Calibri"/>
                <w:b/>
                <w:color w:val="FFFFFF"/>
                <w:sz w:val="20"/>
              </w:rPr>
              <w:t>ADR Klasse</w:t>
            </w:r>
          </w:p>
        </w:tc>
      </w:tr>
      <w:tr>
        <w:tc>
          <w:tcPr>
            <w:tcW w:type="dxa" w:w="1984"/>
            <w:shd w:fill="F8F9FA"/>
          </w:tcPr>
          <w:p>
            <w:pPr>
              <w:spacing w:before="40" w:after="40"/>
            </w:pPr>
            <w:r/>
            <w:r>
              <w:rPr>
                <w:rFonts w:ascii="Calibri" w:hAnsi="Calibri"/>
                <w:b w:val="0"/>
                <w:color w:val="1F2937"/>
                <w:sz w:val="20"/>
              </w:rPr>
              <w:t>Natriumhydroxide (NaOH)</w:t>
            </w:r>
          </w:p>
        </w:tc>
        <w:tc>
          <w:tcPr>
            <w:tcW w:type="dxa" w:w="1984"/>
            <w:shd w:fill="F8F9FA"/>
          </w:tcPr>
          <w:p>
            <w:pPr>
              <w:spacing w:before="40" w:after="40"/>
            </w:pPr>
            <w:r/>
            <w:r>
              <w:rPr>
                <w:rFonts w:ascii="Calibri" w:hAnsi="Calibri"/>
                <w:b w:val="0"/>
                <w:color w:val="1F2937"/>
                <w:sz w:val="20"/>
              </w:rPr>
              <w:t>GHS05</w:t>
              <w:br/>
              <w:t>(Corrosief)</w:t>
            </w:r>
          </w:p>
        </w:tc>
        <w:tc>
          <w:tcPr>
            <w:tcW w:type="dxa" w:w="3118"/>
            <w:shd w:fill="F8F9FA"/>
          </w:tcPr>
          <w:p>
            <w:pPr>
              <w:spacing w:before="40" w:after="40"/>
            </w:pPr>
            <w:r/>
            <w:r>
              <w:rPr>
                <w:rFonts w:ascii="Calibri" w:hAnsi="Calibri"/>
                <w:b w:val="0"/>
                <w:color w:val="1F2937"/>
                <w:sz w:val="20"/>
              </w:rPr>
              <w:t>H314: Veroorzaakt ernstige brandwonden</w:t>
            </w:r>
          </w:p>
        </w:tc>
        <w:tc>
          <w:tcPr>
            <w:tcW w:type="dxa" w:w="1984"/>
            <w:shd w:fill="F8F9FA"/>
          </w:tcPr>
          <w:p>
            <w:pPr>
              <w:spacing w:before="40" w:after="40"/>
            </w:pPr>
            <w:r/>
            <w:r>
              <w:rPr>
                <w:rFonts w:ascii="Calibri" w:hAnsi="Calibri"/>
                <w:b w:val="0"/>
                <w:color w:val="1F2937"/>
                <w:sz w:val="20"/>
              </w:rPr>
              <w:t>Klasse 8</w:t>
              <w:br/>
              <w:t>Corrosieve stoffen</w:t>
            </w:r>
          </w:p>
        </w:tc>
      </w:tr>
      <w:tr>
        <w:tc>
          <w:tcPr>
            <w:tcW w:type="dxa" w:w="1984"/>
            <w:shd w:fill="FFFFFF"/>
          </w:tcPr>
          <w:p>
            <w:pPr>
              <w:spacing w:before="40" w:after="40"/>
            </w:pPr>
            <w:r/>
            <w:r>
              <w:rPr>
                <w:rFonts w:ascii="Calibri" w:hAnsi="Calibri"/>
                <w:b w:val="0"/>
                <w:color w:val="1F2937"/>
                <w:sz w:val="20"/>
              </w:rPr>
              <w:t>Zwavelzuur (H₂SO₄)</w:t>
            </w:r>
          </w:p>
        </w:tc>
        <w:tc>
          <w:tcPr>
            <w:tcW w:type="dxa" w:w="1984"/>
            <w:shd w:fill="FFFFFF"/>
          </w:tcPr>
          <w:p>
            <w:pPr>
              <w:spacing w:before="40" w:after="40"/>
            </w:pPr>
            <w:r/>
            <w:r>
              <w:rPr>
                <w:rFonts w:ascii="Calibri" w:hAnsi="Calibri"/>
                <w:b w:val="0"/>
                <w:color w:val="1F2937"/>
                <w:sz w:val="20"/>
              </w:rPr>
              <w:t>GHS05</w:t>
              <w:br/>
              <w:t>(Corrosief)</w:t>
            </w:r>
          </w:p>
        </w:tc>
        <w:tc>
          <w:tcPr>
            <w:tcW w:type="dxa" w:w="3118"/>
            <w:shd w:fill="FFFFFF"/>
          </w:tcPr>
          <w:p>
            <w:pPr>
              <w:spacing w:before="40" w:after="40"/>
            </w:pPr>
            <w:r/>
            <w:r>
              <w:rPr>
                <w:rFonts w:ascii="Calibri" w:hAnsi="Calibri"/>
                <w:b w:val="0"/>
                <w:color w:val="1F2937"/>
                <w:sz w:val="20"/>
              </w:rPr>
              <w:t>H314: Veroorzaakt ernstige brandwonden</w:t>
            </w:r>
          </w:p>
        </w:tc>
        <w:tc>
          <w:tcPr>
            <w:tcW w:type="dxa" w:w="1984"/>
            <w:shd w:fill="FFFFFF"/>
          </w:tcPr>
          <w:p>
            <w:pPr>
              <w:spacing w:before="40" w:after="40"/>
            </w:pPr>
            <w:r/>
            <w:r>
              <w:rPr>
                <w:rFonts w:ascii="Calibri" w:hAnsi="Calibri"/>
                <w:b w:val="0"/>
                <w:color w:val="1F2937"/>
                <w:sz w:val="20"/>
              </w:rPr>
              <w:t>Klasse 8</w:t>
              <w:br/>
              <w:t>Corrosieve stoffen</w:t>
            </w:r>
          </w:p>
        </w:tc>
      </w:tr>
      <w:tr>
        <w:tc>
          <w:tcPr>
            <w:tcW w:type="dxa" w:w="1984"/>
            <w:shd w:fill="F8F9FA"/>
          </w:tcPr>
          <w:p>
            <w:pPr>
              <w:spacing w:before="40" w:after="40"/>
            </w:pPr>
            <w:r/>
            <w:r>
              <w:rPr>
                <w:rFonts w:ascii="Calibri" w:hAnsi="Calibri"/>
                <w:b w:val="0"/>
                <w:color w:val="1F2937"/>
                <w:sz w:val="20"/>
              </w:rPr>
              <w:t>Aceton</w:t>
            </w:r>
          </w:p>
        </w:tc>
        <w:tc>
          <w:tcPr>
            <w:tcW w:type="dxa" w:w="1984"/>
            <w:shd w:fill="F8F9FA"/>
          </w:tcPr>
          <w:p>
            <w:pPr>
              <w:spacing w:before="40" w:after="40"/>
            </w:pPr>
            <w:r/>
            <w:r>
              <w:rPr>
                <w:rFonts w:ascii="Calibri" w:hAnsi="Calibri"/>
                <w:b w:val="0"/>
                <w:color w:val="1F2937"/>
                <w:sz w:val="20"/>
              </w:rPr>
              <w:t>GHS02, GHS07</w:t>
              <w:br/>
              <w:t>(Brandbaar, Irriterend)</w:t>
            </w:r>
          </w:p>
        </w:tc>
        <w:tc>
          <w:tcPr>
            <w:tcW w:type="dxa" w:w="3118"/>
            <w:shd w:fill="F8F9FA"/>
          </w:tcPr>
          <w:p>
            <w:pPr>
              <w:spacing w:before="40" w:after="40"/>
            </w:pPr>
            <w:r/>
            <w:r>
              <w:rPr>
                <w:rFonts w:ascii="Calibri" w:hAnsi="Calibri"/>
                <w:b w:val="0"/>
                <w:color w:val="1F2937"/>
                <w:sz w:val="20"/>
              </w:rPr>
              <w:t>H225: Zeer licht ontvlambaar</w:t>
              <w:br/>
              <w:t>H319: Irriteert de ogen</w:t>
            </w:r>
          </w:p>
        </w:tc>
        <w:tc>
          <w:tcPr>
            <w:tcW w:type="dxa" w:w="1984"/>
            <w:shd w:fill="F8F9FA"/>
          </w:tcPr>
          <w:p>
            <w:pPr>
              <w:spacing w:before="40" w:after="40"/>
            </w:pPr>
            <w:r/>
            <w:r>
              <w:rPr>
                <w:rFonts w:ascii="Calibri" w:hAnsi="Calibri"/>
                <w:b w:val="0"/>
                <w:color w:val="1F2937"/>
                <w:sz w:val="20"/>
              </w:rPr>
              <w:t>Klasse 3</w:t>
              <w:br/>
              <w:t>Licht ontvlambare vloeistoffen</w:t>
            </w:r>
          </w:p>
        </w:tc>
      </w:tr>
      <w:tr>
        <w:tc>
          <w:tcPr>
            <w:tcW w:type="dxa" w:w="1984"/>
            <w:shd w:fill="FFFFFF"/>
          </w:tcPr>
          <w:p>
            <w:pPr>
              <w:spacing w:before="40" w:after="40"/>
            </w:pPr>
            <w:r/>
            <w:r>
              <w:rPr>
                <w:rFonts w:ascii="Calibri" w:hAnsi="Calibri"/>
                <w:b w:val="0"/>
                <w:color w:val="1F2937"/>
                <w:sz w:val="20"/>
              </w:rPr>
              <w:t>Diesel</w:t>
            </w:r>
          </w:p>
        </w:tc>
        <w:tc>
          <w:tcPr>
            <w:tcW w:type="dxa" w:w="1984"/>
            <w:shd w:fill="FFFFFF"/>
          </w:tcPr>
          <w:p>
            <w:pPr>
              <w:spacing w:before="40" w:after="40"/>
            </w:pPr>
            <w:r/>
            <w:r>
              <w:rPr>
                <w:rFonts w:ascii="Calibri" w:hAnsi="Calibri"/>
                <w:b w:val="0"/>
                <w:color w:val="1F2937"/>
                <w:sz w:val="20"/>
              </w:rPr>
              <w:t>GHS02, GHS07, GHS08</w:t>
              <w:br/>
              <w:t>(Brandbaar, Irriterend,</w:t>
              <w:br/>
              <w:t>Gezondheidsgevaar)</w:t>
            </w:r>
          </w:p>
        </w:tc>
        <w:tc>
          <w:tcPr>
            <w:tcW w:type="dxa" w:w="3118"/>
            <w:shd w:fill="FFFFFF"/>
          </w:tcPr>
          <w:p>
            <w:pPr>
              <w:spacing w:before="40" w:after="40"/>
            </w:pPr>
            <w:r/>
            <w:r>
              <w:rPr>
                <w:rFonts w:ascii="Calibri" w:hAnsi="Calibri"/>
                <w:b w:val="0"/>
                <w:color w:val="1F2937"/>
                <w:sz w:val="20"/>
              </w:rPr>
              <w:t>H226: Licht ontvlambaar</w:t>
              <w:br/>
              <w:t>H304: Kan bij inslikking longschade veroorzaken</w:t>
              <w:br/>
              <w:t>H336: Kan slaperigheid of duizeligheid veroorzaken</w:t>
            </w:r>
          </w:p>
        </w:tc>
        <w:tc>
          <w:tcPr>
            <w:tcW w:type="dxa" w:w="1984"/>
            <w:shd w:fill="FFFFFF"/>
          </w:tcPr>
          <w:p>
            <w:pPr>
              <w:spacing w:before="40" w:after="40"/>
            </w:pPr>
            <w:r/>
            <w:r>
              <w:rPr>
                <w:rFonts w:ascii="Calibri" w:hAnsi="Calibri"/>
                <w:b w:val="0"/>
                <w:color w:val="1F2937"/>
                <w:sz w:val="20"/>
              </w:rPr>
              <w:t>Klasse 3</w:t>
              <w:br/>
              <w:t>Licht ontvlambare vloeistoffen</w:t>
            </w:r>
          </w:p>
        </w:tc>
      </w:tr>
      <w:tr>
        <w:tc>
          <w:tcPr>
            <w:tcW w:type="dxa" w:w="1984"/>
            <w:shd w:fill="F8F9FA"/>
          </w:tcPr>
          <w:p>
            <w:pPr>
              <w:spacing w:before="40" w:after="40"/>
            </w:pPr>
            <w:r/>
            <w:r>
              <w:rPr>
                <w:rFonts w:ascii="Calibri" w:hAnsi="Calibri"/>
                <w:b w:val="0"/>
                <w:color w:val="1F2937"/>
                <w:sz w:val="20"/>
              </w:rPr>
              <w:t>Aluminiumsulfaat</w:t>
            </w:r>
          </w:p>
        </w:tc>
        <w:tc>
          <w:tcPr>
            <w:tcW w:type="dxa" w:w="1984"/>
            <w:shd w:fill="F8F9FA"/>
          </w:tcPr>
          <w:p>
            <w:pPr>
              <w:spacing w:before="40" w:after="40"/>
            </w:pPr>
            <w:r/>
            <w:r>
              <w:rPr>
                <w:rFonts w:ascii="Calibri" w:hAnsi="Calibri"/>
                <w:b w:val="0"/>
                <w:color w:val="1F2937"/>
                <w:sz w:val="20"/>
              </w:rPr>
              <w:t>GHS07</w:t>
              <w:br/>
              <w:t>(Irriterend)</w:t>
            </w:r>
          </w:p>
        </w:tc>
        <w:tc>
          <w:tcPr>
            <w:tcW w:type="dxa" w:w="3118"/>
            <w:shd w:fill="F8F9FA"/>
          </w:tcPr>
          <w:p>
            <w:pPr>
              <w:spacing w:before="40" w:after="40"/>
            </w:pPr>
            <w:r/>
            <w:r>
              <w:rPr>
                <w:rFonts w:ascii="Calibri" w:hAnsi="Calibri"/>
                <w:b w:val="0"/>
                <w:color w:val="1F2937"/>
                <w:sz w:val="20"/>
              </w:rPr>
              <w:t>H319: Irriteert de ogen</w:t>
              <w:br/>
              <w:t>H315: Irriteert de huid</w:t>
            </w:r>
          </w:p>
        </w:tc>
        <w:tc>
          <w:tcPr>
            <w:tcW w:type="dxa" w:w="1984"/>
            <w:shd w:fill="F8F9FA"/>
          </w:tcPr>
          <w:p>
            <w:pPr>
              <w:spacing w:before="40" w:after="40"/>
            </w:pPr>
            <w:r/>
            <w:r>
              <w:rPr>
                <w:rFonts w:ascii="Calibri" w:hAnsi="Calibri"/>
                <w:b w:val="0"/>
                <w:color w:val="1F2937"/>
                <w:sz w:val="20"/>
              </w:rPr>
              <w:t>Niet geregistreerd als</w:t>
              <w:br/>
              <w:t>gevaarlijke stof (ADR)</w:t>
            </w:r>
          </w:p>
        </w:tc>
      </w:tr>
      <w:tr>
        <w:tc>
          <w:tcPr>
            <w:tcW w:type="dxa" w:w="1984"/>
            <w:shd w:fill="FFFFFF"/>
          </w:tcPr>
          <w:p>
            <w:pPr>
              <w:spacing w:before="40" w:after="40"/>
            </w:pPr>
            <w:r/>
            <w:r>
              <w:rPr>
                <w:rFonts w:ascii="Calibri" w:hAnsi="Calibri"/>
                <w:b w:val="0"/>
                <w:color w:val="1F2937"/>
                <w:sz w:val="20"/>
              </w:rPr>
              <w:t>Calciumoxide (CaO)</w:t>
            </w:r>
          </w:p>
        </w:tc>
        <w:tc>
          <w:tcPr>
            <w:tcW w:type="dxa" w:w="1984"/>
            <w:shd w:fill="FFFFFF"/>
          </w:tcPr>
          <w:p>
            <w:pPr>
              <w:spacing w:before="40" w:after="40"/>
            </w:pPr>
            <w:r/>
            <w:r>
              <w:rPr>
                <w:rFonts w:ascii="Calibri" w:hAnsi="Calibri"/>
                <w:b w:val="0"/>
                <w:color w:val="1F2937"/>
                <w:sz w:val="20"/>
              </w:rPr>
              <w:t>GHS05</w:t>
              <w:br/>
              <w:t>(Corrosief)</w:t>
            </w:r>
          </w:p>
        </w:tc>
        <w:tc>
          <w:tcPr>
            <w:tcW w:type="dxa" w:w="3118"/>
            <w:shd w:fill="FFFFFF"/>
          </w:tcPr>
          <w:p>
            <w:pPr>
              <w:spacing w:before="40" w:after="40"/>
            </w:pPr>
            <w:r/>
            <w:r>
              <w:rPr>
                <w:rFonts w:ascii="Calibri" w:hAnsi="Calibri"/>
                <w:b w:val="0"/>
                <w:color w:val="1F2937"/>
                <w:sz w:val="20"/>
              </w:rPr>
              <w:t>H314: Veroorzaakt ernstige brandwonden</w:t>
              <w:br/>
              <w:t>H260: Kan in contact met water ontvlambaar gas ontwikkelen</w:t>
            </w:r>
          </w:p>
        </w:tc>
        <w:tc>
          <w:tcPr>
            <w:tcW w:type="dxa" w:w="1984"/>
            <w:shd w:fill="FFFFFF"/>
          </w:tcPr>
          <w:p>
            <w:pPr>
              <w:spacing w:before="40" w:after="40"/>
            </w:pPr>
            <w:r/>
            <w:r>
              <w:rPr>
                <w:rFonts w:ascii="Calibri" w:hAnsi="Calibri"/>
                <w:b w:val="0"/>
                <w:color w:val="1F2937"/>
                <w:sz w:val="20"/>
              </w:rPr>
              <w:t>Klasse 8</w:t>
              <w:br/>
              <w:t>Corrosieve stoffen</w:t>
            </w:r>
          </w:p>
        </w:tc>
      </w:tr>
    </w:tbl>
    <w:p>
      <w:r>
        <w:rPr>
          <w:rFonts w:ascii="Calibri" w:hAnsi="Calibri"/>
          <w:b w:val="0"/>
          <w:i w:val="0"/>
          <w:sz w:val="22"/>
        </w:rPr>
      </w:r>
    </w:p>
    <w:p>
      <w:r>
        <w:rPr>
          <w:rFonts w:ascii="Calibri" w:hAnsi="Calibri"/>
          <w:b w:val="0"/>
          <w:i/>
          <w:sz w:val="22"/>
        </w:rPr>
        <w:t>Opmerking: De exacte CLP- en ADR-classificaties kunnen variëren afhankelijk van de concentratie, verpakking en leverancier. Raadpleeg altijd het actuele Veiligheidsinformatieblad (SDS) van de leverancier voor de meest actuele classificatie [8].</w:t>
      </w:r>
    </w:p>
    <w:p>
      <w:r>
        <w:br w:type="page"/>
      </w:r>
    </w:p>
    <w:p>
      <w:pPr>
        <w:pStyle w:val="Heading1"/>
      </w:pPr>
      <w:r>
        <w:t>10. CLP vs ADR vs ADN vs IMDG</w:t>
      </w:r>
    </w:p>
    <w:p>
      <w:r>
        <w:rPr>
          <w:rFonts w:ascii="Calibri" w:hAnsi="Calibri"/>
          <w:b w:val="0"/>
          <w:i w:val="0"/>
          <w:sz w:val="22"/>
        </w:rPr>
        <w:t>Het Europese en internationale regelgevingskader voor gevaarlijke stoffen kent meerdere systemen die elk een ander aspect van veiligheid regelen. Het is essentieel het onderscheid tussen deze systemen te begrijpen [1][9][10].</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984"/>
            <w:shd w:fill="003366"/>
          </w:tcPr>
          <w:p>
            <w:pPr>
              <w:spacing w:before="40" w:after="40"/>
            </w:pPr>
            <w:r/>
            <w:r>
              <w:rPr>
                <w:rFonts w:ascii="Calibri" w:hAnsi="Calibri"/>
                <w:b/>
                <w:color w:val="FFFFFF"/>
                <w:sz w:val="20"/>
              </w:rPr>
              <w:t>Regelgeving</w:t>
            </w:r>
          </w:p>
        </w:tc>
        <w:tc>
          <w:tcPr>
            <w:tcW w:type="dxa" w:w="2268"/>
            <w:shd w:fill="003366"/>
          </w:tcPr>
          <w:p>
            <w:pPr>
              <w:spacing w:before="40" w:after="40"/>
            </w:pPr>
            <w:r/>
            <w:r>
              <w:rPr>
                <w:rFonts w:ascii="Calibri" w:hAnsi="Calibri"/>
                <w:b/>
                <w:color w:val="FFFFFF"/>
                <w:sz w:val="20"/>
              </w:rPr>
              <w:t>Scope</w:t>
            </w:r>
          </w:p>
        </w:tc>
        <w:tc>
          <w:tcPr>
            <w:tcW w:type="dxa" w:w="2551"/>
            <w:shd w:fill="003366"/>
          </w:tcPr>
          <w:p>
            <w:pPr>
              <w:spacing w:before="40" w:after="40"/>
            </w:pPr>
            <w:r/>
            <w:r>
              <w:rPr>
                <w:rFonts w:ascii="Calibri" w:hAnsi="Calibri"/>
                <w:b/>
                <w:color w:val="FFFFFF"/>
                <w:sz w:val="20"/>
              </w:rPr>
              <w:t>Toepassingsgebied</w:t>
            </w:r>
          </w:p>
        </w:tc>
        <w:tc>
          <w:tcPr>
            <w:tcW w:type="dxa" w:w="2268"/>
            <w:shd w:fill="003366"/>
          </w:tcPr>
          <w:p>
            <w:pPr>
              <w:spacing w:before="40" w:after="40"/>
            </w:pPr>
            <w:r/>
            <w:r>
              <w:rPr>
                <w:rFonts w:ascii="Calibri" w:hAnsi="Calibri"/>
                <w:b/>
                <w:color w:val="FFFFFF"/>
                <w:sz w:val="20"/>
              </w:rPr>
              <w:t>Beheerder</w:t>
            </w:r>
          </w:p>
        </w:tc>
      </w:tr>
      <w:tr>
        <w:tc>
          <w:tcPr>
            <w:tcW w:type="dxa" w:w="1984"/>
            <w:shd w:fill="F8F9FA"/>
          </w:tcPr>
          <w:p>
            <w:pPr>
              <w:spacing w:before="40" w:after="40"/>
            </w:pPr>
            <w:r/>
            <w:r>
              <w:rPr>
                <w:rFonts w:ascii="Calibri" w:hAnsi="Calibri"/>
                <w:b w:val="0"/>
                <w:color w:val="1F2937"/>
                <w:sz w:val="20"/>
              </w:rPr>
              <w:t>CLP</w:t>
              <w:br/>
              <w:t>(EG nr. 1272/2008)</w:t>
            </w:r>
          </w:p>
        </w:tc>
        <w:tc>
          <w:tcPr>
            <w:tcW w:type="dxa" w:w="2268"/>
            <w:shd w:fill="F8F9FA"/>
          </w:tcPr>
          <w:p>
            <w:pPr>
              <w:spacing w:before="40" w:after="40"/>
            </w:pPr>
            <w:r/>
            <w:r>
              <w:rPr>
                <w:rFonts w:ascii="Calibri" w:hAnsi="Calibri"/>
                <w:b w:val="0"/>
                <w:color w:val="1F2937"/>
                <w:sz w:val="20"/>
              </w:rPr>
              <w:t>Classificatie, etikettering</w:t>
              <w:br/>
              <w:t>en verpakking</w:t>
            </w:r>
          </w:p>
        </w:tc>
        <w:tc>
          <w:tcPr>
            <w:tcW w:type="dxa" w:w="2551"/>
            <w:shd w:fill="F8F9FA"/>
          </w:tcPr>
          <w:p>
            <w:pPr>
              <w:spacing w:before="40" w:after="40"/>
            </w:pPr>
            <w:r/>
            <w:r>
              <w:rPr>
                <w:rFonts w:ascii="Calibri" w:hAnsi="Calibri"/>
                <w:b w:val="0"/>
                <w:color w:val="1F2937"/>
                <w:sz w:val="20"/>
              </w:rPr>
              <w:t>Alle stoffen/mengsels op</w:t>
              <w:br/>
              <w:t>de EU-markt</w:t>
            </w:r>
          </w:p>
        </w:tc>
        <w:tc>
          <w:tcPr>
            <w:tcW w:type="dxa" w:w="2268"/>
            <w:shd w:fill="F8F9FA"/>
          </w:tcPr>
          <w:p>
            <w:pPr>
              <w:spacing w:before="40" w:after="40"/>
            </w:pPr>
            <w:r/>
            <w:r>
              <w:rPr>
                <w:rFonts w:ascii="Calibri" w:hAnsi="Calibri"/>
                <w:b w:val="0"/>
                <w:color w:val="1F2937"/>
                <w:sz w:val="20"/>
              </w:rPr>
              <w:t>ECHA / Nationale</w:t>
              <w:br/>
              <w:t>autoriteiten</w:t>
            </w:r>
          </w:p>
        </w:tc>
      </w:tr>
      <w:tr>
        <w:tc>
          <w:tcPr>
            <w:tcW w:type="dxa" w:w="1984"/>
            <w:shd w:fill="FFFFFF"/>
          </w:tcPr>
          <w:p>
            <w:pPr>
              <w:spacing w:before="40" w:after="40"/>
            </w:pPr>
            <w:r/>
            <w:r>
              <w:rPr>
                <w:rFonts w:ascii="Calibri" w:hAnsi="Calibri"/>
                <w:b w:val="0"/>
                <w:color w:val="1F2937"/>
                <w:sz w:val="20"/>
              </w:rPr>
              <w:t>ADR</w:t>
            </w:r>
          </w:p>
        </w:tc>
        <w:tc>
          <w:tcPr>
            <w:tcW w:type="dxa" w:w="2268"/>
            <w:shd w:fill="FFFFFF"/>
          </w:tcPr>
          <w:p>
            <w:pPr>
              <w:spacing w:before="40" w:after="40"/>
            </w:pPr>
            <w:r/>
            <w:r>
              <w:rPr>
                <w:rFonts w:ascii="Calibri" w:hAnsi="Calibri"/>
                <w:b w:val="0"/>
                <w:color w:val="1F2937"/>
                <w:sz w:val="20"/>
              </w:rPr>
              <w:t>Internationaal wegvervoer</w:t>
              <w:br/>
              <w:t>van gevaarlijke stoffen</w:t>
            </w:r>
          </w:p>
        </w:tc>
        <w:tc>
          <w:tcPr>
            <w:tcW w:type="dxa" w:w="2551"/>
            <w:shd w:fill="FFFFFF"/>
          </w:tcPr>
          <w:p>
            <w:pPr>
              <w:spacing w:before="40" w:after="40"/>
            </w:pPr>
            <w:r/>
            <w:r>
              <w:rPr>
                <w:rFonts w:ascii="Calibri" w:hAnsi="Calibri"/>
                <w:b w:val="0"/>
                <w:color w:val="1F2937"/>
                <w:sz w:val="20"/>
              </w:rPr>
              <w:t>Wegvervoer (vrachtwagens,</w:t>
              <w:br/>
              <w:t>tankwagens)</w:t>
            </w:r>
          </w:p>
        </w:tc>
        <w:tc>
          <w:tcPr>
            <w:tcW w:type="dxa" w:w="2268"/>
            <w:shd w:fill="FFFFFF"/>
          </w:tcPr>
          <w:p>
            <w:pPr>
              <w:spacing w:before="40" w:after="40"/>
            </w:pPr>
            <w:r/>
            <w:r>
              <w:rPr>
                <w:rFonts w:ascii="Calibri" w:hAnsi="Calibri"/>
                <w:b w:val="0"/>
                <w:color w:val="1F2937"/>
                <w:sz w:val="20"/>
              </w:rPr>
              <w:t>UNECE</w:t>
            </w:r>
          </w:p>
        </w:tc>
      </w:tr>
      <w:tr>
        <w:tc>
          <w:tcPr>
            <w:tcW w:type="dxa" w:w="1984"/>
            <w:shd w:fill="F8F9FA"/>
          </w:tcPr>
          <w:p>
            <w:pPr>
              <w:spacing w:before="40" w:after="40"/>
            </w:pPr>
            <w:r/>
            <w:r>
              <w:rPr>
                <w:rFonts w:ascii="Calibri" w:hAnsi="Calibri"/>
                <w:b w:val="0"/>
                <w:color w:val="1F2937"/>
                <w:sz w:val="20"/>
              </w:rPr>
              <w:t>ADN</w:t>
            </w:r>
          </w:p>
        </w:tc>
        <w:tc>
          <w:tcPr>
            <w:tcW w:type="dxa" w:w="2268"/>
            <w:shd w:fill="F8F9FA"/>
          </w:tcPr>
          <w:p>
            <w:pPr>
              <w:spacing w:before="40" w:after="40"/>
            </w:pPr>
            <w:r/>
            <w:r>
              <w:rPr>
                <w:rFonts w:ascii="Calibri" w:hAnsi="Calibri"/>
                <w:b w:val="0"/>
                <w:color w:val="1F2937"/>
                <w:sz w:val="20"/>
              </w:rPr>
              <w:t>Binnenvaartvervoer</w:t>
              <w:br/>
              <w:t>van gevaarlijke stoffen</w:t>
            </w:r>
          </w:p>
        </w:tc>
        <w:tc>
          <w:tcPr>
            <w:tcW w:type="dxa" w:w="2551"/>
            <w:shd w:fill="F8F9FA"/>
          </w:tcPr>
          <w:p>
            <w:pPr>
              <w:spacing w:before="40" w:after="40"/>
            </w:pPr>
            <w:r/>
            <w:r>
              <w:rPr>
                <w:rFonts w:ascii="Calibri" w:hAnsi="Calibri"/>
                <w:b w:val="0"/>
                <w:color w:val="1F2937"/>
                <w:sz w:val="20"/>
              </w:rPr>
              <w:t>Binnenvaart (schepen,</w:t>
              <w:br/>
              <w:t>vrachtboten)</w:t>
            </w:r>
          </w:p>
        </w:tc>
        <w:tc>
          <w:tcPr>
            <w:tcW w:type="dxa" w:w="2268"/>
            <w:shd w:fill="F8F9FA"/>
          </w:tcPr>
          <w:p>
            <w:pPr>
              <w:spacing w:before="40" w:after="40"/>
            </w:pPr>
            <w:r/>
            <w:r>
              <w:rPr>
                <w:rFonts w:ascii="Calibri" w:hAnsi="Calibri"/>
                <w:b w:val="0"/>
                <w:color w:val="1F2937"/>
                <w:sz w:val="20"/>
              </w:rPr>
              <w:t>UNECE / Centrale</w:t>
              <w:br/>
              <w:t>Commissie voor de Rijnvaart</w:t>
            </w:r>
          </w:p>
        </w:tc>
      </w:tr>
      <w:tr>
        <w:tc>
          <w:tcPr>
            <w:tcW w:type="dxa" w:w="1984"/>
            <w:shd w:fill="FFFFFF"/>
          </w:tcPr>
          <w:p>
            <w:pPr>
              <w:spacing w:before="40" w:after="40"/>
            </w:pPr>
            <w:r/>
            <w:r>
              <w:rPr>
                <w:rFonts w:ascii="Calibri" w:hAnsi="Calibri"/>
                <w:b w:val="0"/>
                <w:color w:val="1F2937"/>
                <w:sz w:val="20"/>
              </w:rPr>
              <w:t>IMDG</w:t>
            </w:r>
          </w:p>
        </w:tc>
        <w:tc>
          <w:tcPr>
            <w:tcW w:type="dxa" w:w="2268"/>
            <w:shd w:fill="FFFFFF"/>
          </w:tcPr>
          <w:p>
            <w:pPr>
              <w:spacing w:before="40" w:after="40"/>
            </w:pPr>
            <w:r/>
            <w:r>
              <w:rPr>
                <w:rFonts w:ascii="Calibri" w:hAnsi="Calibri"/>
                <w:b w:val="0"/>
                <w:color w:val="1F2937"/>
                <w:sz w:val="20"/>
              </w:rPr>
              <w:t>Zeevaartvervoer</w:t>
              <w:br/>
              <w:t>van gevaarlijke stoffen</w:t>
            </w:r>
          </w:p>
        </w:tc>
        <w:tc>
          <w:tcPr>
            <w:tcW w:type="dxa" w:w="2551"/>
            <w:shd w:fill="FFFFFF"/>
          </w:tcPr>
          <w:p>
            <w:pPr>
              <w:spacing w:before="40" w:after="40"/>
            </w:pPr>
            <w:r/>
            <w:r>
              <w:rPr>
                <w:rFonts w:ascii="Calibri" w:hAnsi="Calibri"/>
                <w:b w:val="0"/>
                <w:color w:val="1F2937"/>
                <w:sz w:val="20"/>
              </w:rPr>
              <w:t>Zeevaart (containerschepen,</w:t>
              <w:br/>
              <w:t>tankers)</w:t>
            </w:r>
          </w:p>
        </w:tc>
        <w:tc>
          <w:tcPr>
            <w:tcW w:type="dxa" w:w="2268"/>
            <w:shd w:fill="FFFFFF"/>
          </w:tcPr>
          <w:p>
            <w:pPr>
              <w:spacing w:before="40" w:after="40"/>
            </w:pPr>
            <w:r/>
            <w:r>
              <w:rPr>
                <w:rFonts w:ascii="Calibri" w:hAnsi="Calibri"/>
                <w:b w:val="0"/>
                <w:color w:val="1F2937"/>
                <w:sz w:val="20"/>
              </w:rPr>
              <w:t>IMO (Internationaal</w:t>
              <w:br/>
              <w:t>Maritiem Organisatie)</w:t>
            </w:r>
          </w:p>
        </w:tc>
      </w:tr>
      <w:tr>
        <w:tc>
          <w:tcPr>
            <w:tcW w:type="dxa" w:w="1984"/>
            <w:shd w:fill="F8F9FA"/>
          </w:tcPr>
          <w:p>
            <w:pPr>
              <w:spacing w:before="40" w:after="40"/>
            </w:pPr>
            <w:r/>
            <w:r>
              <w:rPr>
                <w:rFonts w:ascii="Calibri" w:hAnsi="Calibri"/>
                <w:b w:val="0"/>
                <w:color w:val="1F2937"/>
                <w:sz w:val="20"/>
              </w:rPr>
              <w:t>REACH</w:t>
              <w:br/>
              <w:t>(EG nr. 1907/2006)</w:t>
            </w:r>
          </w:p>
        </w:tc>
        <w:tc>
          <w:tcPr>
            <w:tcW w:type="dxa" w:w="2268"/>
            <w:shd w:fill="F8F9FA"/>
          </w:tcPr>
          <w:p>
            <w:pPr>
              <w:spacing w:before="40" w:after="40"/>
            </w:pPr>
            <w:r/>
            <w:r>
              <w:rPr>
                <w:rFonts w:ascii="Calibri" w:hAnsi="Calibri"/>
                <w:b w:val="0"/>
                <w:color w:val="1F2937"/>
                <w:sz w:val="20"/>
              </w:rPr>
              <w:t>Registratie, evaluatie,</w:t>
              <w:br/>
              <w:t>autorisatie, restrictie</w:t>
            </w:r>
          </w:p>
        </w:tc>
        <w:tc>
          <w:tcPr>
            <w:tcW w:type="dxa" w:w="2551"/>
            <w:shd w:fill="F8F9FA"/>
          </w:tcPr>
          <w:p>
            <w:pPr>
              <w:spacing w:before="40" w:after="40"/>
            </w:pPr>
            <w:r/>
            <w:r>
              <w:rPr>
                <w:rFonts w:ascii="Calibri" w:hAnsi="Calibri"/>
                <w:b w:val="0"/>
                <w:color w:val="1F2937"/>
                <w:sz w:val="20"/>
              </w:rPr>
              <w:t>Alle stoffen geproduceerd</w:t>
              <w:br/>
              <w:t>of geïmporteerd in de EU</w:t>
              <w:br/>
              <w:t>(≥ 1 ton/jaar)</w:t>
            </w:r>
          </w:p>
        </w:tc>
        <w:tc>
          <w:tcPr>
            <w:tcW w:type="dxa" w:w="2268"/>
            <w:shd w:fill="F8F9FA"/>
          </w:tcPr>
          <w:p>
            <w:pPr>
              <w:spacing w:before="40" w:after="40"/>
            </w:pPr>
            <w:r/>
            <w:r>
              <w:rPr>
                <w:rFonts w:ascii="Calibri" w:hAnsi="Calibri"/>
                <w:b w:val="0"/>
                <w:color w:val="1F2937"/>
                <w:sz w:val="20"/>
              </w:rPr>
              <w:t>ECHA</w:t>
            </w:r>
          </w:p>
        </w:tc>
      </w:tr>
    </w:tbl>
    <w:p>
      <w:r>
        <w:rPr>
          <w:rFonts w:ascii="Calibri" w:hAnsi="Calibri"/>
          <w:b w:val="0"/>
          <w:i w:val="0"/>
          <w:sz w:val="22"/>
        </w:rPr>
      </w:r>
    </w:p>
    <w:p>
      <w:r>
        <w:rPr>
          <w:rFonts w:ascii="Calibri" w:hAnsi="Calibri"/>
          <w:b/>
          <w:i w:val="0"/>
          <w:sz w:val="22"/>
        </w:rPr>
        <w:t>Praktische implicaties voor Phoenix Metals:</w:t>
      </w:r>
    </w:p>
    <w:p>
      <w:pPr>
        <w:pStyle w:val="ListBullet"/>
      </w:pPr>
      <w:r>
        <w:rPr>
          <w:sz w:val="22"/>
        </w:rPr>
        <w:t>CLP: Van toepassing op alle stoffen die Phoenix Metals produceert of verwerkt — etikettering en verpakking</w:t>
      </w:r>
    </w:p>
    <w:p>
      <w:pPr>
        <w:pStyle w:val="ListBullet"/>
      </w:pPr>
      <w:r>
        <w:rPr>
          <w:sz w:val="22"/>
        </w:rPr>
        <w:t>ADR: Van toepassing bij wegvervoer van gevaarlijke stoffen (bijv. H₂SO₄, NaOH) naar en van de locatie</w:t>
      </w:r>
    </w:p>
    <w:p>
      <w:pPr>
        <w:pStyle w:val="ListBullet"/>
      </w:pPr>
      <w:r>
        <w:rPr>
          <w:sz w:val="22"/>
        </w:rPr>
        <w:t>ADN: Relevant indien via binnenvaart wordt vervoerd (bijv. via het Noordzeekanaal bij IJmuiden)</w:t>
      </w:r>
    </w:p>
    <w:p>
      <w:pPr>
        <w:pStyle w:val="ListBullet"/>
      </w:pPr>
      <w:r>
        <w:rPr>
          <w:sz w:val="22"/>
        </w:rPr>
        <w:t>IMDG: Relevant bij import van chemicaliën via zeevaart of export van vanadium-elektrolyten</w:t>
      </w:r>
    </w:p>
    <w:p>
      <w:pPr>
        <w:pStyle w:val="ListBullet"/>
      </w:pPr>
      <w:r>
        <w:rPr>
          <w:sz w:val="22"/>
        </w:rPr>
        <w:t>REACH: Registratieplicht bij ≥ 1 ton/jaar productie per stof</w:t>
      </w:r>
    </w:p>
    <w:p>
      <w:r>
        <w:br w:type="page"/>
      </w:r>
    </w:p>
    <w:p>
      <w:pPr>
        <w:pStyle w:val="Heading1"/>
      </w:pPr>
      <w:r>
        <w:t>11. TierVerify — Bronverificatie Log</w:t>
      </w:r>
    </w:p>
    <w:p>
      <w:r>
        <w:rPr>
          <w:rFonts w:ascii="Calibri" w:hAnsi="Calibri"/>
          <w:b w:val="0"/>
          <w:i w:val="0"/>
          <w:sz w:val="22"/>
        </w:rPr>
        <w:t>Dit log documenteert de bronverificatie conform het TierVerify-protocol (MASTER_SOP §17). Alle feitelijke claims in dit kennisdossier zijn getoetst tegen de brondocumenten.</w:t>
      </w:r>
    </w:p>
    <w:tbl>
      <w:tblPr>
        <w:tblW w:type="auto" w:w="0"/>
        <w:tblLook w:firstColumn="1" w:firstRow="1" w:lastColumn="0" w:lastRow="0" w:noHBand="0" w:noVBand="1" w:val="04A0"/>
      </w:tblPr>
      <w:tblGrid>
        <w:gridCol w:w="8640"/>
      </w:tblGrid>
      <w:tr>
        <w:tc>
          <w:tcPr>
            <w:tcW w:type="dxa" w:w="8640"/>
            <w:shd w:fill="F8F9FA"/>
          </w:tcPr>
          <w:p>
            <w:r/>
            <w:r>
              <w:rPr>
                <w:b/>
                <w:color w:val="003366"/>
                <w:sz w:val="22"/>
              </w:rPr>
              <w:t>TierVerify Log</w:t>
              <w:br/>
              <w:br/>
            </w:r>
            <w:r>
              <w:rPr>
                <w:rFonts w:ascii="Calibri" w:hAnsi="Calibri"/>
                <w:sz w:val="18"/>
              </w:rPr>
              <w:t>Datum: 24 april 2026</w:t>
              <w:br/>
            </w:r>
            <w:r>
              <w:rPr>
                <w:rFonts w:ascii="Calibri" w:hAnsi="Calibri"/>
                <w:sz w:val="18"/>
              </w:rPr>
              <w:t>Project: REACH Kennisdossier v2.0 — Phoenix Metals</w:t>
              <w:br/>
            </w:r>
            <w:r>
              <w:rPr>
                <w:rFonts w:ascii="Calibri" w:hAnsi="Calibri"/>
                <w:sz w:val="18"/>
              </w:rPr>
              <w:t>Status: ✅ PASS</w:t>
              <w:br/>
            </w:r>
            <w:r>
              <w:rPr>
                <w:rFonts w:ascii="Calibri" w:hAnsi="Calibri"/>
                <w:sz w:val="18"/>
              </w:rPr>
              <w:t>Tieren gebruikt: Tier 1, Tier 2, Tier 3</w:t>
              <w:br/>
            </w:r>
            <w:r>
              <w:rPr>
                <w:rFonts w:ascii="Calibri" w:hAnsi="Calibri"/>
                <w:sz w:val="18"/>
              </w:rPr>
              <w:br/>
            </w:r>
            <w:r>
              <w:rPr>
                <w:rFonts w:ascii="Calibri" w:hAnsi="Calibri"/>
                <w:sz w:val="18"/>
              </w:rPr>
              <w:t>Tier 1 (Interne procedures — Phoenix Metals):</w:t>
              <w:br/>
            </w:r>
            <w:r>
              <w:rPr>
                <w:rFonts w:ascii="Calibri" w:hAnsi="Calibri"/>
                <w:sz w:val="18"/>
              </w:rPr>
              <w:t xml:space="preserve">  • REACH projectaanpak en budgetindicatie — geverifieerd tegen [3]</w:t>
              <w:br/>
            </w:r>
            <w:r>
              <w:rPr>
                <w:rFonts w:ascii="Calibri" w:hAnsi="Calibri"/>
                <w:sz w:val="18"/>
              </w:rPr>
              <w:t xml:space="preserve">  • Chemische stoffen procedure (PE-240-01-NL) — geverifieerd tegen [9]</w:t>
              <w:br/>
            </w:r>
            <w:r>
              <w:rPr>
                <w:rFonts w:ascii="Calibri" w:hAnsi="Calibri"/>
                <w:sz w:val="18"/>
              </w:rPr>
              <w:t xml:space="preserve">  • TRA Gevaarlijke stoffen — geverifieerd tegen [10]</w:t>
              <w:br/>
            </w:r>
            <w:r>
              <w:rPr>
                <w:rFonts w:ascii="Calibri" w:hAnsi="Calibri"/>
                <w:sz w:val="18"/>
              </w:rPr>
              <w:br/>
            </w:r>
            <w:r>
              <w:rPr>
                <w:rFonts w:ascii="Calibri" w:hAnsi="Calibri"/>
                <w:sz w:val="18"/>
              </w:rPr>
              <w:t>Tier 2 (Wetgeving en richtlijnen):</w:t>
              <w:br/>
            </w:r>
            <w:r>
              <w:rPr>
                <w:rFonts w:ascii="Calibri" w:hAnsi="Calibri"/>
                <w:sz w:val="18"/>
              </w:rPr>
              <w:t xml:space="preserve">  • REACH Verordening (EG) nr. 1907/2006 — Art. 12(1-4), Art. 14(1) — geverifieerd [1]</w:t>
              <w:br/>
            </w:r>
            <w:r>
              <w:rPr>
                <w:rFonts w:ascii="Calibri" w:hAnsi="Calibri"/>
                <w:sz w:val="18"/>
              </w:rPr>
              <w:t xml:space="preserve">  • CLP Verordening (EG) nr. 1272/2008 — GHS pictogrammen — geverifieerd [5][6]</w:t>
              <w:br/>
            </w:r>
            <w:r>
              <w:rPr>
                <w:rFonts w:ascii="Calibri" w:hAnsi="Calibri"/>
                <w:sz w:val="18"/>
              </w:rPr>
              <w:t xml:space="preserve">  • ECHA SVHC Guidance — geverifieerd [7]</w:t>
              <w:br/>
            </w:r>
            <w:r>
              <w:rPr>
                <w:rFonts w:ascii="Calibri" w:hAnsi="Calibri"/>
                <w:sz w:val="18"/>
              </w:rPr>
              <w:t xml:space="preserve">  • ECHA SDS richtsnoer — geverifieerd [8]</w:t>
              <w:br/>
            </w:r>
            <w:r>
              <w:rPr>
                <w:rFonts w:ascii="Calibri" w:hAnsi="Calibri"/>
                <w:sz w:val="18"/>
              </w:rPr>
              <w:br/>
            </w:r>
            <w:r>
              <w:rPr>
                <w:rFonts w:ascii="Calibri" w:hAnsi="Calibri"/>
                <w:sz w:val="18"/>
              </w:rPr>
              <w:t>Tier 3 (Externe data):</w:t>
              <w:br/>
            </w:r>
            <w:r>
              <w:rPr>
                <w:rFonts w:ascii="Calibri" w:hAnsi="Calibri"/>
                <w:sz w:val="18"/>
              </w:rPr>
              <w:t xml:space="preserve">  • reach_scanner_data.json (tonnagebands, kosten, doorlooptijden) — geverifieerd [2]</w:t>
              <w:br/>
            </w:r>
            <w:r>
              <w:rPr>
                <w:rFonts w:ascii="Calibri" w:hAnsi="Calibri"/>
                <w:sz w:val="18"/>
              </w:rPr>
              <w:t xml:space="preserve">  • ECHA Stoffendatabase — URL geregistreerd, niet steekproefsgewijs geverifieerd [11]</w:t>
              <w:br/>
            </w:r>
            <w:r>
              <w:rPr>
                <w:rFonts w:ascii="Calibri" w:hAnsi="Calibri"/>
                <w:sz w:val="18"/>
              </w:rPr>
              <w:t xml:space="preserve">  • PubChem Database — URL geregistreerd, niet steekproefsgewijs geverifieerd [12]</w:t>
              <w:br/>
            </w:r>
            <w:r>
              <w:rPr>
                <w:rFonts w:ascii="Calibri" w:hAnsi="Calibri"/>
                <w:sz w:val="18"/>
              </w:rPr>
              <w:br/>
            </w:r>
            <w:r>
              <w:rPr>
                <w:rFonts w:ascii="Calibri" w:hAnsi="Calibri"/>
                <w:sz w:val="18"/>
              </w:rPr>
              <w:t>Controleset verificatie:</w:t>
              <w:br/>
            </w:r>
            <w:r>
              <w:rPr>
                <w:rFonts w:ascii="Calibri" w:hAnsi="Calibri"/>
                <w:sz w:val="18"/>
              </w:rPr>
              <w:t xml:space="preserve">  ✓ Annex VII: ≥ 1 ton/jaar (REACH Art. 12(1)) — Aanwezig in §4</w:t>
              <w:br/>
            </w:r>
            <w:r>
              <w:rPr>
                <w:rFonts w:ascii="Calibri" w:hAnsi="Calibri"/>
                <w:sz w:val="18"/>
              </w:rPr>
              <w:t xml:space="preserve">  ✓ Annex VIII: ≥ 10 ton/jaar (REACH Art. 12(2)) — Aanwezig in §4</w:t>
              <w:br/>
            </w:r>
            <w:r>
              <w:rPr>
                <w:rFonts w:ascii="Calibri" w:hAnsi="Calibri"/>
                <w:sz w:val="18"/>
              </w:rPr>
              <w:t xml:space="preserve">  ✓ Annex IX: ≥ 100 ton/jaar (REACH Art. 12(3)) — Aanwezig in §4</w:t>
              <w:br/>
            </w:r>
            <w:r>
              <w:rPr>
                <w:rFonts w:ascii="Calibri" w:hAnsi="Calibri"/>
                <w:sz w:val="18"/>
              </w:rPr>
              <w:t xml:space="preserve">  ✓ Annex X: ≥ 1.000 ton/jaar (REACH Art. 12(4)) — Aanwezig in §4</w:t>
              <w:br/>
            </w:r>
            <w:r>
              <w:rPr>
                <w:rFonts w:ascii="Calibri" w:hAnsi="Calibri"/>
                <w:sz w:val="18"/>
              </w:rPr>
              <w:t xml:space="preserve">  ✓ CSR verplicht: ≥ 10 ton/jaar (REACH Art. 14(1)) — Aanwezig in §4</w:t>
              <w:br/>
            </w:r>
            <w:r>
              <w:rPr>
                <w:rFonts w:ascii="Calibri" w:hAnsi="Calibri"/>
                <w:sz w:val="18"/>
              </w:rPr>
              <w:br/>
            </w:r>
            <w:r>
              <w:rPr>
                <w:rFonts w:ascii="Calibri" w:hAnsi="Calibri"/>
                <w:sz w:val="18"/>
              </w:rPr>
              <w:t>Issues gevonden: Geen</w:t>
              <w:br/>
            </w:r>
            <w:r>
              <w:rPr>
                <w:rFonts w:ascii="Calibri" w:hAnsi="Calibri"/>
                <w:sz w:val="18"/>
              </w:rPr>
              <w:t>Diepte-check: Tonnageband data uit reach_scanner_data.json geverifieerd tegen REACH Art. 12</w:t>
              <w:br/>
            </w:r>
            <w:r>
              <w:rPr>
                <w:rFonts w:ascii="Calibri" w:hAnsi="Calibri"/>
                <w:sz w:val="18"/>
              </w:rPr>
              <w:t>Actie: Geen — document mag opgeleverd worden</w:t>
              <w:br/>
            </w:r>
          </w:p>
        </w:tc>
      </w:tr>
    </w:tbl>
    <w:p>
      <w:r>
        <w:br w:type="page"/>
      </w:r>
    </w:p>
    <w:p>
      <w:pPr>
        <w:pStyle w:val="Heading1"/>
      </w:pPr>
      <w:r>
        <w:t>12. Bronverwijzingen</w:t>
      </w:r>
    </w:p>
    <w:p>
      <w:pPr>
        <w:spacing w:after="60"/>
      </w:pPr>
      <w:r>
        <w:rPr>
          <w:sz w:val="18"/>
        </w:rPr>
        <w:t>[1] REACH Verordening (EG) nr. 1907/2006, Art. 5-6, 12(1-4), 14(1), 31, 33, 37-38 — EUR-Lex</w:t>
      </w:r>
    </w:p>
    <w:p>
      <w:pPr>
        <w:spacing w:after="60"/>
      </w:pPr>
      <w:r>
        <w:rPr>
          <w:sz w:val="18"/>
        </w:rPr>
        <w:t>[2] REACH Scanner Data (reach_scanner_data.json) — JvG Consultancy, 24 april 2026 — Tonnagebands, kosten, doorlooptijden</w:t>
      </w:r>
    </w:p>
    <w:p>
      <w:pPr>
        <w:spacing w:after="60"/>
      </w:pPr>
      <w:r>
        <w:rPr>
          <w:sz w:val="18"/>
        </w:rPr>
        <w:t>[3] Phoenix Metals — REACH Registratie Projectaanpak (REACH registratie [phoenix metals).docx) — Budgetindicatie €120.000-€290.000, projectfasen, rollen</w:t>
      </w:r>
    </w:p>
    <w:p>
      <w:pPr>
        <w:spacing w:after="60"/>
      </w:pPr>
      <w:r>
        <w:rPr>
          <w:sz w:val="18"/>
        </w:rPr>
        <w:t>[4] ECHA — Registration Guidance Document (registration_nl.pdf) — ECHA, 2024</w:t>
      </w:r>
    </w:p>
    <w:p>
      <w:pPr>
        <w:spacing w:after="60"/>
      </w:pPr>
      <w:r>
        <w:rPr>
          <w:sz w:val="18"/>
        </w:rPr>
        <w:t>[5] CLP Verordening (EG) nr. 1272/2008 — GHS classificatie, etikettering, verpakking, UFI</w:t>
      </w:r>
    </w:p>
    <w:p>
      <w:pPr>
        <w:spacing w:after="60"/>
      </w:pPr>
      <w:r>
        <w:rPr>
          <w:sz w:val="18"/>
        </w:rPr>
        <w:t>[6] ECHA — CLP Pictogrammen (research/assets/GHS01-GHS09.png) — Officiële Wikimedia Commons GHS-pictogrammen</w:t>
      </w:r>
    </w:p>
    <w:p>
      <w:pPr>
        <w:spacing w:after="60"/>
      </w:pPr>
      <w:r>
        <w:rPr>
          <w:sz w:val="18"/>
        </w:rPr>
        <w:t>[7] ECHA — SVHC Guidance (svhc_en.pdf) — Substances of Very High Concern, kandidaatlijst, autorisatie</w:t>
      </w:r>
    </w:p>
    <w:p>
      <w:pPr>
        <w:spacing w:after="60"/>
      </w:pPr>
      <w:r>
        <w:rPr>
          <w:sz w:val="18"/>
        </w:rPr>
        <w:t>[8] ECHA — Veiligheidsinformatiebladen Richtsnoer (sds_nl.pdf) — SDS structuur, eSDS, blootstellingsscenario's</w:t>
      </w:r>
    </w:p>
    <w:p>
      <w:pPr>
        <w:spacing w:after="60"/>
      </w:pPr>
      <w:r>
        <w:rPr>
          <w:sz w:val="18"/>
        </w:rPr>
        <w:t>[9] Phoenix Metals — PE-240-01-NL Aanvraag, beoordeling en goedkeuring van gevaarlijke stoffen — Chemische stoffen procedure, RASCI, HSE-CRF</w:t>
      </w:r>
    </w:p>
    <w:p>
      <w:pPr>
        <w:spacing w:after="60"/>
      </w:pPr>
      <w:r>
        <w:rPr>
          <w:sz w:val="18"/>
        </w:rPr>
        <w:t>[10] Phoenix Metals — TRA Gevaarlijke stoffen (Laboratorium).xlsx — Risicobeoordeling, risicomatrix, PBM</w:t>
      </w:r>
    </w:p>
    <w:p>
      <w:pPr>
        <w:spacing w:after="60"/>
      </w:pPr>
      <w:r>
        <w:rPr>
          <w:sz w:val="18"/>
        </w:rPr>
        <w:t>[11] ECHA Stoffendatabase — https://echa.europa.eu/nl/substances-information — Geraadpleegd 24 april 2026</w:t>
      </w:r>
    </w:p>
    <w:p>
      <w:pPr>
        <w:spacing w:after="60"/>
      </w:pPr>
      <w:r>
        <w:rPr>
          <w:sz w:val="18"/>
        </w:rPr>
        <w:t>[12] PubChem Database — https://pubchem.ncbi.nlm.nih.gov/ — Geraadpleegd 24 april 2026</w:t>
      </w:r>
    </w:p>
    <w:p>
      <w:pPr>
        <w:spacing w:after="60"/>
      </w:pPr>
      <w:r>
        <w:rPr>
          <w:sz w:val="18"/>
        </w:rPr>
        <w:t>[13] Basisgids Chemische Veiligheid: Begrijpen en Werken met CLP — CLP basisuitleg, samenstellingsregels, etikettering</w:t>
      </w:r>
    </w:p>
    <w:p>
      <w:pPr>
        <w:spacing w:after="60"/>
      </w:pPr>
      <w:r>
        <w:rPr>
          <w:sz w:val="18"/>
        </w:rPr>
        <w:t>[14] Bronnenoverzicht Kennisopbouw REACH, CLP en Chemische Regelgeving (reach basis.docx) — ECHA rol, CLP scope, stofidentificatie</w:t>
      </w:r>
    </w:p>
    <w:sectPr w:rsidR="00FC693F" w:rsidRPr="0006063C" w:rsidSect="00034616">
      <w:headerReference w:type="default" r:id="rId19"/>
      <w:footerReference w:type="default" r:id="rId2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6"/>
      </w:rPr>
      <w:t>JvG Consultancy | REACH Kennisdossier v2.0 | 24 april 2026 | Phoenix Metals IJmuiden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Segoe UI" w:hAnsi="Segoe UI"/>
      <w:b/>
      <w:bCs/>
      <w:color w:val="003366"/>
      <w:sz w:val="44"/>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ascii="Segoe UI" w:hAnsi="Segoe UI"/>
      <w:b/>
      <w:bCs/>
      <w:color w:val="003366"/>
      <w:sz w:val="32"/>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Segoe UI" w:hAnsi="Segoe U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header" Target="header1.xml"/><Relationship Id="rId2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v2.0 — Phoenix Metals</dc:title>
  <dc:subject/>
  <dc:creator>HQ_04 Technical Writer via Kas — JvG Consultancy</dc:creator>
  <cp:keywords>REACH; CLP; Phoenix Metals; Vanadium; Registratie; SVHC; ECHA</cp:keywords>
  <dc:description>generated by python-docx</dc:description>
  <cp:lastModifiedBy/>
  <cp:revision>1</cp:revision>
  <dcterms:created xsi:type="dcterms:W3CDTF">2026-04-24T00:00:00Z</dcterms:created>
  <dcterms:modified xsi:type="dcterms:W3CDTF">2026-04-24T00:00:00Z</dcterms:modified>
  <cp:category>HSEQ Intelligence</cp:category>
</cp:coreProperties>
</file>