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REACH Procedure</w:t>
      </w:r>
    </w:p>
    <w:p>
      <w:pPr>
        <w:jc w:val="center"/>
      </w:pPr>
      <w:r>
        <w:rPr>
          <w:color w:val="003366"/>
          <w:sz w:val="44"/>
        </w:rPr>
        <w:t>Phoenix Metals B.V.</w:t>
      </w:r>
    </w:p>
    <w:p>
      <w:pPr>
        <w:jc w:val="center"/>
      </w:pPr>
      <w:r>
        <w:rPr>
          <w:color w:val="646464"/>
          <w:sz w:val="28"/>
        </w:rPr>
        <w:t>Vanadiumextractie uit SARU ash en staalslakken</w:t>
      </w:r>
    </w:p>
    <w:p/>
    <w:p>
      <w:pPr>
        <w:jc w:val="center"/>
      </w:pPr>
      <w:r>
        <w:rPr>
          <w:sz w:val="22"/>
        </w:rPr>
        <w:t>Documentcode: PM-REACH-PROC-001</w:t>
      </w:r>
    </w:p>
    <w:p>
      <w:pPr>
        <w:jc w:val="center"/>
      </w:pPr>
      <w:r>
        <w:rPr>
          <w:sz w:val="22"/>
        </w:rPr>
        <w:t>Versie 1.0 — 26 april 2026</w:t>
      </w:r>
    </w:p>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jc w:val="center"/>
            </w:pPr>
            <w:r>
              <w:rPr>
                <w:b/>
                <w:color w:val="FFFFFF"/>
                <w:sz w:val="18"/>
              </w:rPr>
              <w:t>Rol</w:t>
            </w:r>
          </w:p>
        </w:tc>
        <w:tc>
          <w:tcPr>
            <w:tcW w:type="dxa" w:w="2160"/>
            <w:shd w:fill="003366" w:val="clear"/>
          </w:tcPr>
          <w:p>
            <w:pPr>
              <w:jc w:val="center"/>
            </w:pPr>
            <w:r>
              <w:rPr>
                <w:b/>
                <w:color w:val="FFFFFF"/>
                <w:sz w:val="18"/>
              </w:rPr>
              <w:t>Naam</w:t>
            </w:r>
          </w:p>
        </w:tc>
        <w:tc>
          <w:tcPr>
            <w:tcW w:type="dxa" w:w="2160"/>
            <w:shd w:fill="003366" w:val="clear"/>
          </w:tcPr>
          <w:p>
            <w:pPr>
              <w:jc w:val="center"/>
            </w:pPr>
            <w:r>
              <w:rPr>
                <w:b/>
                <w:color w:val="FFFFFF"/>
                <w:sz w:val="18"/>
              </w:rPr>
              <w:t>Datum</w:t>
            </w:r>
          </w:p>
        </w:tc>
        <w:tc>
          <w:tcPr>
            <w:tcW w:type="dxa" w:w="2160"/>
            <w:shd w:fill="003366" w:val="clear"/>
          </w:tcPr>
          <w:p>
            <w:pPr>
              <w:jc w:val="center"/>
            </w:pPr>
            <w:r>
              <w:rPr>
                <w:b/>
                <w:color w:val="FFFFFF"/>
                <w:sz w:val="18"/>
              </w:rPr>
              <w:t>Handtekening</w:t>
            </w:r>
          </w:p>
        </w:tc>
      </w:tr>
      <w:tr>
        <w:tc>
          <w:tcPr>
            <w:tcW w:type="dxa" w:w="2160"/>
          </w:tcPr>
          <w:p>
            <w:r>
              <w:rPr>
                <w:sz w:val="18"/>
              </w:rPr>
              <w:t>Opsteller</w:t>
            </w:r>
          </w:p>
        </w:tc>
        <w:tc>
          <w:tcPr>
            <w:tcW w:type="dxa" w:w="2160"/>
          </w:tcPr>
          <w:p>
            <w:r>
              <w:rPr>
                <w:sz w:val="18"/>
              </w:rPr>
              <w:t>J. van Gemert, HSEQ Specialist</w:t>
            </w:r>
          </w:p>
        </w:tc>
        <w:tc>
          <w:tcPr>
            <w:tcW w:type="dxa" w:w="2160"/>
          </w:tcPr>
          <w:p>
            <w:r>
              <w:rPr>
                <w:sz w:val="18"/>
              </w:rPr>
              <w:t>26-04-2026</w:t>
            </w:r>
          </w:p>
        </w:tc>
        <w:tc>
          <w:tcPr>
            <w:tcW w:type="dxa" w:w="2160"/>
          </w:tcPr>
          <w:p>
            <w:r>
              <w:rPr>
                <w:sz w:val="18"/>
              </w:rPr>
            </w:r>
          </w:p>
        </w:tc>
      </w:tr>
      <w:tr>
        <w:tc>
          <w:tcPr>
            <w:tcW w:type="dxa" w:w="2160"/>
            <w:shd w:fill="E8EEF4" w:val="clear"/>
          </w:tcPr>
          <w:p>
            <w:r>
              <w:rPr>
                <w:sz w:val="18"/>
              </w:rPr>
              <w:t>Reviewer</w:t>
            </w:r>
          </w:p>
        </w:tc>
        <w:tc>
          <w:tcPr>
            <w:tcW w:type="dxa" w:w="2160"/>
            <w:shd w:fill="E8EEF4" w:val="clear"/>
          </w:tcPr>
          <w:p>
            <w:r>
              <w:rPr>
                <w:sz w:val="18"/>
              </w:rPr>
            </w:r>
          </w:p>
        </w:tc>
        <w:tc>
          <w:tcPr>
            <w:tcW w:type="dxa" w:w="2160"/>
            <w:shd w:fill="E8EEF4" w:val="clear"/>
          </w:tcPr>
          <w:p>
            <w:r>
              <w:rPr>
                <w:sz w:val="18"/>
              </w:rPr>
            </w:r>
          </w:p>
        </w:tc>
        <w:tc>
          <w:tcPr>
            <w:tcW w:type="dxa" w:w="2160"/>
            <w:shd w:fill="E8EEF4" w:val="clear"/>
          </w:tcPr>
          <w:p>
            <w:r>
              <w:rPr>
                <w:sz w:val="18"/>
              </w:rPr>
            </w:r>
          </w:p>
        </w:tc>
      </w:tr>
      <w:tr>
        <w:tc>
          <w:tcPr>
            <w:tcW w:type="dxa" w:w="2160"/>
          </w:tcPr>
          <w:p>
            <w:r>
              <w:rPr>
                <w:sz w:val="18"/>
              </w:rPr>
              <w:t>Goedkeuring (Directie)</w:t>
            </w:r>
          </w:p>
        </w:tc>
        <w:tc>
          <w:tcPr>
            <w:tcW w:type="dxa" w:w="2160"/>
          </w:tcPr>
          <w:p>
            <w:r>
              <w:rPr>
                <w:sz w:val="18"/>
              </w:rPr>
            </w:r>
          </w:p>
        </w:tc>
        <w:tc>
          <w:tcPr>
            <w:tcW w:type="dxa" w:w="2160"/>
          </w:tcPr>
          <w:p>
            <w:r>
              <w:rPr>
                <w:sz w:val="18"/>
              </w:rPr>
            </w:r>
          </w:p>
        </w:tc>
        <w:tc>
          <w:tcPr>
            <w:tcW w:type="dxa" w:w="2160"/>
          </w:tcPr>
          <w:p>
            <w:r>
              <w:rPr>
                <w:sz w:val="18"/>
              </w:rPr>
            </w:r>
          </w:p>
        </w:tc>
      </w:tr>
    </w:tbl>
    <w:p>
      <w:r>
        <w:br w:type="page"/>
      </w:r>
    </w:p>
    <w:p>
      <w:pPr>
        <w:pStyle w:val="Heading1"/>
      </w:pPr>
      <w:r>
        <w:t>Revisiegeschiedenis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jc w:val="center"/>
            </w:pPr>
            <w:r>
              <w:rPr>
                <w:b/>
                <w:color w:val="FFFFFF"/>
                <w:sz w:val="18"/>
              </w:rPr>
              <w:t>Versie</w:t>
            </w:r>
          </w:p>
        </w:tc>
        <w:tc>
          <w:tcPr>
            <w:tcW w:type="dxa" w:w="2160"/>
            <w:shd w:fill="003366" w:val="clear"/>
          </w:tcPr>
          <w:p>
            <w:pPr>
              <w:jc w:val="center"/>
            </w:pPr>
            <w:r>
              <w:rPr>
                <w:b/>
                <w:color w:val="FFFFFF"/>
                <w:sz w:val="18"/>
              </w:rPr>
              <w:t>Datum</w:t>
            </w:r>
          </w:p>
        </w:tc>
        <w:tc>
          <w:tcPr>
            <w:tcW w:type="dxa" w:w="2160"/>
            <w:shd w:fill="003366" w:val="clear"/>
          </w:tcPr>
          <w:p>
            <w:pPr>
              <w:jc w:val="center"/>
            </w:pPr>
            <w:r>
              <w:rPr>
                <w:b/>
                <w:color w:val="FFFFFF"/>
                <w:sz w:val="18"/>
              </w:rPr>
              <w:t>Auteur</w:t>
            </w:r>
          </w:p>
        </w:tc>
        <w:tc>
          <w:tcPr>
            <w:tcW w:type="dxa" w:w="2160"/>
            <w:shd w:fill="003366" w:val="clear"/>
          </w:tcPr>
          <w:p>
            <w:pPr>
              <w:jc w:val="center"/>
            </w:pPr>
            <w:r>
              <w:rPr>
                <w:b/>
                <w:color w:val="FFFFFF"/>
                <w:sz w:val="18"/>
              </w:rPr>
              <w:t>Wijzigingen</w:t>
            </w:r>
          </w:p>
        </w:tc>
      </w:tr>
      <w:tr>
        <w:tc>
          <w:tcPr>
            <w:tcW w:type="dxa" w:w="2160"/>
          </w:tcPr>
          <w:p>
            <w:r>
              <w:rPr>
                <w:sz w:val="18"/>
              </w:rPr>
              <w:t>1.0</w:t>
            </w:r>
          </w:p>
        </w:tc>
        <w:tc>
          <w:tcPr>
            <w:tcW w:type="dxa" w:w="2160"/>
          </w:tcPr>
          <w:p>
            <w:r>
              <w:rPr>
                <w:sz w:val="18"/>
              </w:rPr>
              <w:t>26-04-2026</w:t>
            </w:r>
          </w:p>
        </w:tc>
        <w:tc>
          <w:tcPr>
            <w:tcW w:type="dxa" w:w="2160"/>
          </w:tcPr>
          <w:p>
            <w:r>
              <w:rPr>
                <w:sz w:val="18"/>
              </w:rPr>
              <w:t>J. van Gemert</w:t>
            </w:r>
          </w:p>
        </w:tc>
        <w:tc>
          <w:tcPr>
            <w:tcW w:type="dxa" w:w="2160"/>
          </w:tcPr>
          <w:p>
            <w:r>
              <w:rPr>
                <w:sz w:val="18"/>
              </w:rPr>
              <w:t>Eerste versie — operationele REACH-procedure</w:t>
            </w:r>
          </w:p>
        </w:tc>
      </w:tr>
    </w:tbl>
    <w:p/>
    <w:p>
      <w:pPr>
        <w:pStyle w:val="Heading1"/>
      </w:pPr>
      <w:r>
        <w:t>Inhoudsopgave</w:t>
      </w:r>
    </w:p>
    <w:p>
      <w:pPr>
        <w:spacing w:after="40"/>
      </w:pPr>
      <w:r>
        <w:t>1. Doel</w:t>
      </w:r>
    </w:p>
    <w:p>
      <w:pPr>
        <w:spacing w:after="40"/>
      </w:pPr>
      <w:r>
        <w:t>2. Toepassingsgebied</w:t>
      </w:r>
    </w:p>
    <w:p>
      <w:pPr>
        <w:spacing w:after="40"/>
      </w:pPr>
      <w:r>
        <w:t>3. Definities en afkortingen</w:t>
      </w:r>
    </w:p>
    <w:p>
      <w:pPr>
        <w:spacing w:after="40"/>
      </w:pPr>
      <w:r>
        <w:t>4. Verantwoordelijkheden</w:t>
      </w:r>
    </w:p>
    <w:p>
      <w:pPr>
        <w:spacing w:after="40"/>
      </w:pPr>
      <w:r>
        <w:t>5. Processtappen</w:t>
      </w:r>
    </w:p>
    <w:p>
      <w:pPr>
        <w:spacing w:after="40"/>
      </w:pPr>
      <w:r>
        <w:t xml:space="preserve">   5a. Stoffeninventarisatie (Art. 3)</w:t>
      </w:r>
    </w:p>
    <w:p>
      <w:pPr>
        <w:spacing w:after="40"/>
      </w:pPr>
      <w:r>
        <w:t xml:space="preserve">   5b. REACH-rollenbepaling</w:t>
      </w:r>
    </w:p>
    <w:p>
      <w:pPr>
        <w:spacing w:after="40"/>
      </w:pPr>
      <w:r>
        <w:t xml:space="preserve">   5c. Registratieplicht beoordelen (Art. 5-6)</w:t>
      </w:r>
    </w:p>
    <w:p>
      <w:pPr>
        <w:spacing w:after="40"/>
      </w:pPr>
      <w:r>
        <w:t xml:space="preserve">   5d. PPORD-notificatie (Art. 9)</w:t>
      </w:r>
    </w:p>
    <w:p>
      <w:pPr>
        <w:spacing w:after="40"/>
      </w:pPr>
      <w:r>
        <w:t xml:space="preserve">   5e. Volledige registratie voorbereiden (Art. 10)</w:t>
      </w:r>
    </w:p>
    <w:p>
      <w:pPr>
        <w:spacing w:after="40"/>
      </w:pPr>
      <w:r>
        <w:t xml:space="preserve">   5f. SDS-verwerving en -beheer (Art. 31)</w:t>
      </w:r>
    </w:p>
    <w:p>
      <w:pPr>
        <w:spacing w:after="40"/>
      </w:pPr>
      <w:r>
        <w:t xml:space="preserve">   5g. eSDS en blootstellingsscenario's</w:t>
      </w:r>
    </w:p>
    <w:p>
      <w:pPr>
        <w:spacing w:after="40"/>
      </w:pPr>
      <w:r>
        <w:t xml:space="preserve">   5h. SVHC-monitoring (Art. 59)</w:t>
      </w:r>
    </w:p>
    <w:p>
      <w:pPr>
        <w:spacing w:after="40"/>
      </w:pPr>
      <w:r>
        <w:t xml:space="preserve">   5i. Autorisatie-aanvraag (Art. 62)</w:t>
      </w:r>
    </w:p>
    <w:p>
      <w:pPr>
        <w:spacing w:after="40"/>
      </w:pPr>
      <w:r>
        <w:t xml:space="preserve">   5j. Restrictie-compliance (Art. 67, Bijlage XVII)</w:t>
      </w:r>
    </w:p>
    <w:p>
      <w:pPr>
        <w:spacing w:after="40"/>
      </w:pPr>
      <w:r>
        <w:t>6. End-of-Waste procedure</w:t>
      </w:r>
    </w:p>
    <w:p>
      <w:pPr>
        <w:spacing w:after="40"/>
      </w:pPr>
      <w:r>
        <w:t>7. Fasering: Demo → Pilot → FOAK</w:t>
      </w:r>
    </w:p>
    <w:p>
      <w:pPr>
        <w:spacing w:after="40"/>
      </w:pPr>
      <w:r>
        <w:t>8. Documentatie en bewaartermijnen (Art. 36)</w:t>
      </w:r>
    </w:p>
    <w:p>
      <w:pPr>
        <w:spacing w:after="40"/>
      </w:pPr>
      <w:r>
        <w:t>9. Oplegging en evaluatie</w:t>
      </w:r>
    </w:p>
    <w:p>
      <w:pPr>
        <w:spacing w:after="40"/>
      </w:pPr>
      <w:r>
        <w:t>10. Bijlagen</w:t>
      </w:r>
    </w:p>
    <w:p>
      <w:r>
        <w:br w:type="page"/>
      </w:r>
    </w:p>
    <w:p>
      <w:pPr>
        <w:pStyle w:val="Heading1"/>
      </w:pPr>
      <w:r>
        <w:t>1. Doel</w:t>
      </w:r>
    </w:p>
    <w:p>
      <w:r>
        <w:t>Deze procedure waarborgt dat Phoenix Metals B.V. te allen tijde voldoet aan de verplichtingen uit Verordening (EG) nr. 1907/2006 (REACH), in het bijzonder ten aanzien van de hydrometallurgische vanadiumextractie uit SARU ash en staalslakken op locatie PlantOne Rotterdam.</w:t>
      </w:r>
    </w:p>
    <w:p>
      <w:r>
        <w:t>Het doel is drievoudig:</w:t>
      </w:r>
    </w:p>
    <w:p>
      <w:r>
        <w:t>1. REACH-compliance operationeel waarborgen in alle projectfasen (demo, pilot, FOAK).</w:t>
      </w:r>
    </w:p>
    <w:p>
      <w:r>
        <w:t>2. Duidelijkheid scheppen over REACH-rollen, registratieverplichtingen, en vrijstellingen per stof en per fase.</w:t>
      </w:r>
    </w:p>
    <w:p>
      <w:r>
        <w:t>3. Een auditeerbaar kader bieden voor interne en externe toetsing.</w:t>
      </w:r>
    </w:p>
    <w:p>
      <w:pPr>
        <w:pStyle w:val="Heading1"/>
      </w:pPr>
      <w:r>
        <w:t>2. Toepassingsgebied</w:t>
      </w:r>
    </w:p>
    <w:p>
      <w:r>
        <w:t>Deze procedure is van toepassing op alle chemische stoffen en mengsels die binnen Phoenix Metals worden ingekocht, geproduceerd, verwerkt, opgeslagen, of afgevoerd. Het toepassingsgebied omvat:</w:t>
      </w:r>
    </w:p>
    <w:p>
      <w:pPr>
        <w:pStyle w:val="ListBullet"/>
      </w:pPr>
      <w:r>
        <w:t>Grondstoffen: zwavelzuur (25-75%), natriumhydroxide (50%), aluminiumsulfaat, calciumoxide, magnesiumhydroxide, calciumhydroxide.</w:t>
      </w:r>
    </w:p>
    <w:p>
      <w:pPr>
        <w:pStyle w:val="ListBullet"/>
      </w:pPr>
      <w:r>
        <w:t>Tussenproducten: vanadiumhoudende extractieoplossingen, neerslagen, en eluaten.</w:t>
      </w:r>
    </w:p>
    <w:p>
      <w:pPr>
        <w:pStyle w:val="ListBullet"/>
      </w:pPr>
      <w:r>
        <w:t>Eindproducten: vanadium(V) oxide (V₂O₅), vanadium-elektrolyt (UVCB-mengsel), ijzeroxide (Fe₂O₃), gips (CaSO₄).</w:t>
      </w:r>
    </w:p>
    <w:p>
      <w:pPr>
        <w:pStyle w:val="ListBullet"/>
      </w:pPr>
      <w:r>
        <w:t>Bijproducten: natriummetavanaadaat, trinatriumorthowanaadaat.</w:t>
      </w:r>
    </w:p>
    <w:p>
      <w:pPr>
        <w:pStyle w:val="ListBullet"/>
      </w:pPr>
      <w:r>
        <w:t>Afvalstoffen: uitgeloogde SARU ash, procesafval, afvalwater.</w:t>
      </w:r>
    </w:p>
    <w:p>
      <w:pPr>
        <w:pStyle w:val="ListBullet"/>
      </w:pPr>
      <w:r>
        <w:t>SVHC-stoffen: V₂O₅ (Repr. 1B, H361fd), nikkeloxide (Carc. 1A, H350i) als bestanddeel van SARU ash.</w:t>
      </w:r>
    </w:p>
    <w:p>
      <w:pPr>
        <w:pStyle w:val="Heading1"/>
      </w:pPr>
      <w:r>
        <w:t>3. Definities en afkortingen</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center"/>
            </w:pPr>
            <w:r>
              <w:rPr>
                <w:b/>
                <w:color w:val="FFFFFF"/>
                <w:sz w:val="18"/>
              </w:rPr>
              <w:t>Term / Afkorting</w:t>
            </w:r>
          </w:p>
        </w:tc>
        <w:tc>
          <w:tcPr>
            <w:tcW w:type="dxa" w:w="4320"/>
            <w:shd w:fill="003366" w:val="clear"/>
          </w:tcPr>
          <w:p>
            <w:pPr>
              <w:jc w:val="center"/>
            </w:pPr>
            <w:r>
              <w:rPr>
                <w:b/>
                <w:color w:val="FFFFFF"/>
                <w:sz w:val="18"/>
              </w:rPr>
              <w:t>Definitie</w:t>
            </w:r>
          </w:p>
        </w:tc>
      </w:tr>
      <w:tr>
        <w:tc>
          <w:tcPr>
            <w:tcW w:type="dxa" w:w="4320"/>
          </w:tcPr>
          <w:p>
            <w:r>
              <w:rPr>
                <w:sz w:val="18"/>
              </w:rPr>
              <w:t>Stof (Art. 3(1))</w:t>
            </w:r>
          </w:p>
        </w:tc>
        <w:tc>
          <w:tcPr>
            <w:tcW w:type="dxa" w:w="4320"/>
          </w:tcPr>
          <w:p>
            <w:r>
              <w:rPr>
                <w:sz w:val="18"/>
              </w:rPr>
              <w:t>Een chemisch element en de verbindingen ervan in natuurlijke toestand of verkregen door fabricage, inclusief additieven en onzuiverheden.</w:t>
            </w:r>
          </w:p>
        </w:tc>
      </w:tr>
      <w:tr>
        <w:tc>
          <w:tcPr>
            <w:tcW w:type="dxa" w:w="4320"/>
            <w:shd w:fill="E8EEF4" w:val="clear"/>
          </w:tcPr>
          <w:p>
            <w:r>
              <w:rPr>
                <w:sz w:val="18"/>
              </w:rPr>
              <w:t>Mengsel (Art. 3(2))</w:t>
            </w:r>
          </w:p>
        </w:tc>
        <w:tc>
          <w:tcPr>
            <w:tcW w:type="dxa" w:w="4320"/>
            <w:shd w:fill="E8EEF4" w:val="clear"/>
          </w:tcPr>
          <w:p>
            <w:r>
              <w:rPr>
                <w:sz w:val="18"/>
              </w:rPr>
              <w:t>Samenstel van stoffen in afgemeten verhoudingen, niet ontstaan bij chemische reactie.</w:t>
            </w:r>
          </w:p>
        </w:tc>
      </w:tr>
      <w:tr>
        <w:tc>
          <w:tcPr>
            <w:tcW w:type="dxa" w:w="4320"/>
          </w:tcPr>
          <w:p>
            <w:r>
              <w:rPr>
                <w:sz w:val="18"/>
              </w:rPr>
              <w:t>Voorwerp (Art. 3(3))</w:t>
            </w:r>
          </w:p>
        </w:tc>
        <w:tc>
          <w:tcPr>
            <w:tcW w:type="dxa" w:w="4320"/>
          </w:tcPr>
          <w:p>
            <w:r>
              <w:rPr>
                <w:sz w:val="18"/>
              </w:rPr>
              <w:t>Object waarvan de speciale vorm, oppervlak of patroon de functie meer bepaalt dan de chemische samenstelling.</w:t>
            </w:r>
          </w:p>
        </w:tc>
      </w:tr>
      <w:tr>
        <w:tc>
          <w:tcPr>
            <w:tcW w:type="dxa" w:w="4320"/>
            <w:shd w:fill="E8EEF4" w:val="clear"/>
          </w:tcPr>
          <w:p>
            <w:r>
              <w:rPr>
                <w:sz w:val="18"/>
              </w:rPr>
              <w:t>Fabrikant (Art. 3(8))</w:t>
            </w:r>
          </w:p>
        </w:tc>
        <w:tc>
          <w:tcPr>
            <w:tcW w:type="dxa" w:w="4320"/>
            <w:shd w:fill="E8EEF4" w:val="clear"/>
          </w:tcPr>
          <w:p>
            <w:r>
              <w:rPr>
                <w:sz w:val="18"/>
              </w:rPr>
              <w:t>In de EU gevestigde persoon die in de EU een stof vervaardigt.</w:t>
            </w:r>
          </w:p>
        </w:tc>
      </w:tr>
      <w:tr>
        <w:tc>
          <w:tcPr>
            <w:tcW w:type="dxa" w:w="4320"/>
          </w:tcPr>
          <w:p>
            <w:r>
              <w:rPr>
                <w:sz w:val="18"/>
              </w:rPr>
              <w:t>Importeur (Art. 3(10))</w:t>
            </w:r>
          </w:p>
        </w:tc>
        <w:tc>
          <w:tcPr>
            <w:tcW w:type="dxa" w:w="4320"/>
          </w:tcPr>
          <w:p>
            <w:r>
              <w:rPr>
                <w:sz w:val="18"/>
              </w:rPr>
              <w:t>In de EU gevestigde persoon die verantwoordelijk is voor invoer.</w:t>
            </w:r>
          </w:p>
        </w:tc>
      </w:tr>
      <w:tr>
        <w:tc>
          <w:tcPr>
            <w:tcW w:type="dxa" w:w="4320"/>
            <w:shd w:fill="E8EEF4" w:val="clear"/>
          </w:tcPr>
          <w:p>
            <w:r>
              <w:rPr>
                <w:sz w:val="18"/>
              </w:rPr>
              <w:t>Downstreamgebruiker / DU (Art. 3(13))</w:t>
            </w:r>
          </w:p>
        </w:tc>
        <w:tc>
          <w:tcPr>
            <w:tcW w:type="dxa" w:w="4320"/>
            <w:shd w:fill="E8EEF4" w:val="clear"/>
          </w:tcPr>
          <w:p>
            <w:r>
              <w:rPr>
                <w:sz w:val="18"/>
              </w:rPr>
              <w:t>In de EU gevestigde persoon, niet zijnde fabrikant of importeur, die een stof gebruikt bij industriële of beroepsactiviteiten.</w:t>
            </w:r>
          </w:p>
        </w:tc>
      </w:tr>
      <w:tr>
        <w:tc>
          <w:tcPr>
            <w:tcW w:type="dxa" w:w="4320"/>
          </w:tcPr>
          <w:p>
            <w:r>
              <w:rPr>
                <w:sz w:val="18"/>
              </w:rPr>
              <w:t>SVHC</w:t>
            </w:r>
          </w:p>
        </w:tc>
        <w:tc>
          <w:tcPr>
            <w:tcW w:type="dxa" w:w="4320"/>
          </w:tcPr>
          <w:p>
            <w:r>
              <w:rPr>
                <w:sz w:val="18"/>
              </w:rPr>
              <w:t>Substance of Very High Concern — stof die voldoet aan criteria van Art. 57 (CMR, PBT, vPvB, of equivalent zorgniveau).</w:t>
            </w:r>
          </w:p>
        </w:tc>
      </w:tr>
      <w:tr>
        <w:tc>
          <w:tcPr>
            <w:tcW w:type="dxa" w:w="4320"/>
            <w:shd w:fill="E8EEF4" w:val="clear"/>
          </w:tcPr>
          <w:p>
            <w:r>
              <w:rPr>
                <w:sz w:val="18"/>
              </w:rPr>
              <w:t>PPORD (Art. 3(23))</w:t>
            </w:r>
          </w:p>
        </w:tc>
        <w:tc>
          <w:tcPr>
            <w:tcW w:type="dxa" w:w="4320"/>
            <w:shd w:fill="E8EEF4" w:val="clear"/>
          </w:tcPr>
          <w:p>
            <w:r>
              <w:rPr>
                <w:sz w:val="18"/>
              </w:rPr>
              <w:t>Product and Process Orientated Research and Development — onderzoek gericht op product- of procesontwikkeling.</w:t>
            </w:r>
          </w:p>
        </w:tc>
      </w:tr>
      <w:tr>
        <w:tc>
          <w:tcPr>
            <w:tcW w:type="dxa" w:w="4320"/>
          </w:tcPr>
          <w:p>
            <w:r>
              <w:rPr>
                <w:sz w:val="18"/>
              </w:rPr>
              <w:t>EoW</w:t>
            </w:r>
          </w:p>
        </w:tc>
        <w:tc>
          <w:tcPr>
            <w:tcW w:type="dxa" w:w="4320"/>
          </w:tcPr>
          <w:p>
            <w:r>
              <w:rPr>
                <w:sz w:val="18"/>
              </w:rPr>
              <w:t>End-of-Waste — het moment waarop een afvalstof ophoudt afval te zijn en onder REACH valt (Kaderrichtlijn Afval 2008/98/EG).</w:t>
            </w:r>
          </w:p>
        </w:tc>
      </w:tr>
      <w:tr>
        <w:tc>
          <w:tcPr>
            <w:tcW w:type="dxa" w:w="4320"/>
            <w:shd w:fill="E8EEF4" w:val="clear"/>
          </w:tcPr>
          <w:p>
            <w:r>
              <w:rPr>
                <w:sz w:val="18"/>
              </w:rPr>
              <w:t>CSR (Art. 14)</w:t>
            </w:r>
          </w:p>
        </w:tc>
        <w:tc>
          <w:tcPr>
            <w:tcW w:type="dxa" w:w="4320"/>
            <w:shd w:fill="E8EEF4" w:val="clear"/>
          </w:tcPr>
          <w:p>
            <w:r>
              <w:rPr>
                <w:sz w:val="18"/>
              </w:rPr>
              <w:t>Chemical Safety Report — chemischeveiligheidsrapport, verplicht bij ≥10 ton/jaar voor gevaarlijke stoffen.</w:t>
            </w:r>
          </w:p>
        </w:tc>
      </w:tr>
      <w:tr>
        <w:tc>
          <w:tcPr>
            <w:tcW w:type="dxa" w:w="4320"/>
          </w:tcPr>
          <w:p>
            <w:r>
              <w:rPr>
                <w:sz w:val="18"/>
              </w:rPr>
              <w:t>SDS (Art. 31)</w:t>
            </w:r>
          </w:p>
        </w:tc>
        <w:tc>
          <w:tcPr>
            <w:tcW w:type="dxa" w:w="4320"/>
          </w:tcPr>
          <w:p>
            <w:r>
              <w:rPr>
                <w:sz w:val="18"/>
              </w:rPr>
              <w:t>Safety Data Sheet — veiligheidsinformatieblad, 16 rubrieken conform Bijlage II.</w:t>
            </w:r>
          </w:p>
        </w:tc>
      </w:tr>
      <w:tr>
        <w:tc>
          <w:tcPr>
            <w:tcW w:type="dxa" w:w="4320"/>
            <w:shd w:fill="E8EEF4" w:val="clear"/>
          </w:tcPr>
          <w:p>
            <w:r>
              <w:rPr>
                <w:sz w:val="18"/>
              </w:rPr>
              <w:t>IUCLID</w:t>
            </w:r>
          </w:p>
        </w:tc>
        <w:tc>
          <w:tcPr>
            <w:tcW w:type="dxa" w:w="4320"/>
            <w:shd w:fill="E8EEF4" w:val="clear"/>
          </w:tcPr>
          <w:p>
            <w:r>
              <w:rPr>
                <w:sz w:val="18"/>
              </w:rPr>
              <w:t>International Uniform ChemicaL Information Database — ECHA-software voor registratiedossiers.</w:t>
            </w:r>
          </w:p>
        </w:tc>
      </w:tr>
      <w:tr>
        <w:tc>
          <w:tcPr>
            <w:tcW w:type="dxa" w:w="4320"/>
          </w:tcPr>
          <w:p>
            <w:r>
              <w:rPr>
                <w:sz w:val="18"/>
              </w:rPr>
              <w:t>OSOR</w:t>
            </w:r>
          </w:p>
        </w:tc>
        <w:tc>
          <w:tcPr>
            <w:tcW w:type="dxa" w:w="4320"/>
          </w:tcPr>
          <w:p>
            <w:r>
              <w:rPr>
                <w:sz w:val="18"/>
              </w:rPr>
              <w:t>One Substance, One Registration — gezamenlijke registratieplicht (Art. 11).</w:t>
            </w:r>
          </w:p>
        </w:tc>
      </w:tr>
      <w:tr>
        <w:tc>
          <w:tcPr>
            <w:tcW w:type="dxa" w:w="4320"/>
            <w:shd w:fill="E8EEF4" w:val="clear"/>
          </w:tcPr>
          <w:p>
            <w:r>
              <w:rPr>
                <w:sz w:val="18"/>
              </w:rPr>
              <w:t>LoA</w:t>
            </w:r>
          </w:p>
        </w:tc>
        <w:tc>
          <w:tcPr>
            <w:tcW w:type="dxa" w:w="4320"/>
            <w:shd w:fill="E8EEF4" w:val="clear"/>
          </w:tcPr>
          <w:p>
            <w:r>
              <w:rPr>
                <w:sz w:val="18"/>
              </w:rPr>
              <w:t>Letter of Access — recht om te verwijzen naar consortiumdata voor registratie.</w:t>
            </w:r>
          </w:p>
        </w:tc>
      </w:tr>
      <w:tr>
        <w:tc>
          <w:tcPr>
            <w:tcW w:type="dxa" w:w="4320"/>
          </w:tcPr>
          <w:p>
            <w:r>
              <w:rPr>
                <w:sz w:val="18"/>
              </w:rPr>
              <w:t>eSDS</w:t>
            </w:r>
          </w:p>
        </w:tc>
        <w:tc>
          <w:tcPr>
            <w:tcW w:type="dxa" w:w="4320"/>
          </w:tcPr>
          <w:p>
            <w:r>
              <w:rPr>
                <w:sz w:val="18"/>
              </w:rPr>
              <w:t>Extended Safety Data Sheet — SDS inclusief blootstellingsscenario's (verplicht bij ≥10 ton/jaar).</w:t>
            </w:r>
          </w:p>
        </w:tc>
      </w:tr>
      <w:tr>
        <w:tc>
          <w:tcPr>
            <w:tcW w:type="dxa" w:w="4320"/>
            <w:shd w:fill="E8EEF4" w:val="clear"/>
          </w:tcPr>
          <w:p>
            <w:r>
              <w:rPr>
                <w:sz w:val="18"/>
              </w:rPr>
              <w:t>DNEL / PNEC</w:t>
            </w:r>
          </w:p>
        </w:tc>
        <w:tc>
          <w:tcPr>
            <w:tcW w:type="dxa" w:w="4320"/>
            <w:shd w:fill="E8EEF4" w:val="clear"/>
          </w:tcPr>
          <w:p>
            <w:r>
              <w:rPr>
                <w:sz w:val="18"/>
              </w:rPr>
              <w:t>Derived No Effect Level / Predicted No Effect Concentration — veiligheidsdrempels voor mens en milieu.</w:t>
            </w:r>
          </w:p>
        </w:tc>
      </w:tr>
    </w:tbl>
    <w:p>
      <w:r>
        <w:br w:type="page"/>
      </w:r>
    </w:p>
    <w:p>
      <w:pPr>
        <w:pStyle w:val="Heading1"/>
      </w:pPr>
      <w:r>
        <w:t>4. Verantwoordelijkheden</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pPr>
              <w:jc w:val="center"/>
            </w:pPr>
            <w:r>
              <w:rPr>
                <w:b/>
                <w:color w:val="FFFFFF"/>
                <w:sz w:val="18"/>
              </w:rPr>
              <w:t>Rol</w:t>
            </w:r>
          </w:p>
        </w:tc>
        <w:tc>
          <w:tcPr>
            <w:tcW w:type="dxa" w:w="2880"/>
            <w:shd w:fill="003366" w:val="clear"/>
          </w:tcPr>
          <w:p>
            <w:pPr>
              <w:jc w:val="center"/>
            </w:pPr>
            <w:r>
              <w:rPr>
                <w:b/>
                <w:color w:val="FFFFFF"/>
                <w:sz w:val="18"/>
              </w:rPr>
              <w:t>Verantwoordelijkheid</w:t>
            </w:r>
          </w:p>
        </w:tc>
        <w:tc>
          <w:tcPr>
            <w:tcW w:type="dxa" w:w="2880"/>
            <w:shd w:fill="003366" w:val="clear"/>
          </w:tcPr>
          <w:p>
            <w:pPr>
              <w:jc w:val="center"/>
            </w:pPr>
            <w:r>
              <w:rPr>
                <w:b/>
                <w:color w:val="FFFFFF"/>
                <w:sz w:val="18"/>
              </w:rPr>
              <w:t>Bevoegdheid</w:t>
            </w:r>
          </w:p>
        </w:tc>
      </w:tr>
      <w:tr>
        <w:tc>
          <w:tcPr>
            <w:tcW w:type="dxa" w:w="2880"/>
          </w:tcPr>
          <w:p>
            <w:r>
              <w:rPr>
                <w:sz w:val="18"/>
              </w:rPr>
              <w:t>HSEQ Manager (procedure-eigenaar)</w:t>
            </w:r>
          </w:p>
        </w:tc>
        <w:tc>
          <w:tcPr>
            <w:tcW w:type="dxa" w:w="2880"/>
          </w:tcPr>
          <w:p>
            <w:r>
              <w:rPr>
                <w:sz w:val="18"/>
              </w:rPr>
              <w:t>Beheer REACH-procedure; stoffeninventarisatie; SVHC-monitoring; PPORD/registratiecoördinatie; interne audits; SDS-beheer</w:t>
            </w:r>
          </w:p>
        </w:tc>
        <w:tc>
          <w:tcPr>
            <w:tcW w:type="dxa" w:w="2880"/>
          </w:tcPr>
          <w:p>
            <w:r>
              <w:rPr>
                <w:sz w:val="18"/>
              </w:rPr>
              <w:t>Proces stoppen bij non-compliance</w:t>
            </w:r>
          </w:p>
        </w:tc>
      </w:tr>
      <w:tr>
        <w:tc>
          <w:tcPr>
            <w:tcW w:type="dxa" w:w="2880"/>
            <w:shd w:fill="E8EEF4" w:val="clear"/>
          </w:tcPr>
          <w:p>
            <w:r>
              <w:rPr>
                <w:sz w:val="18"/>
              </w:rPr>
              <w:t>Directie</w:t>
            </w:r>
          </w:p>
        </w:tc>
        <w:tc>
          <w:tcPr>
            <w:tcW w:type="dxa" w:w="2880"/>
            <w:shd w:fill="E8EEF4" w:val="clear"/>
          </w:tcPr>
          <w:p>
            <w:r>
              <w:rPr>
                <w:sz w:val="18"/>
              </w:rPr>
              <w:t>Goedkeuring procedure; budgetbeschikking registratie/LoA; strategische REACH-beslissingen</w:t>
            </w:r>
          </w:p>
        </w:tc>
        <w:tc>
          <w:tcPr>
            <w:tcW w:type="dxa" w:w="2880"/>
            <w:shd w:fill="E8EEF4" w:val="clear"/>
          </w:tcPr>
          <w:p>
            <w:r>
              <w:rPr>
                <w:sz w:val="18"/>
              </w:rPr>
              <w:t>Financiële en strategische besluitvorming</w:t>
            </w:r>
          </w:p>
        </w:tc>
      </w:tr>
      <w:tr>
        <w:tc>
          <w:tcPr>
            <w:tcW w:type="dxa" w:w="2880"/>
          </w:tcPr>
          <w:p>
            <w:r>
              <w:rPr>
                <w:sz w:val="18"/>
              </w:rPr>
              <w:t>Inkoop</w:t>
            </w:r>
          </w:p>
        </w:tc>
        <w:tc>
          <w:tcPr>
            <w:tcW w:type="dxa" w:w="2880"/>
          </w:tcPr>
          <w:p>
            <w:r>
              <w:rPr>
                <w:sz w:val="18"/>
              </w:rPr>
              <w:t>SDS-verwerving bij leveranciers; leverancierscommunicatie REACH-status; nieuwe stoffen melden bij HSEQ</w:t>
            </w:r>
          </w:p>
        </w:tc>
        <w:tc>
          <w:tcPr>
            <w:tcW w:type="dxa" w:w="2880"/>
          </w:tcPr>
          <w:p>
            <w:r>
              <w:rPr>
                <w:sz w:val="18"/>
              </w:rPr>
              <w:t>Inkooporders goedkeuren/weigeren</w:t>
            </w:r>
          </w:p>
        </w:tc>
      </w:tr>
      <w:tr>
        <w:tc>
          <w:tcPr>
            <w:tcW w:type="dxa" w:w="2880"/>
            <w:shd w:fill="E8EEF4" w:val="clear"/>
          </w:tcPr>
          <w:p>
            <w:r>
              <w:rPr>
                <w:sz w:val="18"/>
              </w:rPr>
              <w:t>Productie / Operations</w:t>
            </w:r>
          </w:p>
        </w:tc>
        <w:tc>
          <w:tcPr>
            <w:tcW w:type="dxa" w:w="2880"/>
            <w:shd w:fill="E8EEF4" w:val="clear"/>
          </w:tcPr>
          <w:p>
            <w:r>
              <w:rPr>
                <w:sz w:val="18"/>
              </w:rPr>
              <w:t>Blootstellingsregistratie CMR-stoffen; PBM-gebruik conform eSDS; operationaleren blootstellingsscenario's</w:t>
            </w:r>
          </w:p>
        </w:tc>
        <w:tc>
          <w:tcPr>
            <w:tcW w:type="dxa" w:w="2880"/>
            <w:shd w:fill="E8EEF4" w:val="clear"/>
          </w:tcPr>
          <w:p>
            <w:r>
              <w:rPr>
                <w:sz w:val="18"/>
              </w:rPr>
              <w:t>Werkonderbreking bij onveilige situaties</w:t>
            </w:r>
          </w:p>
        </w:tc>
      </w:tr>
      <w:tr>
        <w:tc>
          <w:tcPr>
            <w:tcW w:type="dxa" w:w="2880"/>
          </w:tcPr>
          <w:p>
            <w:r>
              <w:rPr>
                <w:sz w:val="18"/>
              </w:rPr>
              <w:t>Laboratorium</w:t>
            </w:r>
          </w:p>
        </w:tc>
        <w:tc>
          <w:tcPr>
            <w:tcW w:type="dxa" w:w="2880"/>
          </w:tcPr>
          <w:p>
            <w:r>
              <w:rPr>
                <w:sz w:val="18"/>
              </w:rPr>
              <w:t>Stofidentificatie (CAS, EG, zuiverheid); analytische onderbouwing sameness checks; karak-terisering UVCB-mengsels</w:t>
            </w:r>
          </w:p>
        </w:tc>
        <w:tc>
          <w:tcPr>
            <w:tcW w:type="dxa" w:w="2880"/>
          </w:tcPr>
          <w:p>
            <w:r>
              <w:rPr>
                <w:sz w:val="18"/>
              </w:rPr>
              <w:t>Vrijgave/afkeur grond- en eindproducten</w:t>
            </w:r>
          </w:p>
        </w:tc>
      </w:tr>
    </w:tbl>
    <w:p>
      <w:r>
        <w:br w:type="page"/>
      </w:r>
    </w:p>
    <w:p>
      <w:pPr>
        <w:pStyle w:val="Heading1"/>
      </w:pPr>
      <w:r>
        <w:t>5. Processtappen</w:t>
      </w:r>
    </w:p>
    <w:p>
      <w:pPr>
        <w:pStyle w:val="Heading2"/>
      </w:pPr>
      <w:r>
        <w:t>5a. Stoffeninventarisatie opzetten en onderhouden (Art. 3)</w:t>
      </w:r>
    </w:p>
    <w:p>
      <w:r>
        <w:t>De HSEQ Manager voert een volledige inventarisatie uit van alle stoffen die binnen Phoenix Metals worden ingekocht, geproduceerd, of verwerkt. De inventarisatie wordt vastgelegd in het Stoffeninventarisregister (zie Bijlage A) en bevat minimaal:</w:t>
      </w:r>
    </w:p>
    <w:p>
      <w:r>
        <w:t>1. Chemische naam (IUPAC), CAS-nummer, EG-nummer.</w:t>
      </w:r>
    </w:p>
    <w:p>
      <w:r>
        <w:t>2. CLP-classificatie (gevarenklassen, H-zinnen, pictogrammen, signaalwoord).</w:t>
      </w:r>
    </w:p>
    <w:p>
      <w:r>
        <w:t>3. Fysieke vorm en concentratie/zuiverheid.</w:t>
      </w:r>
    </w:p>
    <w:p>
      <w:r>
        <w:t>4. Jaarvolume (actueel en prognose).</w:t>
      </w:r>
    </w:p>
    <w:p>
      <w:r>
        <w:t>5. REACH-registratiestatus (geregistreerd, PPORD, vrijgesteld, niet-geregistreerd).</w:t>
      </w:r>
    </w:p>
    <w:p>
      <w:r>
        <w:t>6. Leverancier + contactgegevens.</w:t>
      </w:r>
    </w:p>
    <w:p>
      <w:r>
        <w:t>7. SDS beschikbaar (ja/nee) + versienummer + datum.</w:t>
      </w:r>
    </w:p>
    <w:p>
      <w:r>
        <w:t>8. Opslaglocatie en -condities (conform PGS 15).</w:t>
      </w:r>
    </w:p>
    <w:p>
      <w:r>
        <w:t>9. SVHC-status (controle tegen ECHA-kandidaatlijst).</w:t>
      </w:r>
    </w:p>
    <w:p>
      <w:r>
        <w:t>Onderhoud: continue bij nieuwe stoffen; jaarlijkse volledige review (Q1).</w:t>
      </w:r>
    </w:p>
    <w:p>
      <w:pPr>
        <w:pStyle w:val="Heading2"/>
      </w:pPr>
      <w:r>
        <w:t>5b. REACH-rollenbepaling per stof</w:t>
      </w:r>
    </w:p>
    <w:p>
      <w:r>
        <w:t>Voor elke stof in de inventarisatie wordt de REACH-rol bepaald. Phoenix Metals kent drie mogelijke rollen: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jc w:val="center"/>
            </w:pPr>
            <w:r>
              <w:rPr>
                <w:b/>
                <w:color w:val="FFFFFF"/>
                <w:sz w:val="18"/>
              </w:rPr>
              <w:t>Rol</w:t>
            </w:r>
          </w:p>
        </w:tc>
        <w:tc>
          <w:tcPr>
            <w:tcW w:type="dxa" w:w="2160"/>
            <w:shd w:fill="003366" w:val="clear"/>
          </w:tcPr>
          <w:p>
            <w:pPr>
              <w:jc w:val="center"/>
            </w:pPr>
            <w:r>
              <w:rPr>
                <w:b/>
                <w:color w:val="FFFFFF"/>
                <w:sz w:val="18"/>
              </w:rPr>
              <w:t>Voorwaarde</w:t>
            </w:r>
          </w:p>
        </w:tc>
        <w:tc>
          <w:tcPr>
            <w:tcW w:type="dxa" w:w="2160"/>
            <w:shd w:fill="003366" w:val="clear"/>
          </w:tcPr>
          <w:p>
            <w:pPr>
              <w:jc w:val="center"/>
            </w:pPr>
            <w:r>
              <w:rPr>
                <w:b/>
                <w:color w:val="FFFFFF"/>
                <w:sz w:val="18"/>
              </w:rPr>
              <w:t>Waarschijnlijkheid Phoenix Metals</w:t>
            </w:r>
          </w:p>
        </w:tc>
        <w:tc>
          <w:tcPr>
            <w:tcW w:type="dxa" w:w="2160"/>
            <w:shd w:fill="003366" w:val="clear"/>
          </w:tcPr>
          <w:p>
            <w:pPr>
              <w:jc w:val="center"/>
            </w:pPr>
            <w:r>
              <w:rPr>
                <w:b/>
                <w:color w:val="FFFFFF"/>
                <w:sz w:val="18"/>
              </w:rPr>
              <w:t>Verplichting</w:t>
            </w:r>
          </w:p>
        </w:tc>
      </w:tr>
      <w:tr>
        <w:tc>
          <w:tcPr>
            <w:tcW w:type="dxa" w:w="2160"/>
          </w:tcPr>
          <w:p>
            <w:r>
              <w:rPr>
                <w:sz w:val="18"/>
              </w:rPr>
              <w:t>Fabrikant (Art. 3(8))</w:t>
            </w:r>
          </w:p>
        </w:tc>
        <w:tc>
          <w:tcPr>
            <w:tcW w:type="dxa" w:w="2160"/>
          </w:tcPr>
          <w:p>
            <w:r>
              <w:rPr>
                <w:sz w:val="18"/>
              </w:rPr>
              <w:t>Stof is een "nieuwwaarde" creatie die niet als zodanig op de markt is</w:t>
            </w:r>
          </w:p>
        </w:tc>
        <w:tc>
          <w:tcPr>
            <w:tcW w:type="dxa" w:w="2160"/>
          </w:tcPr>
          <w:p>
            <w:r>
              <w:rPr>
                <w:sz w:val="18"/>
              </w:rPr>
              <w:t>Laag</w:t>
            </w:r>
          </w:p>
        </w:tc>
        <w:tc>
          <w:tcPr>
            <w:tcW w:type="dxa" w:w="2160"/>
          </w:tcPr>
          <w:p>
            <w:r>
              <w:rPr>
                <w:sz w:val="18"/>
              </w:rPr>
              <w:t>Registratie bij ≥1 ton/jaar</w:t>
            </w:r>
          </w:p>
        </w:tc>
      </w:tr>
      <w:tr>
        <w:tc>
          <w:tcPr>
            <w:tcW w:type="dxa" w:w="2160"/>
            <w:shd w:fill="E8EEF4" w:val="clear"/>
          </w:tcPr>
          <w:p>
            <w:r>
              <w:rPr>
                <w:sz w:val="18"/>
              </w:rPr>
              <w:t>Recovered substances (Art. 2(7)(d))</w:t>
            </w:r>
          </w:p>
        </w:tc>
        <w:tc>
          <w:tcPr>
            <w:tcW w:type="dxa" w:w="2160"/>
            <w:shd w:fill="E8EEF4" w:val="clear"/>
          </w:tcPr>
          <w:p>
            <w:r>
              <w:rPr>
                <w:sz w:val="18"/>
              </w:rPr>
              <w:t>Stof identiek aan reeds geregistreerde stof; afvalstof ondergaan EoW</w:t>
            </w:r>
          </w:p>
        </w:tc>
        <w:tc>
          <w:tcPr>
            <w:tcW w:type="dxa" w:w="2160"/>
            <w:shd w:fill="E8EEF4" w:val="clear"/>
          </w:tcPr>
          <w:p>
            <w:r>
              <w:rPr>
                <w:sz w:val="18"/>
              </w:rPr>
              <w:t>Hoogst</w:t>
            </w:r>
          </w:p>
        </w:tc>
        <w:tc>
          <w:tcPr>
            <w:tcW w:type="dxa" w:w="2160"/>
            <w:shd w:fill="E8EEF4" w:val="clear"/>
          </w:tcPr>
          <w:p>
            <w:r>
              <w:rPr>
                <w:sz w:val="18"/>
              </w:rPr>
              <w:t>Sameness check; geen aparte registratie nodig</w:t>
            </w:r>
          </w:p>
        </w:tc>
      </w:tr>
      <w:tr>
        <w:tc>
          <w:tcPr>
            <w:tcW w:type="dxa" w:w="2160"/>
          </w:tcPr>
          <w:p>
            <w:r>
              <w:rPr>
                <w:sz w:val="18"/>
              </w:rPr>
              <w:t>Downstreamgebruiker (Art. 3(13))</w:t>
            </w:r>
          </w:p>
        </w:tc>
        <w:tc>
          <w:tcPr>
            <w:tcW w:type="dxa" w:w="2160"/>
          </w:tcPr>
          <w:p>
            <w:r>
              <w:rPr>
                <w:sz w:val="18"/>
              </w:rPr>
              <w:t>Stof reeds geregistreerd door leverancier/consortium</w:t>
            </w:r>
          </w:p>
        </w:tc>
        <w:tc>
          <w:tcPr>
            <w:tcW w:type="dxa" w:w="2160"/>
          </w:tcPr>
          <w:p>
            <w:r>
              <w:rPr>
                <w:sz w:val="18"/>
              </w:rPr>
              <w:t>Hoog (grondstoffen)</w:t>
            </w:r>
          </w:p>
        </w:tc>
        <w:tc>
          <w:tcPr>
            <w:tcW w:type="dxa" w:w="2160"/>
          </w:tcPr>
          <w:p>
            <w:r>
              <w:rPr>
                <w:sz w:val="18"/>
              </w:rPr>
              <w:t>SDS opvolgen; DU-verplichtingen Art. 37-39</w:t>
            </w:r>
          </w:p>
        </w:tc>
      </w:tr>
    </w:tbl>
    <w:p>
      <w:r>
        <w:t>Voor de Phoenix Metals-casus geldt: grondstoffen (H₂SO₄, NaOH, etc.) zijn reeds geregistreerd — Phoenix Metals is downstream user. Voor de uitgangsstoffen (V₂O₅, Fe₂O₃, CaSO₄) is de meest waarschijnlijke route "recovered substances" na EoW, mits sameness met reeds geregistreerde stoffen wordt aangetoond.</w:t>
      </w:r>
    </w:p>
    <w:p>
      <w:pPr>
        <w:pStyle w:val="Heading2"/>
      </w:pPr>
      <w:r>
        <w:t>5c. Registratieplicht beoordelen (Art. 5-6)</w:t>
      </w:r>
    </w:p>
    <w:p>
      <w:r>
        <w:t>Voor elke stof waarvoor Phoenix Metals als fabrikant of importeur kwalificeert, wordt de registratieplicht beoordeeld:</w:t>
      </w:r>
    </w:p>
    <w:p>
      <w:r>
        <w:t>1. Bepaal het jaartonnage per stof (gewogen gemiddelde over 12 maanden).</w:t>
      </w:r>
    </w:p>
    <w:p>
      <w:r>
        <w:t>2. Toets tegen de registratiedrempel van 1 ton/jaar (Art. 5).</w:t>
      </w:r>
    </w:p>
    <w:p>
      <w:r>
        <w:t>3. Controleer vrijstellingen: Bijlage IV (minimaal risico), Bijlage V (bepaalde stoffen), gerecycleerde stoffen (Art. 2(7)(d)), PPORD (Art. 9), polymeren (monomeren ≥2% en ≥1 ton wel registreren).</w:t>
      </w:r>
    </w:p>
    <w:p>
      <w:r>
        <w:t>4. Controleer of de stof als "beschouwd als geregistreerd" kwalificeert (biociden, gewasbeschermingsmiddelen, NONS).</w:t>
      </w:r>
    </w:p>
    <w:p>
      <w:r>
        <w:t>5. Bepaal de tonnageband voor informatie-eisen: 1-10 t/j (Bijlage VII), 10-100 t/j (VII+VIII), 100-1000 t/j (VII-IX), ≥1000 t/j (VII-X).</w:t>
      </w:r>
    </w:p>
    <w:p>
      <w:r>
        <w:t>6. Documenteer de beoordeling inclusief beslissing en onderbouwing.</w:t>
      </w:r>
    </w:p>
    <w:p>
      <w:pPr>
        <w:pStyle w:val="Heading2"/>
      </w:pPr>
      <w:r>
        <w:t>5d. PPORD-notificatie indienen bij &lt;1 ton/jaar demo (Art. 9)</w:t>
      </w:r>
    </w:p>
    <w:p>
      <w:r>
        <w:t>Indien Phoenix Metals een niet-geregistreerde stof wil produceren of gebruiken voor R&amp;D-doeleinden, en het volume de 1 ton/jaar niet overschrijdt, kan gebruik worden gemaakt van de PPORD-vrijstelling:</w:t>
      </w:r>
    </w:p>
    <w:p>
      <w:r>
        <w:t>1. Bepaal of de activiteit kwalificeert als PPORD: wetenschappelijke ontwikkeling gericht op product- of procesontwikkeling (Art. 3(23)).</w:t>
      </w:r>
    </w:p>
    <w:p>
      <w:r>
        <w:t>2. Verzamel de vereiste gegevens: stofidentiteit (naam, CAS, EG, molecuulformule), onderzoeksdoel, locatie (PlantOne Rotterdam), verwacht tonnage, tijdsbestek (max. 5 jaar), risicobeheersmaatregelen.</w:t>
      </w:r>
    </w:p>
    <w:p>
      <w:r>
        <w:t>3. Dien de PPORD-notificatie in via ECHA REACH-IT.</w:t>
      </w:r>
    </w:p>
    <w:p>
      <w:r>
        <w:t>4. Ontvang bevestiging en bewaar deze in het REACH-compliance archief.</w:t>
      </w:r>
    </w:p>
    <w:p>
      <w:r>
        <w:t>5. Hanteer strikte voorwaarden: stof alleen gebruiken voor gemeld doel, op gemelde locatie, met adequate risicobeheersing.</w:t>
      </w:r>
    </w:p>
    <w:p>
      <w:r>
        <w:t>6. Monitor de voortgang: bij overschrijding van 1 ton/jaar of commerciële toepassing → overgang naar volledige registratie (stap 5e).</w:t>
      </w:r>
    </w:p>
    <w:p>
      <w:r>
        <w:t>Let op: In de demo-fase (≤60 kg ash, &lt;1 ton/jaar) is PPORD-notificatie formeel niet verplicht, maar wordt sterk aanbevolen als best practice ter verduidelijking van de rechtspositie.</w:t>
      </w:r>
    </w:p>
    <w:p>
      <w:pPr>
        <w:pStyle w:val="Heading2"/>
      </w:pPr>
      <w:r>
        <w:t>5e. Volledige registratie voorbereiden bij ≥1 ton/jaar (Art. 10)</w:t>
      </w:r>
    </w:p>
    <w:p>
      <w:r>
        <w:t>Zodra de productie van een stof de 1 ton/jaar-drempel overschrijdt, start het registratietraject:</w:t>
      </w:r>
    </w:p>
    <w:p>
      <w:r>
        <w:t>1. Inquiry (Art. 26): Controleer via ECHA REACH-IT of de stof reeds is geregistreerd door andere partijen.</w:t>
      </w:r>
    </w:p>
    <w:p>
      <w:r>
        <w:t>2. Neem contact op met bestaande registranten voor data-sharing (Art. 27). ECHA bevordert contact via de Mederegistranten-pagina.</w:t>
      </w:r>
    </w:p>
    <w:p>
      <w:r>
        <w:t>3. Voor vanadiumverbindingen: neem contact op met het Vanadium REACH Consortium (vanadiumconsortium.com) voor een LoA (Letter of Access).</w:t>
      </w:r>
    </w:p>
    <w:p>
      <w:r>
        <w:t>4. Voer een sameness check uit: vergelijk analytische data (XRD, XRF, ICP-OES) van uw stof met het consortium-profiel. Documenteer de uitkomst.</w:t>
      </w:r>
    </w:p>
    <w:p>
      <w:r>
        <w:t>5. Verkrijg de LoA: offerte aanvragen, budgetbeschikking directie, ondertekening overeenkomst, betaling, ontvangst referentienummer.</w:t>
      </w:r>
    </w:p>
    <w:p>
      <w:r>
        <w:t>6. Stel het IUCLID-dossier op: stofidentiteit, fysisch-chemische eigenschappen, toxicologie, ecotoxicologie, indeling/etikettering, gebruiksinformatie, testvoorstellen.</w:t>
      </w:r>
    </w:p>
    <w:p>
      <w:r>
        <w:t>7. Stel een CSR op bij ≥10 ton/jaar (Deel A: samenvatting risicobeheersmaatregelen; Deel B: gevarenbeoordeling, blootstellingsbeoordeling, risicokarakterisering).</w:t>
      </w:r>
    </w:p>
    <w:p>
      <w:r>
        <w:t>8. Dien het dossier elektronisch in via REACH-IT. ECHA voert controles uit: validatie → business rules → indieningsnummer → TCC → financiële volledigheid → registratienummer.</w:t>
      </w:r>
    </w:p>
    <w:p>
      <w:r>
        <w:t>9. Bewaar alle documentatie conform Art. 36 (10 jaar na laatste levering).</w:t>
      </w:r>
    </w:p>
    <w:p>
      <w:r>
        <w:t>Kostenraming: LoA Vanadium Consortium €15.000–40.000; volledige registratie FOAK €120.000–290.000.</w:t>
      </w:r>
    </w:p>
    <w:p>
      <w:pPr>
        <w:pStyle w:val="Heading2"/>
      </w:pPr>
      <w:r>
        <w:t>5f. SDS-verwerving en -beheer (Art. 31, Bijlage II)</w:t>
      </w:r>
    </w:p>
    <w:p>
      <w:r>
        <w:t>Voor alle gevaarlijke stoffen (CLP-geclassificeerd), PBT/vPvB-stoffen, en SVHC-kandidaatstoffen moet een Safety Data Sheet (SDS) beschikbaar zijn:</w:t>
      </w:r>
    </w:p>
    <w:p>
      <w:r>
        <w:t>1. Verkrijg de SDS bij de leverancier vóór eerste gebruik van de stof. De SDS is gratis en wordt uiterlijk bij eerste levering verstrekt (Art. 31.1-2).</w:t>
      </w:r>
    </w:p>
    <w:p>
      <w:r>
        <w:t>2. Controleer de SDS op volledigheid: alle 16 rubrieken conform Bijlage II REACH aanwezig, in het Nederlands (officiële taal lidstaat), datum ≤3 jaar geleden.</w:t>
      </w:r>
    </w:p>
    <w:p>
      <w:r>
        <w:t>3. Rubriek 2: gevarenidentificatie (indeling, etikettering, PBT/vPvB, endocriene disruptors).</w:t>
      </w:r>
    </w:p>
    <w:p>
      <w:r>
        <w:t>4. Rubriek 3: samenstelling (inclusief SCL, M-factor, ATE).</w:t>
      </w:r>
    </w:p>
    <w:p>
      <w:r>
        <w:t>5. Rubriek 8: blootstellingsbeheersing (OEL's, DNEL's, PNEC's, technische maatregelen, PBM's).</w:t>
      </w:r>
    </w:p>
    <w:p>
      <w:r>
        <w:t>6. Archiveer de SDS (zowel papieren als digitaal) in het SDS-register.</w:t>
      </w:r>
    </w:p>
    <w:p>
      <w:r>
        <w:t>7. Bij nieuwe informatie of wijziging classificatie: leverancier is verplicht de SDS bij te werken (Art. 31.9). HSEQ controleert jaarlijks actualiteit.</w:t>
      </w:r>
    </w:p>
    <w:p>
      <w:r>
        <w:t>8. Bij eigen productie van stoffen/mengsels: stel zelf een SDS op conform Bijlage II. In de demo-fase (&lt;1 ton/jaar) niet verplicht, maar aanbevolen.</w:t>
      </w:r>
    </w:p>
    <w:p>
      <w:pPr>
        <w:pStyle w:val="Heading2"/>
      </w:pPr>
      <w:r>
        <w:t>5g. eSDS doorlezen en blootstellingsscenario's implementeren</w:t>
      </w:r>
    </w:p>
    <w:p>
      <w:r>
        <w:t>Bij ≥10 ton/jaar én een gevaarlijke/PBT/vPvB-stof ontvangt Phoenix Metals een uitgebreid veiligheidsinformatieblad (eSDS) met blootstellingsscenario's (ES):</w:t>
      </w:r>
    </w:p>
    <w:p>
      <w:r>
        <w:t>1. Lees de eSDS door bij ontvangst. Identificeer de relevante blootstellingsscenario's voor de Phoenix Metals-toepassing.</w:t>
      </w:r>
    </w:p>
    <w:p>
      <w:r>
        <w:t>2. Vergelijk de operationele omstandigheden (OC's) en risicobeheersmaatregelen (RMM's) in het ES met de daadwerkelijke werkomstandigheden.</w:t>
      </w:r>
    </w:p>
    <w:p>
      <w:r>
        <w:t>3. Is het gebruik gedekt door het ES? → Implementeer de voorgeschreven OC's en RMM's. Documenteer de implementatie.</w:t>
      </w:r>
    </w:p>
    <w:p>
      <w:r>
        <w:t>4. Is het gebruik NIET gedekt? → Kies uit: (a) vraag leverancier gebruik op te nemen in CSR, (b) pas eigen omstandigheden aan, (c) vervang de stof, (d) zoek andere leverancier, (e) stel eigen DU-CSR op (Art. 37.4).</w:t>
      </w:r>
    </w:p>
    <w:p>
      <w:r>
        <w:t>5. Implementeer de maatregelen binnen 12 maanden na ontvangst van de eSDS (Art. 37.5).</w:t>
      </w:r>
    </w:p>
    <w:p>
      <w:r>
        <w:t>6. Gebruik blootstellingsmodellen ter onderbouwing: Ecetoc TRA, Stoffenmanager, ART, EUSES, ConsExpo. RCR &lt; 1 = veilig.</w:t>
      </w:r>
    </w:p>
    <w:p>
      <w:pPr>
        <w:pStyle w:val="Heading2"/>
      </w:pPr>
      <w:r>
        <w:t>5h. SVHC-monitoring (Art. 59, kandidaatlijst check)</w:t>
      </w:r>
    </w:p>
    <w:p>
      <w:r>
        <w:t>De HSEQ Manager monitort structureel de ECHA-kandidaatlijst voor SVHC's:</w:t>
      </w:r>
    </w:p>
    <w:p>
      <w:r>
        <w:t>1. Controleer de ECHA-kandidaatlijst minimaal tweemaal per jaar (ECHA updatet normaliter in januari en juli).</w:t>
      </w:r>
    </w:p>
    <w:p>
      <w:r>
        <w:t>2. Toets elke stof in de inventarisatie tegen de actuele kandidaatlijst (zie Bijlage C: SVHC-monitoringlijst).</w:t>
      </w:r>
    </w:p>
    <w:p>
      <w:r>
        <w:t>3. Bij een nieuwe SVHC in de inventarisatie: update het SDS, pas etikettering aan, informeer downstream users (Art. 33).</w:t>
      </w:r>
    </w:p>
    <w:p>
      <w:r>
        <w:t>4. Voor V₂O₅: SVHC sinds 2023 (Repr. 1B, H361fd). Bij productie ≥1 ton/jaar: autorisatieverplichting (zie stap 5i).</w:t>
      </w:r>
    </w:p>
    <w:p>
      <w:r>
        <w:t>5. Voor nikkeloxide (bestanddeel SARU ash): Carc. 1A (H350i). CMR-protocol activeren; mededelingsplicht via SDS.</w:t>
      </w:r>
    </w:p>
    <w:p>
      <w:r>
        <w:t>6. Documenteer elke SVHC-check inclusief datum, bevindingen, en genomen acties.</w:t>
      </w:r>
    </w:p>
    <w:p>
      <w:pPr>
        <w:pStyle w:val="Heading2"/>
      </w:pPr>
      <w:r>
        <w:t>5i. Autorisatie-aanvraag voorbereiden indien van toepassing (Art. 62)</w:t>
      </w:r>
    </w:p>
    <w:p>
      <w:r>
        <w:t>Indien een stof op Bijlage XIV (autorisatielijst) wordt geplaatst met een sunset date, en Phoenix Metals de stof blijft gebruiken, moet een autorisatieaanvraag worden ingediend vóór de latest application date (minimaal 18 maanden vóór sunset date):</w:t>
      </w:r>
    </w:p>
    <w:p>
      <w:r>
        <w:t>1. Monitor Bijlage XIV voor relevante stoffen (V₂O₅ is potentieel kandidaat).</w:t>
      </w:r>
    </w:p>
    <w:p>
      <w:r>
        <w:t>2. Bepaal de route: (a) adequate control (blootstelling &lt; DNEL/PNEC), of (b) socio-economic benefits (voordelen outweigh risico's, geen alternatieven).</w:t>
      </w:r>
    </w:p>
    <w:p>
      <w:r>
        <w:t>3. Stel een Analysis of Alternatives (AoA) op: identificeer veiligere, technisch en economisch haalbare, beschikbare alternatieven. Bij beschikbaarheid: substitution plan verplicht.</w:t>
      </w:r>
    </w:p>
    <w:p>
      <w:r>
        <w:t>4. Bij socio-economic route: stel een SEA op (non-use scenario, kosten en baten van vervanging).</w:t>
      </w:r>
    </w:p>
    <w:p>
      <w:r>
        <w:t>5. Dien de aanvraag in via ECHA. Evaluatie: RAC (4-10 maanden) + SEAC → Commissiebesluit (minimaal 6 maanden).</w:t>
      </w:r>
    </w:p>
    <w:p>
      <w:r>
        <w:t>6. DU-melding aan ECHA binnen 3 maanden na eerste levering van geautoriseerde stof (Art. 66).</w:t>
      </w:r>
    </w:p>
    <w:p>
      <w:pPr>
        <w:pStyle w:val="Heading2"/>
      </w:pPr>
      <w:r>
        <w:t>5j. Restrictie-compliance check Bijlage XVII (Art. 67)</w:t>
      </w:r>
    </w:p>
    <w:p>
      <w:r>
        <w:t>Bijlage XVII bevat restricties voor specifieke stoffen (vb. asbest = volledig verbod, ftalaten = concentratielimieten, gebruikbeperkingen). Phoenix Metals toetst als volgt:</w:t>
      </w:r>
    </w:p>
    <w:p>
      <w:r>
        <w:t>1. Controleer bij introductie van elke nieuwe stof of deze voorkomt in Bijlage XVII.</w:t>
      </w:r>
    </w:p>
    <w:p>
      <w:r>
        <w:t>2. Voor elke reeds geïnventariseerde stof: verifieer of de toepassing en concentratie conform de restrictievoorwaarden.</w:t>
      </w:r>
    </w:p>
    <w:p>
      <w:r>
        <w:t>3. Bij twijfel: raadpleeg de ECHA-restrictiedatabase of schakel een REACH-adviseur in.</w:t>
      </w:r>
    </w:p>
    <w:p>
      <w:r>
        <w:t>4. Documenteer de restrictiecheck per stof in het Stoffeninventarisregister.</w:t>
      </w:r>
    </w:p>
    <w:p>
      <w:r>
        <w:t>5. Bewaartermijn: 10 jaar na laatste levering (Art. 36).</w:t>
      </w:r>
    </w:p>
    <w:p>
      <w:r>
        <w:br w:type="page"/>
      </w:r>
    </w:p>
    <w:p>
      <w:pPr>
        <w:pStyle w:val="Heading1"/>
      </w:pPr>
      <w:r>
        <w:t>6. End-of-Waste procedure</w:t>
      </w:r>
    </w:p>
    <w:p>
      <w:r>
        <w:t>De SARU ash en staalslakken kwalificeren initieel als afvalstof. Het EoW-moment (End-of-Waste) is de juridische grens waarop de stof ophoudt afval te zijn en REACH van toepassing wordt (Kaderrichtlijn Afval 2008/98/EG).</w:t>
      </w:r>
    </w:p>
    <w:p>
      <w:r>
        <w:t>1. Bepaal of de uitgangsstof in aanmerking komt voor EoW: (a) de stof moet een certificaat van gebruik hebben, (b) er moet een markt/bestemming voor zijn, (c) de stof moet voldoen aan productnormen, (d) geen advers effecten op mens/milieu.</w:t>
      </w:r>
    </w:p>
    <w:p>
      <w:r>
        <w:t>2. Stel een EoW-aanvraag op inclusief: chemische samenstelling, analytische data, bestemming/gebruik, risicobeoordeling.</w:t>
      </w:r>
    </w:p>
    <w:p>
      <w:r>
        <w:t>3. Indien EoW wordt verleend: REACH wordt toepasselijk op dat moment. Voer de REACH-rollenbepaling uit (stap 5b) en de registratieplichtbeoordeling (stap 5c) voor de betreffende stof.</w:t>
      </w:r>
    </w:p>
    <w:p>
      <w:r>
        <w:t>4. Indien EoW niet (nog) wordt verleend: de stof blijft afval en REACH-registratieplicht geldt niet. Wel blijft duty of care van toepassing.</w:t>
      </w:r>
    </w:p>
    <w:p>
      <w:r>
        <w:t>5. Documenteer de EoW-beslissing inclusief juridische onderbouwing.</w:t>
      </w:r>
    </w:p>
    <w:p>
      <w:pPr>
        <w:pStyle w:val="Heading1"/>
      </w:pPr>
      <w:r>
        <w:t>7. Fasering: Demo → Pilot → FOAK</w:t>
      </w:r>
    </w:p>
    <w:p>
      <w:r>
        <w:t>De REACH-verplichtingen schalen mee met de projectfasen. Onderstaand overzicht specificeert de REACH-acties per fase:</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center"/>
            </w:pPr>
            <w:r>
              <w:rPr>
                <w:b/>
                <w:color w:val="FFFFFF"/>
                <w:sz w:val="18"/>
              </w:rPr>
              <w:t>Fase</w:t>
            </w:r>
          </w:p>
        </w:tc>
        <w:tc>
          <w:tcPr>
            <w:tcW w:type="dxa" w:w="1728"/>
            <w:shd w:fill="003366" w:val="clear"/>
          </w:tcPr>
          <w:p>
            <w:pPr>
              <w:jc w:val="center"/>
            </w:pPr>
            <w:r>
              <w:rPr>
                <w:b/>
                <w:color w:val="FFFFFF"/>
                <w:sz w:val="18"/>
              </w:rPr>
              <w:t>Volume</w:t>
            </w:r>
          </w:p>
        </w:tc>
        <w:tc>
          <w:tcPr>
            <w:tcW w:type="dxa" w:w="1728"/>
            <w:shd w:fill="003366" w:val="clear"/>
          </w:tcPr>
          <w:p>
            <w:pPr>
              <w:jc w:val="center"/>
            </w:pPr>
            <w:r>
              <w:rPr>
                <w:b/>
                <w:color w:val="FFFFFF"/>
                <w:sz w:val="18"/>
              </w:rPr>
              <w:t>REACH-regime</w:t>
            </w:r>
          </w:p>
        </w:tc>
        <w:tc>
          <w:tcPr>
            <w:tcW w:type="dxa" w:w="1728"/>
            <w:shd w:fill="003366" w:val="clear"/>
          </w:tcPr>
          <w:p>
            <w:pPr>
              <w:jc w:val="center"/>
            </w:pPr>
            <w:r>
              <w:rPr>
                <w:b/>
                <w:color w:val="FFFFFF"/>
                <w:sz w:val="18"/>
              </w:rPr>
              <w:t>REACH-acties</w:t>
            </w:r>
          </w:p>
        </w:tc>
        <w:tc>
          <w:tcPr>
            <w:tcW w:type="dxa" w:w="1728"/>
            <w:shd w:fill="003366" w:val="clear"/>
          </w:tcPr>
          <w:p>
            <w:pPr>
              <w:jc w:val="center"/>
            </w:pPr>
            <w:r>
              <w:rPr>
                <w:b/>
                <w:color w:val="FFFFFF"/>
                <w:sz w:val="18"/>
              </w:rPr>
              <w:t>Budgetraming</w:t>
            </w:r>
          </w:p>
        </w:tc>
      </w:tr>
      <w:tr>
        <w:tc>
          <w:tcPr>
            <w:tcW w:type="dxa" w:w="1728"/>
          </w:tcPr>
          <w:p>
            <w:r>
              <w:rPr>
                <w:sz w:val="18"/>
              </w:rPr>
              <w:t>Demo (huidig)</w:t>
            </w:r>
          </w:p>
        </w:tc>
        <w:tc>
          <w:tcPr>
            <w:tcW w:type="dxa" w:w="1728"/>
          </w:tcPr>
          <w:p>
            <w:r>
              <w:rPr>
                <w:sz w:val="18"/>
              </w:rPr>
              <w:t>≤60 kg ash, &lt;1 ton/jaar</w:t>
            </w:r>
          </w:p>
        </w:tc>
        <w:tc>
          <w:tcPr>
            <w:tcW w:type="dxa" w:w="1728"/>
          </w:tcPr>
          <w:p>
            <w:r>
              <w:rPr>
                <w:sz w:val="18"/>
              </w:rPr>
              <w:t>PPORD / SR&amp;D</w:t>
            </w:r>
          </w:p>
        </w:tc>
        <w:tc>
          <w:tcPr>
            <w:tcW w:type="dxa" w:w="1728"/>
          </w:tcPr>
          <w:p>
            <w:r>
              <w:rPr>
                <w:sz w:val="18"/>
              </w:rPr>
              <w:t>• Vrijwillige PPORD-notificatie ECHA (best practice)</w:t>
              <w:br/>
              <w:t>• SDS-verwerving alle grondstoffen</w:t>
              <w:br/>
              <w:t>• SVHC-check V₂O₅ en NiO</w:t>
              <w:br/>
              <w:t>• CLP-etikettering interne mengsels</w:t>
              <w:br/>
              <w:t>• CMR-protocol activeren voor NiO</w:t>
            </w:r>
          </w:p>
        </w:tc>
        <w:tc>
          <w:tcPr>
            <w:tcW w:type="dxa" w:w="1728"/>
          </w:tcPr>
          <w:p>
            <w:r>
              <w:rPr>
                <w:sz w:val="18"/>
              </w:rPr>
              <w:t>~€5.000</w:t>
            </w:r>
          </w:p>
        </w:tc>
      </w:tr>
      <w:tr>
        <w:tc>
          <w:tcPr>
            <w:tcW w:type="dxa" w:w="1728"/>
            <w:shd w:fill="E8EEF4" w:val="clear"/>
          </w:tcPr>
          <w:p>
            <w:r>
              <w:rPr>
                <w:sz w:val="18"/>
              </w:rPr>
              <w:t>Pilot (Q3 2026–Q4 2027)</w:t>
            </w:r>
          </w:p>
        </w:tc>
        <w:tc>
          <w:tcPr>
            <w:tcW w:type="dxa" w:w="1728"/>
            <w:shd w:fill="E8EEF4" w:val="clear"/>
          </w:tcPr>
          <w:p>
            <w:r>
              <w:rPr>
                <w:sz w:val="18"/>
              </w:rPr>
              <w:t>0,5–3 ton/jaar</w:t>
            </w:r>
          </w:p>
        </w:tc>
        <w:tc>
          <w:tcPr>
            <w:tcW w:type="dxa" w:w="1728"/>
            <w:shd w:fill="E8EEF4" w:val="clear"/>
          </w:tcPr>
          <w:p>
            <w:r>
              <w:rPr>
                <w:sz w:val="18"/>
              </w:rPr>
              <w:t>PPORD + monitoring</w:t>
            </w:r>
          </w:p>
        </w:tc>
        <w:tc>
          <w:tcPr>
            <w:tcW w:type="dxa" w:w="1728"/>
            <w:shd w:fill="E8EEF4" w:val="clear"/>
          </w:tcPr>
          <w:p>
            <w:r>
              <w:rPr>
                <w:sz w:val="18"/>
              </w:rPr>
              <w:t>• PPORD-notificatie indienen bij &gt;1 ton/jaar</w:t>
              <w:br/>
              <w:t>• Tonnage monitoring (maandelijks)</w:t>
              <w:br/>
              <w:t>• Sameness check voorbereiden</w:t>
              <w:br/>
              <w:t>• Contact Vanadium Consortium</w:t>
              <w:br/>
              <w:t>• SDS opstellen voor eigen producten</w:t>
            </w:r>
          </w:p>
        </w:tc>
        <w:tc>
          <w:tcPr>
            <w:tcW w:type="dxa" w:w="1728"/>
            <w:shd w:fill="E8EEF4" w:val="clear"/>
          </w:tcPr>
          <w:p>
            <w:r>
              <w:rPr>
                <w:sz w:val="18"/>
              </w:rPr>
              <w:t>€15.000–45.000</w:t>
            </w:r>
          </w:p>
        </w:tc>
      </w:tr>
      <w:tr>
        <w:tc>
          <w:tcPr>
            <w:tcW w:type="dxa" w:w="1728"/>
          </w:tcPr>
          <w:p>
            <w:r>
              <w:rPr>
                <w:sz w:val="18"/>
              </w:rPr>
              <w:t>FOAK (&gt;2027)</w:t>
            </w:r>
          </w:p>
        </w:tc>
        <w:tc>
          <w:tcPr>
            <w:tcW w:type="dxa" w:w="1728"/>
          </w:tcPr>
          <w:p>
            <w:r>
              <w:rPr>
                <w:sz w:val="18"/>
              </w:rPr>
              <w:t>&gt;1 ton/jaar</w:t>
            </w:r>
          </w:p>
        </w:tc>
        <w:tc>
          <w:tcPr>
            <w:tcW w:type="dxa" w:w="1728"/>
          </w:tcPr>
          <w:p>
            <w:r>
              <w:rPr>
                <w:sz w:val="18"/>
              </w:rPr>
              <w:t>Volledige REACH-registratie</w:t>
            </w:r>
          </w:p>
        </w:tc>
        <w:tc>
          <w:tcPr>
            <w:tcW w:type="dxa" w:w="1728"/>
          </w:tcPr>
          <w:p>
            <w:r>
              <w:rPr>
                <w:sz w:val="18"/>
              </w:rPr>
              <w:t>• Inquiry Art. 26 bij ECHA</w:t>
              <w:br/>
              <w:t>• LoA Vanadium Consortium aanschaffen</w:t>
              <w:br/>
              <w:t>• IUCLID-dossier opstellen</w:t>
              <w:br/>
              <w:t>• CSR bij ≥10 ton/jaar</w:t>
              <w:br/>
              <w:t>• Volledige registratie via REACH-IT</w:t>
              <w:br/>
              <w:t>• eSDS-verplichtingen implementeren</w:t>
            </w:r>
          </w:p>
        </w:tc>
        <w:tc>
          <w:tcPr>
            <w:tcW w:type="dxa" w:w="1728"/>
          </w:tcPr>
          <w:p>
            <w:r>
              <w:rPr>
                <w:sz w:val="18"/>
              </w:rPr>
              <w:t>€120.000–290.000</w:t>
            </w:r>
          </w:p>
        </w:tc>
      </w:tr>
    </w:tbl>
    <w:p>
      <w:r>
        <w:br w:type="page"/>
      </w:r>
    </w:p>
    <w:p>
      <w:pPr>
        <w:pStyle w:val="Heading1"/>
      </w:pPr>
      <w:r>
        <w:t>8. Documentatie en bewaartermijnen (Art. 36)</w:t>
      </w:r>
    </w:p>
    <w:p>
      <w:r>
        <w:t>REACH Art. 36 verplicht fabrikanten, importeurs en downstream gebruikers om alle relevante informatie gedurende ten minste 10 jaar na de laatste vervaardiging, invoer, levering of gebruik van een stof te bewaren. Het volgende geldt voor Phoenix Metals:</w:t>
      </w:r>
    </w:p>
    <w:p>
      <w:r>
        <w:t>1. Stoffeninventarisregister: bewaren zolang de stof in gebruik is + 10 jaar na uitfasering.</w:t>
      </w:r>
    </w:p>
    <w:p>
      <w:r>
        <w:t>2. SDS-archief: alle versies bewaren, inclusief historische versies, voor 10 jaar na laatste gebruik.</w:t>
      </w:r>
    </w:p>
    <w:p>
      <w:r>
        <w:t>3. PPORD-notificatie en correspondentie met ECHA/Ctgb: bewaren gedurende de PPORD-periode + 10 jaar.</w:t>
      </w:r>
    </w:p>
    <w:p>
      <w:r>
        <w:t>4. Registratiedossiers (IUCLID, LoA, CSR): bewaren voor 10 jaar na laatste levering.</w:t>
      </w:r>
    </w:p>
    <w:p>
      <w:r>
        <w:t>5. SVHC-monitoring logs: bewaren voor 10 jaar na laatste check.</w:t>
      </w:r>
    </w:p>
    <w:p>
      <w:r>
        <w:t>6. Blootstellingsregistratie (CMR): bewaren voor duur dienstbetrekking + 40 jaar (Arbowet, strenger dan REACH).</w:t>
      </w:r>
    </w:p>
    <w:p>
      <w:r>
        <w:t>7. Compliance-audit rapporten: bewaren voor 10 jaar.</w:t>
      </w:r>
    </w:p>
    <w:p>
      <w:r>
        <w:t>8. Alle documenten worden zowel fysiek (brandwerende kast) als digitaal (back-up) gearchiveerd.</w:t>
      </w:r>
    </w:p>
    <w:p>
      <w:pPr>
        <w:pStyle w:val="Heading1"/>
      </w:pPr>
      <w:r>
        <w:t>9. Oplegging en evaluatie</w:t>
      </w:r>
    </w:p>
    <w:p>
      <w:pPr>
        <w:pStyle w:val="Heading2"/>
      </w:pPr>
      <w:r>
        <w:t>9.1 Jaarlijkse REACH-review</w:t>
      </w:r>
    </w:p>
    <w:p>
      <w:r>
        <w:t>De HSEQ Manager voert jaarlijks (Q1) een REACH-compliance review uit:</w:t>
      </w:r>
    </w:p>
    <w:p>
      <w:r>
        <w:t>1. Volledige actualisatie van het Stoffeninventarisregister.</w:t>
      </w:r>
    </w:p>
    <w:p>
      <w:r>
        <w:t>2. SDS-review: actualiteit, volledigheid, versiecontrole.</w:t>
      </w:r>
    </w:p>
    <w:p>
      <w:r>
        <w:t>3. SVHC-check: toetsing tegen actuele ECHA-kandidaatlijst.</w:t>
      </w:r>
    </w:p>
    <w:p>
      <w:r>
        <w:t>4. Tonnage-monitoring: is de 1 ton/jaar-drempel in zicht?</w:t>
      </w:r>
    </w:p>
    <w:p>
      <w:r>
        <w:t>5. Beoordeling REACH-rollen: zijn er rolwijzigingen door procesaanpassingen?</w:t>
      </w:r>
    </w:p>
    <w:p>
      <w:r>
        <w:t>6. PGS 15-compliance opslag.</w:t>
      </w:r>
    </w:p>
    <w:p>
      <w:r>
        <w:t>7. Corrective actions vorige review: status en afhandeling.</w:t>
      </w:r>
    </w:p>
    <w:p>
      <w:r>
        <w:t>8. Rapportage aan directie met bevindingen en aanbevelingen.</w:t>
      </w:r>
    </w:p>
    <w:p>
      <w:pPr>
        <w:pStyle w:val="Heading2"/>
      </w:pPr>
      <w:r>
        <w:t>9.2 Training medewerkers</w:t>
      </w:r>
    </w:p>
    <w:p>
      <w:r>
        <w:t>Alle medewerkers die werken met chemische stoffen ontvangen REACH/CLP-training:</w:t>
      </w:r>
    </w:p>
    <w:p>
      <w:pPr>
        <w:pStyle w:val="ListBullet"/>
      </w:pPr>
      <w:r>
        <w:t>Bij indiensttreding: basistraining REACH/CLP (2 uur) inclusief SDS-raadpleging, PBM-gebruik, CMR-herkenning.</w:t>
      </w:r>
    </w:p>
    <w:p>
      <w:pPr>
        <w:pStyle w:val="ListBullet"/>
      </w:pPr>
      <w:r>
        <w:t>Jaarlijks: herhalingstraining met actuele stoffenlijst, nieuwe regelgeving, en lessons learned.</w:t>
      </w:r>
    </w:p>
    <w:p>
      <w:pPr>
        <w:pStyle w:val="ListBullet"/>
      </w:pPr>
      <w:r>
        <w:t>Bij introductie nieuwe stoffen: specifieke instructie door HSEQ Manager.</w:t>
      </w:r>
    </w:p>
    <w:p>
      <w:pPr>
        <w:pStyle w:val="ListBullet"/>
      </w:pPr>
      <w:r>
        <w:t>Training wordt gedocumenteerd in het trainingsregister.</w:t>
      </w:r>
    </w:p>
    <w:p>
      <w:r>
        <w:br w:type="page"/>
      </w:r>
    </w:p>
    <w:p>
      <w:pPr>
        <w:pStyle w:val="Heading1"/>
      </w:pPr>
      <w:r>
        <w:t>10. Bijlagen</w:t>
      </w:r>
    </w:p>
    <w:p>
      <w:pPr>
        <w:pStyle w:val="Heading2"/>
      </w:pPr>
      <w:r>
        <w:t>Bijlage A: Stoffeninventaristabel</w:t>
      </w:r>
    </w:p>
    <w:tbl>
      <w:tblPr>
        <w:tblStyle w:val="TableGrid"/>
        <w:tblW w:type="auto" w:w="0"/>
        <w:jc w:val="center"/>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shd w:fill="003366" w:val="clear"/>
          </w:tcPr>
          <w:p>
            <w:pPr>
              <w:jc w:val="center"/>
            </w:pPr>
            <w:r>
              <w:rPr>
                <w:b/>
                <w:color w:val="FFFFFF"/>
                <w:sz w:val="18"/>
              </w:rPr>
              <w:t>#</w:t>
            </w:r>
          </w:p>
        </w:tc>
        <w:tc>
          <w:tcPr>
            <w:tcW w:type="dxa" w:w="864"/>
            <w:shd w:fill="003366" w:val="clear"/>
          </w:tcPr>
          <w:p>
            <w:pPr>
              <w:jc w:val="center"/>
            </w:pPr>
            <w:r>
              <w:rPr>
                <w:b/>
                <w:color w:val="FFFFFF"/>
                <w:sz w:val="18"/>
              </w:rPr>
              <w:t>Stofnaam</w:t>
            </w:r>
          </w:p>
        </w:tc>
        <w:tc>
          <w:tcPr>
            <w:tcW w:type="dxa" w:w="864"/>
            <w:shd w:fill="003366" w:val="clear"/>
          </w:tcPr>
          <w:p>
            <w:pPr>
              <w:jc w:val="center"/>
            </w:pPr>
            <w:r>
              <w:rPr>
                <w:b/>
                <w:color w:val="FFFFFF"/>
                <w:sz w:val="18"/>
              </w:rPr>
              <w:t>CAS</w:t>
            </w:r>
          </w:p>
        </w:tc>
        <w:tc>
          <w:tcPr>
            <w:tcW w:type="dxa" w:w="864"/>
            <w:shd w:fill="003366" w:val="clear"/>
          </w:tcPr>
          <w:p>
            <w:pPr>
              <w:jc w:val="center"/>
            </w:pPr>
            <w:r>
              <w:rPr>
                <w:b/>
                <w:color w:val="FFFFFF"/>
                <w:sz w:val="18"/>
              </w:rPr>
              <w:t>EG</w:t>
            </w:r>
          </w:p>
        </w:tc>
        <w:tc>
          <w:tcPr>
            <w:tcW w:type="dxa" w:w="864"/>
            <w:shd w:fill="003366" w:val="clear"/>
          </w:tcPr>
          <w:p>
            <w:pPr>
              <w:jc w:val="center"/>
            </w:pPr>
            <w:r>
              <w:rPr>
                <w:b/>
                <w:color w:val="FFFFFF"/>
                <w:sz w:val="18"/>
              </w:rPr>
              <w:t>Volume (ton/j)</w:t>
            </w:r>
          </w:p>
        </w:tc>
        <w:tc>
          <w:tcPr>
            <w:tcW w:type="dxa" w:w="864"/>
            <w:shd w:fill="003366" w:val="clear"/>
          </w:tcPr>
          <w:p>
            <w:pPr>
              <w:jc w:val="center"/>
            </w:pPr>
            <w:r>
              <w:rPr>
                <w:b/>
                <w:color w:val="FFFFFF"/>
                <w:sz w:val="18"/>
              </w:rPr>
              <w:t>CLP-classificatie</w:t>
            </w:r>
          </w:p>
        </w:tc>
        <w:tc>
          <w:tcPr>
            <w:tcW w:type="dxa" w:w="864"/>
            <w:shd w:fill="003366" w:val="clear"/>
          </w:tcPr>
          <w:p>
            <w:pPr>
              <w:jc w:val="center"/>
            </w:pPr>
            <w:r>
              <w:rPr>
                <w:b/>
                <w:color w:val="FFFFFF"/>
                <w:sz w:val="18"/>
              </w:rPr>
              <w:t>SVHC?</w:t>
            </w:r>
          </w:p>
        </w:tc>
        <w:tc>
          <w:tcPr>
            <w:tcW w:type="dxa" w:w="864"/>
            <w:shd w:fill="003366" w:val="clear"/>
          </w:tcPr>
          <w:p>
            <w:pPr>
              <w:jc w:val="center"/>
            </w:pPr>
            <w:r>
              <w:rPr>
                <w:b/>
                <w:color w:val="FFFFFF"/>
                <w:sz w:val="18"/>
              </w:rPr>
              <w:t>REACH-rol</w:t>
            </w:r>
          </w:p>
        </w:tc>
        <w:tc>
          <w:tcPr>
            <w:tcW w:type="dxa" w:w="864"/>
            <w:shd w:fill="003366" w:val="clear"/>
          </w:tcPr>
          <w:p>
            <w:pPr>
              <w:jc w:val="center"/>
            </w:pPr>
            <w:r>
              <w:rPr>
                <w:b/>
                <w:color w:val="FFFFFF"/>
                <w:sz w:val="18"/>
              </w:rPr>
              <w:t>SDS versie</w:t>
            </w:r>
          </w:p>
        </w:tc>
        <w:tc>
          <w:tcPr>
            <w:tcW w:type="dxa" w:w="864"/>
            <w:shd w:fill="003366" w:val="clear"/>
          </w:tcPr>
          <w:p>
            <w:pPr>
              <w:jc w:val="center"/>
            </w:pPr>
            <w:r>
              <w:rPr>
                <w:b/>
                <w:color w:val="FFFFFF"/>
                <w:sz w:val="18"/>
              </w:rPr>
              <w:t>Opslaglocatie</w:t>
            </w:r>
          </w:p>
        </w:tc>
      </w:tr>
      <w:tr>
        <w:tc>
          <w:tcPr>
            <w:tcW w:type="dxa" w:w="864"/>
          </w:tcPr>
          <w:p>
            <w:r>
              <w:rPr>
                <w:sz w:val="18"/>
              </w:rPr>
              <w:t>1</w:t>
            </w:r>
          </w:p>
        </w:tc>
        <w:tc>
          <w:tcPr>
            <w:tcW w:type="dxa" w:w="864"/>
          </w:tcPr>
          <w:p>
            <w:r>
              <w:rPr>
                <w:sz w:val="18"/>
              </w:rPr>
              <w:t>Zwavelzuur 25-75%</w:t>
            </w:r>
          </w:p>
        </w:tc>
        <w:tc>
          <w:tcPr>
            <w:tcW w:type="dxa" w:w="864"/>
          </w:tcPr>
          <w:p>
            <w:r>
              <w:rPr>
                <w:sz w:val="18"/>
              </w:rPr>
              <w:t>7664-93-9</w:t>
            </w:r>
          </w:p>
        </w:tc>
        <w:tc>
          <w:tcPr>
            <w:tcW w:type="dxa" w:w="864"/>
          </w:tcPr>
          <w:p>
            <w:r>
              <w:rPr>
                <w:sz w:val="18"/>
              </w:rPr>
              <w:t>231-639-5</w:t>
            </w:r>
          </w:p>
        </w:tc>
        <w:tc>
          <w:tcPr>
            <w:tcW w:type="dxa" w:w="864"/>
          </w:tcPr>
          <w:p>
            <w:r>
              <w:rPr>
                <w:sz w:val="18"/>
              </w:rPr>
              <w:t>&lt;5</w:t>
            </w:r>
          </w:p>
        </w:tc>
        <w:tc>
          <w:tcPr>
            <w:tcW w:type="dxa" w:w="864"/>
          </w:tcPr>
          <w:p>
            <w:r>
              <w:rPr>
                <w:sz w:val="18"/>
              </w:rPr>
              <w:t>Skin Corr. 1A</w:t>
            </w:r>
          </w:p>
        </w:tc>
        <w:tc>
          <w:tcPr>
            <w:tcW w:type="dxa" w:w="864"/>
          </w:tcPr>
          <w:p>
            <w:r>
              <w:rPr>
                <w:sz w:val="18"/>
              </w:rPr>
              <w:t>Nee</w:t>
            </w:r>
          </w:p>
        </w:tc>
        <w:tc>
          <w:tcPr>
            <w:tcW w:type="dxa" w:w="864"/>
          </w:tcPr>
          <w:p>
            <w:r>
              <w:rPr>
                <w:sz w:val="18"/>
              </w:rPr>
              <w:t>DU</w:t>
            </w:r>
          </w:p>
        </w:tc>
        <w:tc>
          <w:tcPr>
            <w:tcW w:type="dxa" w:w="864"/>
          </w:tcPr>
          <w:p>
            <w:r>
              <w:rPr>
                <w:sz w:val="18"/>
              </w:rPr>
            </w:r>
          </w:p>
        </w:tc>
        <w:tc>
          <w:tcPr>
            <w:tcW w:type="dxa" w:w="864"/>
          </w:tcPr>
          <w:p>
            <w:r>
              <w:rPr>
                <w:sz w:val="18"/>
              </w:rPr>
            </w:r>
          </w:p>
        </w:tc>
      </w:tr>
      <w:tr>
        <w:tc>
          <w:tcPr>
            <w:tcW w:type="dxa" w:w="864"/>
            <w:shd w:fill="E8EEF4" w:val="clear"/>
          </w:tcPr>
          <w:p>
            <w:r>
              <w:rPr>
                <w:sz w:val="18"/>
              </w:rPr>
              <w:t>2</w:t>
            </w:r>
          </w:p>
        </w:tc>
        <w:tc>
          <w:tcPr>
            <w:tcW w:type="dxa" w:w="864"/>
            <w:shd w:fill="E8EEF4" w:val="clear"/>
          </w:tcPr>
          <w:p>
            <w:r>
              <w:rPr>
                <w:sz w:val="18"/>
              </w:rPr>
              <w:t>Natriumhydroxide 50%</w:t>
            </w:r>
          </w:p>
        </w:tc>
        <w:tc>
          <w:tcPr>
            <w:tcW w:type="dxa" w:w="864"/>
            <w:shd w:fill="E8EEF4" w:val="clear"/>
          </w:tcPr>
          <w:p>
            <w:r>
              <w:rPr>
                <w:sz w:val="18"/>
              </w:rPr>
              <w:t>1310-73-2</w:t>
            </w:r>
          </w:p>
        </w:tc>
        <w:tc>
          <w:tcPr>
            <w:tcW w:type="dxa" w:w="864"/>
            <w:shd w:fill="E8EEF4" w:val="clear"/>
          </w:tcPr>
          <w:p>
            <w:r>
              <w:rPr>
                <w:sz w:val="18"/>
              </w:rPr>
              <w:t>215-185-5</w:t>
            </w:r>
          </w:p>
        </w:tc>
        <w:tc>
          <w:tcPr>
            <w:tcW w:type="dxa" w:w="864"/>
            <w:shd w:fill="E8EEF4" w:val="clear"/>
          </w:tcPr>
          <w:p>
            <w:r>
              <w:rPr>
                <w:sz w:val="18"/>
              </w:rPr>
              <w:t>&lt;10</w:t>
            </w:r>
          </w:p>
        </w:tc>
        <w:tc>
          <w:tcPr>
            <w:tcW w:type="dxa" w:w="864"/>
            <w:shd w:fill="E8EEF4" w:val="clear"/>
          </w:tcPr>
          <w:p>
            <w:r>
              <w:rPr>
                <w:sz w:val="18"/>
              </w:rPr>
              <w:t>Skin Corr. 1A</w:t>
            </w:r>
          </w:p>
        </w:tc>
        <w:tc>
          <w:tcPr>
            <w:tcW w:type="dxa" w:w="864"/>
            <w:shd w:fill="E8EEF4" w:val="clear"/>
          </w:tcPr>
          <w:p>
            <w:r>
              <w:rPr>
                <w:sz w:val="18"/>
              </w:rPr>
              <w:t>Nee</w:t>
            </w:r>
          </w:p>
        </w:tc>
        <w:tc>
          <w:tcPr>
            <w:tcW w:type="dxa" w:w="864"/>
            <w:shd w:fill="E8EEF4" w:val="clear"/>
          </w:tcPr>
          <w:p>
            <w:r>
              <w:rPr>
                <w:sz w:val="18"/>
              </w:rPr>
              <w:t>DU</w:t>
            </w:r>
          </w:p>
        </w:tc>
        <w:tc>
          <w:tcPr>
            <w:tcW w:type="dxa" w:w="864"/>
            <w:shd w:fill="E8EEF4" w:val="clear"/>
          </w:tcPr>
          <w:p>
            <w:r>
              <w:rPr>
                <w:sz w:val="18"/>
              </w:rPr>
            </w:r>
          </w:p>
        </w:tc>
        <w:tc>
          <w:tcPr>
            <w:tcW w:type="dxa" w:w="864"/>
            <w:shd w:fill="E8EEF4" w:val="clear"/>
          </w:tcPr>
          <w:p>
            <w:r>
              <w:rPr>
                <w:sz w:val="18"/>
              </w:rPr>
            </w:r>
          </w:p>
        </w:tc>
      </w:tr>
      <w:tr>
        <w:tc>
          <w:tcPr>
            <w:tcW w:type="dxa" w:w="864"/>
          </w:tcPr>
          <w:p>
            <w:r>
              <w:rPr>
                <w:sz w:val="18"/>
              </w:rPr>
              <w:t>3</w:t>
            </w:r>
          </w:p>
        </w:tc>
        <w:tc>
          <w:tcPr>
            <w:tcW w:type="dxa" w:w="864"/>
          </w:tcPr>
          <w:p>
            <w:r>
              <w:rPr>
                <w:sz w:val="18"/>
              </w:rPr>
              <w:t>Aluminiumsulfaat</w:t>
            </w:r>
          </w:p>
        </w:tc>
        <w:tc>
          <w:tcPr>
            <w:tcW w:type="dxa" w:w="864"/>
          </w:tcPr>
          <w:p>
            <w:r>
              <w:rPr>
                <w:sz w:val="18"/>
              </w:rPr>
              <w:t>10043-01-3</w:t>
            </w:r>
          </w:p>
        </w:tc>
        <w:tc>
          <w:tcPr>
            <w:tcW w:type="dxa" w:w="864"/>
          </w:tcPr>
          <w:p>
            <w:r>
              <w:rPr>
                <w:sz w:val="18"/>
              </w:rPr>
              <w:t>233-135-0</w:t>
            </w:r>
          </w:p>
        </w:tc>
        <w:tc>
          <w:tcPr>
            <w:tcW w:type="dxa" w:w="864"/>
          </w:tcPr>
          <w:p>
            <w:r>
              <w:rPr>
                <w:sz w:val="18"/>
              </w:rPr>
              <w:t>&lt;2</w:t>
            </w:r>
          </w:p>
        </w:tc>
        <w:tc>
          <w:tcPr>
            <w:tcW w:type="dxa" w:w="864"/>
          </w:tcPr>
          <w:p>
            <w:r>
              <w:rPr>
                <w:sz w:val="18"/>
              </w:rPr>
              <w:t>Geen</w:t>
            </w:r>
          </w:p>
        </w:tc>
        <w:tc>
          <w:tcPr>
            <w:tcW w:type="dxa" w:w="864"/>
          </w:tcPr>
          <w:p>
            <w:r>
              <w:rPr>
                <w:sz w:val="18"/>
              </w:rPr>
              <w:t>Nee</w:t>
            </w:r>
          </w:p>
        </w:tc>
        <w:tc>
          <w:tcPr>
            <w:tcW w:type="dxa" w:w="864"/>
          </w:tcPr>
          <w:p>
            <w:r>
              <w:rPr>
                <w:sz w:val="18"/>
              </w:rPr>
              <w:t>DU</w:t>
            </w:r>
          </w:p>
        </w:tc>
        <w:tc>
          <w:tcPr>
            <w:tcW w:type="dxa" w:w="864"/>
          </w:tcPr>
          <w:p>
            <w:r>
              <w:rPr>
                <w:sz w:val="18"/>
              </w:rPr>
            </w:r>
          </w:p>
        </w:tc>
        <w:tc>
          <w:tcPr>
            <w:tcW w:type="dxa" w:w="864"/>
          </w:tcPr>
          <w:p>
            <w:r>
              <w:rPr>
                <w:sz w:val="18"/>
              </w:rPr>
            </w:r>
          </w:p>
        </w:tc>
      </w:tr>
      <w:tr>
        <w:tc>
          <w:tcPr>
            <w:tcW w:type="dxa" w:w="864"/>
            <w:shd w:fill="E8EEF4" w:val="clear"/>
          </w:tcPr>
          <w:p>
            <w:r>
              <w:rPr>
                <w:sz w:val="18"/>
              </w:rPr>
              <w:t>4</w:t>
            </w:r>
          </w:p>
        </w:tc>
        <w:tc>
          <w:tcPr>
            <w:tcW w:type="dxa" w:w="864"/>
            <w:shd w:fill="E8EEF4" w:val="clear"/>
          </w:tcPr>
          <w:p>
            <w:r>
              <w:rPr>
                <w:sz w:val="18"/>
              </w:rPr>
              <w:t>Calciumoxide</w:t>
            </w:r>
          </w:p>
        </w:tc>
        <w:tc>
          <w:tcPr>
            <w:tcW w:type="dxa" w:w="864"/>
            <w:shd w:fill="E8EEF4" w:val="clear"/>
          </w:tcPr>
          <w:p>
            <w:r>
              <w:rPr>
                <w:sz w:val="18"/>
              </w:rPr>
              <w:t>1305-78-8</w:t>
            </w:r>
          </w:p>
        </w:tc>
        <w:tc>
          <w:tcPr>
            <w:tcW w:type="dxa" w:w="864"/>
            <w:shd w:fill="E8EEF4" w:val="clear"/>
          </w:tcPr>
          <w:p>
            <w:r>
              <w:rPr>
                <w:sz w:val="18"/>
              </w:rPr>
              <w:t>215-138-9</w:t>
            </w:r>
          </w:p>
        </w:tc>
        <w:tc>
          <w:tcPr>
            <w:tcW w:type="dxa" w:w="864"/>
            <w:shd w:fill="E8EEF4" w:val="clear"/>
          </w:tcPr>
          <w:p>
            <w:r>
              <w:rPr>
                <w:sz w:val="18"/>
              </w:rPr>
              <w:t>&lt;1</w:t>
            </w:r>
          </w:p>
        </w:tc>
        <w:tc>
          <w:tcPr>
            <w:tcW w:type="dxa" w:w="864"/>
            <w:shd w:fill="E8EEF4" w:val="clear"/>
          </w:tcPr>
          <w:p>
            <w:r>
              <w:rPr>
                <w:sz w:val="18"/>
              </w:rPr>
              <w:t>Skin Corr. 1B</w:t>
            </w:r>
          </w:p>
        </w:tc>
        <w:tc>
          <w:tcPr>
            <w:tcW w:type="dxa" w:w="864"/>
            <w:shd w:fill="E8EEF4" w:val="clear"/>
          </w:tcPr>
          <w:p>
            <w:r>
              <w:rPr>
                <w:sz w:val="18"/>
              </w:rPr>
              <w:t>Nee</w:t>
            </w:r>
          </w:p>
        </w:tc>
        <w:tc>
          <w:tcPr>
            <w:tcW w:type="dxa" w:w="864"/>
            <w:shd w:fill="E8EEF4" w:val="clear"/>
          </w:tcPr>
          <w:p>
            <w:r>
              <w:rPr>
                <w:sz w:val="18"/>
              </w:rPr>
              <w:t>DU</w:t>
            </w:r>
          </w:p>
        </w:tc>
        <w:tc>
          <w:tcPr>
            <w:tcW w:type="dxa" w:w="864"/>
            <w:shd w:fill="E8EEF4" w:val="clear"/>
          </w:tcPr>
          <w:p>
            <w:r>
              <w:rPr>
                <w:sz w:val="18"/>
              </w:rPr>
            </w:r>
          </w:p>
        </w:tc>
        <w:tc>
          <w:tcPr>
            <w:tcW w:type="dxa" w:w="864"/>
            <w:shd w:fill="E8EEF4" w:val="clear"/>
          </w:tcPr>
          <w:p>
            <w:r>
              <w:rPr>
                <w:sz w:val="18"/>
              </w:rPr>
            </w:r>
          </w:p>
        </w:tc>
      </w:tr>
      <w:tr>
        <w:tc>
          <w:tcPr>
            <w:tcW w:type="dxa" w:w="864"/>
          </w:tcPr>
          <w:p>
            <w:r>
              <w:rPr>
                <w:sz w:val="18"/>
              </w:rPr>
              <w:t>5</w:t>
            </w:r>
          </w:p>
        </w:tc>
        <w:tc>
          <w:tcPr>
            <w:tcW w:type="dxa" w:w="864"/>
          </w:tcPr>
          <w:p>
            <w:r>
              <w:rPr>
                <w:sz w:val="18"/>
              </w:rPr>
              <w:t>Magnesiumhydroxide</w:t>
            </w:r>
          </w:p>
        </w:tc>
        <w:tc>
          <w:tcPr>
            <w:tcW w:type="dxa" w:w="864"/>
          </w:tcPr>
          <w:p>
            <w:r>
              <w:rPr>
                <w:sz w:val="18"/>
              </w:rPr>
              <w:t>1309-42-8</w:t>
            </w:r>
          </w:p>
        </w:tc>
        <w:tc>
          <w:tcPr>
            <w:tcW w:type="dxa" w:w="864"/>
          </w:tcPr>
          <w:p>
            <w:r>
              <w:rPr>
                <w:sz w:val="18"/>
              </w:rPr>
              <w:t>215-170-3</w:t>
            </w:r>
          </w:p>
        </w:tc>
        <w:tc>
          <w:tcPr>
            <w:tcW w:type="dxa" w:w="864"/>
          </w:tcPr>
          <w:p>
            <w:r>
              <w:rPr>
                <w:sz w:val="18"/>
              </w:rPr>
              <w:t>&lt;1</w:t>
            </w:r>
          </w:p>
        </w:tc>
        <w:tc>
          <w:tcPr>
            <w:tcW w:type="dxa" w:w="864"/>
          </w:tcPr>
          <w:p>
            <w:r>
              <w:rPr>
                <w:sz w:val="18"/>
              </w:rPr>
              <w:t>Geen</w:t>
            </w:r>
          </w:p>
        </w:tc>
        <w:tc>
          <w:tcPr>
            <w:tcW w:type="dxa" w:w="864"/>
          </w:tcPr>
          <w:p>
            <w:r>
              <w:rPr>
                <w:sz w:val="18"/>
              </w:rPr>
              <w:t>Nee</w:t>
            </w:r>
          </w:p>
        </w:tc>
        <w:tc>
          <w:tcPr>
            <w:tcW w:type="dxa" w:w="864"/>
          </w:tcPr>
          <w:p>
            <w:r>
              <w:rPr>
                <w:sz w:val="18"/>
              </w:rPr>
              <w:t>DU</w:t>
            </w:r>
          </w:p>
        </w:tc>
        <w:tc>
          <w:tcPr>
            <w:tcW w:type="dxa" w:w="864"/>
          </w:tcPr>
          <w:p>
            <w:r>
              <w:rPr>
                <w:sz w:val="18"/>
              </w:rPr>
            </w:r>
          </w:p>
        </w:tc>
        <w:tc>
          <w:tcPr>
            <w:tcW w:type="dxa" w:w="864"/>
          </w:tcPr>
          <w:p>
            <w:r>
              <w:rPr>
                <w:sz w:val="18"/>
              </w:rPr>
            </w:r>
          </w:p>
        </w:tc>
      </w:tr>
      <w:tr>
        <w:tc>
          <w:tcPr>
            <w:tcW w:type="dxa" w:w="864"/>
            <w:shd w:fill="E8EEF4" w:val="clear"/>
          </w:tcPr>
          <w:p>
            <w:r>
              <w:rPr>
                <w:sz w:val="18"/>
              </w:rPr>
              <w:t>6</w:t>
            </w:r>
          </w:p>
        </w:tc>
        <w:tc>
          <w:tcPr>
            <w:tcW w:type="dxa" w:w="864"/>
            <w:shd w:fill="E8EEF4" w:val="clear"/>
          </w:tcPr>
          <w:p>
            <w:r>
              <w:rPr>
                <w:sz w:val="18"/>
              </w:rPr>
              <w:t>Calciumhydroxide</w:t>
            </w:r>
          </w:p>
        </w:tc>
        <w:tc>
          <w:tcPr>
            <w:tcW w:type="dxa" w:w="864"/>
            <w:shd w:fill="E8EEF4" w:val="clear"/>
          </w:tcPr>
          <w:p>
            <w:r>
              <w:rPr>
                <w:sz w:val="18"/>
              </w:rPr>
              <w:t>1305-62-0</w:t>
            </w:r>
          </w:p>
        </w:tc>
        <w:tc>
          <w:tcPr>
            <w:tcW w:type="dxa" w:w="864"/>
            <w:shd w:fill="E8EEF4" w:val="clear"/>
          </w:tcPr>
          <w:p>
            <w:r>
              <w:rPr>
                <w:sz w:val="18"/>
              </w:rPr>
              <w:t>215-137-3</w:t>
            </w:r>
          </w:p>
        </w:tc>
        <w:tc>
          <w:tcPr>
            <w:tcW w:type="dxa" w:w="864"/>
            <w:shd w:fill="E8EEF4" w:val="clear"/>
          </w:tcPr>
          <w:p>
            <w:r>
              <w:rPr>
                <w:sz w:val="18"/>
              </w:rPr>
              <w:t>&lt;1</w:t>
            </w:r>
          </w:p>
        </w:tc>
        <w:tc>
          <w:tcPr>
            <w:tcW w:type="dxa" w:w="864"/>
            <w:shd w:fill="E8EEF4" w:val="clear"/>
          </w:tcPr>
          <w:p>
            <w:r>
              <w:rPr>
                <w:sz w:val="18"/>
              </w:rPr>
              <w:t>Skin Irrit. 2 / Eye Irrit. 2</w:t>
            </w:r>
          </w:p>
        </w:tc>
        <w:tc>
          <w:tcPr>
            <w:tcW w:type="dxa" w:w="864"/>
            <w:shd w:fill="E8EEF4" w:val="clear"/>
          </w:tcPr>
          <w:p>
            <w:r>
              <w:rPr>
                <w:sz w:val="18"/>
              </w:rPr>
              <w:t>Nee</w:t>
            </w:r>
          </w:p>
        </w:tc>
        <w:tc>
          <w:tcPr>
            <w:tcW w:type="dxa" w:w="864"/>
            <w:shd w:fill="E8EEF4" w:val="clear"/>
          </w:tcPr>
          <w:p>
            <w:r>
              <w:rPr>
                <w:sz w:val="18"/>
              </w:rPr>
              <w:t>DU</w:t>
            </w:r>
          </w:p>
        </w:tc>
        <w:tc>
          <w:tcPr>
            <w:tcW w:type="dxa" w:w="864"/>
            <w:shd w:fill="E8EEF4" w:val="clear"/>
          </w:tcPr>
          <w:p>
            <w:r>
              <w:rPr>
                <w:sz w:val="18"/>
              </w:rPr>
            </w:r>
          </w:p>
        </w:tc>
        <w:tc>
          <w:tcPr>
            <w:tcW w:type="dxa" w:w="864"/>
            <w:shd w:fill="E8EEF4" w:val="clear"/>
          </w:tcPr>
          <w:p>
            <w:r>
              <w:rPr>
                <w:sz w:val="18"/>
              </w:rPr>
            </w:r>
          </w:p>
        </w:tc>
      </w:tr>
      <w:tr>
        <w:tc>
          <w:tcPr>
            <w:tcW w:type="dxa" w:w="864"/>
          </w:tcPr>
          <w:p>
            <w:r>
              <w:rPr>
                <w:sz w:val="18"/>
              </w:rPr>
              <w:t>7</w:t>
            </w:r>
          </w:p>
        </w:tc>
        <w:tc>
          <w:tcPr>
            <w:tcW w:type="dxa" w:w="864"/>
          </w:tcPr>
          <w:p>
            <w:r>
              <w:rPr>
                <w:sz w:val="18"/>
              </w:rPr>
              <w:t>V₂O₅ (eindproduct)</w:t>
            </w:r>
          </w:p>
        </w:tc>
        <w:tc>
          <w:tcPr>
            <w:tcW w:type="dxa" w:w="864"/>
          </w:tcPr>
          <w:p>
            <w:r>
              <w:rPr>
                <w:sz w:val="18"/>
              </w:rPr>
              <w:t>1314-62-1</w:t>
            </w:r>
          </w:p>
        </w:tc>
        <w:tc>
          <w:tcPr>
            <w:tcW w:type="dxa" w:w="864"/>
          </w:tcPr>
          <w:p>
            <w:r>
              <w:rPr>
                <w:sz w:val="18"/>
              </w:rPr>
              <w:t>215-239-8</w:t>
            </w:r>
          </w:p>
        </w:tc>
        <w:tc>
          <w:tcPr>
            <w:tcW w:type="dxa" w:w="864"/>
          </w:tcPr>
          <w:p>
            <w:r>
              <w:rPr>
                <w:sz w:val="18"/>
              </w:rPr>
              <w:t>&lt;0,5</w:t>
            </w:r>
          </w:p>
        </w:tc>
        <w:tc>
          <w:tcPr>
            <w:tcW w:type="dxa" w:w="864"/>
          </w:tcPr>
          <w:p>
            <w:r>
              <w:rPr>
                <w:sz w:val="18"/>
              </w:rPr>
              <w:t>Repr. 1B (H361fd)</w:t>
            </w:r>
          </w:p>
        </w:tc>
        <w:tc>
          <w:tcPr>
            <w:tcW w:type="dxa" w:w="864"/>
          </w:tcPr>
          <w:p>
            <w:r>
              <w:rPr>
                <w:sz w:val="18"/>
              </w:rPr>
              <w:t>Ja (2023)</w:t>
            </w:r>
          </w:p>
        </w:tc>
        <w:tc>
          <w:tcPr>
            <w:tcW w:type="dxa" w:w="864"/>
          </w:tcPr>
          <w:p>
            <w:r>
              <w:rPr>
                <w:sz w:val="18"/>
              </w:rPr>
              <w:t>PPORD → Fabrikant</w:t>
            </w:r>
          </w:p>
        </w:tc>
        <w:tc>
          <w:tcPr>
            <w:tcW w:type="dxa" w:w="864"/>
          </w:tcPr>
          <w:p>
            <w:r>
              <w:rPr>
                <w:sz w:val="18"/>
              </w:rPr>
            </w:r>
          </w:p>
        </w:tc>
        <w:tc>
          <w:tcPr>
            <w:tcW w:type="dxa" w:w="864"/>
          </w:tcPr>
          <w:p>
            <w:r>
              <w:rPr>
                <w:sz w:val="18"/>
              </w:rPr>
            </w:r>
          </w:p>
        </w:tc>
      </w:tr>
      <w:tr>
        <w:tc>
          <w:tcPr>
            <w:tcW w:type="dxa" w:w="864"/>
            <w:shd w:fill="E8EEF4" w:val="clear"/>
          </w:tcPr>
          <w:p>
            <w:r>
              <w:rPr>
                <w:sz w:val="18"/>
              </w:rPr>
              <w:t>8</w:t>
            </w:r>
          </w:p>
        </w:tc>
        <w:tc>
          <w:tcPr>
            <w:tcW w:type="dxa" w:w="864"/>
            <w:shd w:fill="E8EEF4" w:val="clear"/>
          </w:tcPr>
          <w:p>
            <w:r>
              <w:rPr>
                <w:sz w:val="18"/>
              </w:rPr>
              <w:t>Vanadium-elektrolyt</w:t>
            </w:r>
          </w:p>
        </w:tc>
        <w:tc>
          <w:tcPr>
            <w:tcW w:type="dxa" w:w="864"/>
            <w:shd w:fill="E8EEF4" w:val="clear"/>
          </w:tcPr>
          <w:p>
            <w:r>
              <w:rPr>
                <w:sz w:val="18"/>
              </w:rPr>
              <w:t>UVCB-mengsel</w:t>
            </w:r>
          </w:p>
        </w:tc>
        <w:tc>
          <w:tcPr>
            <w:tcW w:type="dxa" w:w="864"/>
            <w:shd w:fill="E8EEF4" w:val="clear"/>
          </w:tcPr>
          <w:p>
            <w:r>
              <w:rPr>
                <w:sz w:val="18"/>
              </w:rPr>
              <w:t>—</w:t>
            </w:r>
          </w:p>
        </w:tc>
        <w:tc>
          <w:tcPr>
            <w:tcW w:type="dxa" w:w="864"/>
            <w:shd w:fill="E8EEF4" w:val="clear"/>
          </w:tcPr>
          <w:p>
            <w:r>
              <w:rPr>
                <w:sz w:val="18"/>
              </w:rPr>
              <w:t>&lt;0,2</w:t>
            </w:r>
          </w:p>
        </w:tc>
        <w:tc>
          <w:tcPr>
            <w:tcW w:type="dxa" w:w="864"/>
            <w:shd w:fill="E8EEF4" w:val="clear"/>
          </w:tcPr>
          <w:p>
            <w:r>
              <w:rPr>
                <w:sz w:val="18"/>
              </w:rPr>
              <w:t>Acute Tox. / Repr.</w:t>
            </w:r>
          </w:p>
        </w:tc>
        <w:tc>
          <w:tcPr>
            <w:tcW w:type="dxa" w:w="864"/>
            <w:shd w:fill="E8EEF4" w:val="clear"/>
          </w:tcPr>
          <w:p>
            <w:r>
              <w:rPr>
                <w:sz w:val="18"/>
              </w:rPr>
              <w:t>Bevat SVHC</w:t>
            </w:r>
          </w:p>
        </w:tc>
        <w:tc>
          <w:tcPr>
            <w:tcW w:type="dxa" w:w="864"/>
            <w:shd w:fill="E8EEF4" w:val="clear"/>
          </w:tcPr>
          <w:p>
            <w:r>
              <w:rPr>
                <w:sz w:val="18"/>
              </w:rPr>
              <w:t>PPORD → Fabrikant</w:t>
            </w:r>
          </w:p>
        </w:tc>
        <w:tc>
          <w:tcPr>
            <w:tcW w:type="dxa" w:w="864"/>
            <w:shd w:fill="E8EEF4" w:val="clear"/>
          </w:tcPr>
          <w:p>
            <w:r>
              <w:rPr>
                <w:sz w:val="18"/>
              </w:rPr>
            </w:r>
          </w:p>
        </w:tc>
        <w:tc>
          <w:tcPr>
            <w:tcW w:type="dxa" w:w="864"/>
            <w:shd w:fill="E8EEF4" w:val="clear"/>
          </w:tcPr>
          <w:p>
            <w:r>
              <w:rPr>
                <w:sz w:val="18"/>
              </w:rPr>
            </w:r>
          </w:p>
        </w:tc>
      </w:tr>
      <w:tr>
        <w:tc>
          <w:tcPr>
            <w:tcW w:type="dxa" w:w="864"/>
          </w:tcPr>
          <w:p>
            <w:r>
              <w:rPr>
                <w:sz w:val="18"/>
              </w:rPr>
              <w:t>9</w:t>
            </w:r>
          </w:p>
        </w:tc>
        <w:tc>
          <w:tcPr>
            <w:tcW w:type="dxa" w:w="864"/>
          </w:tcPr>
          <w:p>
            <w:r>
              <w:rPr>
                <w:sz w:val="18"/>
              </w:rPr>
              <w:t>IJzeroxide Fe₂O₃</w:t>
            </w:r>
          </w:p>
        </w:tc>
        <w:tc>
          <w:tcPr>
            <w:tcW w:type="dxa" w:w="864"/>
          </w:tcPr>
          <w:p>
            <w:r>
              <w:rPr>
                <w:sz w:val="18"/>
              </w:rPr>
              <w:t>1309-37-1</w:t>
            </w:r>
          </w:p>
        </w:tc>
        <w:tc>
          <w:tcPr>
            <w:tcW w:type="dxa" w:w="864"/>
          </w:tcPr>
          <w:p>
            <w:r>
              <w:rPr>
                <w:sz w:val="18"/>
              </w:rPr>
              <w:t>215-168-2</w:t>
            </w:r>
          </w:p>
        </w:tc>
        <w:tc>
          <w:tcPr>
            <w:tcW w:type="dxa" w:w="864"/>
          </w:tcPr>
          <w:p>
            <w:r>
              <w:rPr>
                <w:sz w:val="18"/>
              </w:rPr>
              <w:t>&lt;0,5</w:t>
            </w:r>
          </w:p>
        </w:tc>
        <w:tc>
          <w:tcPr>
            <w:tcW w:type="dxa" w:w="864"/>
          </w:tcPr>
          <w:p>
            <w:r>
              <w:rPr>
                <w:sz w:val="18"/>
              </w:rPr>
              <w:t>Geen</w:t>
            </w:r>
          </w:p>
        </w:tc>
        <w:tc>
          <w:tcPr>
            <w:tcW w:type="dxa" w:w="864"/>
          </w:tcPr>
          <w:p>
            <w:r>
              <w:rPr>
                <w:sz w:val="18"/>
              </w:rPr>
              <w:t>Nee</w:t>
            </w:r>
          </w:p>
        </w:tc>
        <w:tc>
          <w:tcPr>
            <w:tcW w:type="dxa" w:w="864"/>
          </w:tcPr>
          <w:p>
            <w:r>
              <w:rPr>
                <w:sz w:val="18"/>
              </w:rPr>
              <w:t>SR&amp;D → bepalen</w:t>
            </w:r>
          </w:p>
        </w:tc>
        <w:tc>
          <w:tcPr>
            <w:tcW w:type="dxa" w:w="864"/>
          </w:tcPr>
          <w:p>
            <w:r>
              <w:rPr>
                <w:sz w:val="18"/>
              </w:rPr>
            </w:r>
          </w:p>
        </w:tc>
        <w:tc>
          <w:tcPr>
            <w:tcW w:type="dxa" w:w="864"/>
          </w:tcPr>
          <w:p>
            <w:r>
              <w:rPr>
                <w:sz w:val="18"/>
              </w:rPr>
            </w:r>
          </w:p>
        </w:tc>
      </w:tr>
      <w:tr>
        <w:tc>
          <w:tcPr>
            <w:tcW w:type="dxa" w:w="864"/>
            <w:shd w:fill="E8EEF4" w:val="clear"/>
          </w:tcPr>
          <w:p>
            <w:r>
              <w:rPr>
                <w:sz w:val="18"/>
              </w:rPr>
              <w:t>10</w:t>
            </w:r>
          </w:p>
        </w:tc>
        <w:tc>
          <w:tcPr>
            <w:tcW w:type="dxa" w:w="864"/>
            <w:shd w:fill="E8EEF4" w:val="clear"/>
          </w:tcPr>
          <w:p>
            <w:r>
              <w:rPr>
                <w:sz w:val="18"/>
              </w:rPr>
              <w:t>Gips CaSO₄</w:t>
            </w:r>
          </w:p>
        </w:tc>
        <w:tc>
          <w:tcPr>
            <w:tcW w:type="dxa" w:w="864"/>
            <w:shd w:fill="E8EEF4" w:val="clear"/>
          </w:tcPr>
          <w:p>
            <w:r>
              <w:rPr>
                <w:sz w:val="18"/>
              </w:rPr>
              <w:t>7778-18-9</w:t>
            </w:r>
          </w:p>
        </w:tc>
        <w:tc>
          <w:tcPr>
            <w:tcW w:type="dxa" w:w="864"/>
            <w:shd w:fill="E8EEF4" w:val="clear"/>
          </w:tcPr>
          <w:p>
            <w:r>
              <w:rPr>
                <w:sz w:val="18"/>
              </w:rPr>
              <w:t>231-900-3</w:t>
            </w:r>
          </w:p>
        </w:tc>
        <w:tc>
          <w:tcPr>
            <w:tcW w:type="dxa" w:w="864"/>
            <w:shd w:fill="E8EEF4" w:val="clear"/>
          </w:tcPr>
          <w:p>
            <w:r>
              <w:rPr>
                <w:sz w:val="18"/>
              </w:rPr>
              <w:t>&lt;1</w:t>
            </w:r>
          </w:p>
        </w:tc>
        <w:tc>
          <w:tcPr>
            <w:tcW w:type="dxa" w:w="864"/>
            <w:shd w:fill="E8EEF4" w:val="clear"/>
          </w:tcPr>
          <w:p>
            <w:r>
              <w:rPr>
                <w:sz w:val="18"/>
              </w:rPr>
              <w:t>Geen</w:t>
            </w:r>
          </w:p>
        </w:tc>
        <w:tc>
          <w:tcPr>
            <w:tcW w:type="dxa" w:w="864"/>
            <w:shd w:fill="E8EEF4" w:val="clear"/>
          </w:tcPr>
          <w:p>
            <w:r>
              <w:rPr>
                <w:sz w:val="18"/>
              </w:rPr>
              <w:t>Nee</w:t>
            </w:r>
          </w:p>
        </w:tc>
        <w:tc>
          <w:tcPr>
            <w:tcW w:type="dxa" w:w="864"/>
            <w:shd w:fill="E8EEF4" w:val="clear"/>
          </w:tcPr>
          <w:p>
            <w:r>
              <w:rPr>
                <w:sz w:val="18"/>
              </w:rPr>
              <w:t>EoW → bepalen</w:t>
            </w:r>
          </w:p>
        </w:tc>
        <w:tc>
          <w:tcPr>
            <w:tcW w:type="dxa" w:w="864"/>
            <w:shd w:fill="E8EEF4" w:val="clear"/>
          </w:tcPr>
          <w:p>
            <w:r>
              <w:rPr>
                <w:sz w:val="18"/>
              </w:rPr>
            </w:r>
          </w:p>
        </w:tc>
        <w:tc>
          <w:tcPr>
            <w:tcW w:type="dxa" w:w="864"/>
            <w:shd w:fill="E8EEF4" w:val="clear"/>
          </w:tcPr>
          <w:p>
            <w:r>
              <w:rPr>
                <w:sz w:val="18"/>
              </w:rPr>
            </w:r>
          </w:p>
        </w:tc>
      </w:tr>
    </w:tbl>
    <w:p/>
    <w:p>
      <w:pPr>
        <w:pStyle w:val="Heading2"/>
      </w:pPr>
      <w:r>
        <w:t>Bijlage B: SDS-checklist</w:t>
      </w:r>
    </w:p>
    <w:p>
      <w:r>
        <w:t>Gebruik deze checklist bij ontvangst en review van elke SDS:</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center"/>
            </w:pPr>
            <w:r>
              <w:rPr>
                <w:b/>
                <w:color w:val="FFFFFF"/>
                <w:sz w:val="18"/>
              </w:rPr>
              <w:t>#</w:t>
            </w:r>
          </w:p>
        </w:tc>
        <w:tc>
          <w:tcPr>
            <w:tcW w:type="dxa" w:w="1728"/>
            <w:shd w:fill="003366" w:val="clear"/>
          </w:tcPr>
          <w:p>
            <w:pPr>
              <w:jc w:val="center"/>
            </w:pPr>
            <w:r>
              <w:rPr>
                <w:b/>
                <w:color w:val="FFFFFF"/>
                <w:sz w:val="18"/>
              </w:rPr>
              <w:t>Controlepunt</w:t>
            </w:r>
          </w:p>
        </w:tc>
        <w:tc>
          <w:tcPr>
            <w:tcW w:type="dxa" w:w="1728"/>
            <w:shd w:fill="003366" w:val="clear"/>
          </w:tcPr>
          <w:p>
            <w:pPr>
              <w:jc w:val="center"/>
            </w:pPr>
            <w:r>
              <w:rPr>
                <w:b/>
                <w:color w:val="FFFFFF"/>
                <w:sz w:val="18"/>
              </w:rPr>
              <w:t>Rubriek</w:t>
            </w:r>
          </w:p>
        </w:tc>
        <w:tc>
          <w:tcPr>
            <w:tcW w:type="dxa" w:w="1728"/>
            <w:shd w:fill="003366" w:val="clear"/>
          </w:tcPr>
          <w:p>
            <w:pPr>
              <w:jc w:val="center"/>
            </w:pPr>
            <w:r>
              <w:rPr>
                <w:b/>
                <w:color w:val="FFFFFF"/>
                <w:sz w:val="18"/>
              </w:rPr>
              <w:t>Aanwezig / Akkoord</w:t>
            </w:r>
          </w:p>
        </w:tc>
        <w:tc>
          <w:tcPr>
            <w:tcW w:type="dxa" w:w="1728"/>
            <w:shd w:fill="003366" w:val="clear"/>
          </w:tcPr>
          <w:p>
            <w:pPr>
              <w:jc w:val="center"/>
            </w:pPr>
            <w:r>
              <w:rPr>
                <w:b/>
                <w:color w:val="FFFFFF"/>
                <w:sz w:val="18"/>
              </w:rPr>
              <w:t>Opmerkingen</w:t>
            </w:r>
          </w:p>
        </w:tc>
      </w:tr>
      <w:tr>
        <w:tc>
          <w:tcPr>
            <w:tcW w:type="dxa" w:w="1728"/>
          </w:tcPr>
          <w:p>
            <w:r>
              <w:rPr>
                <w:sz w:val="18"/>
              </w:rPr>
              <w:t>1</w:t>
            </w:r>
          </w:p>
        </w:tc>
        <w:tc>
          <w:tcPr>
            <w:tcW w:type="dxa" w:w="1728"/>
          </w:tcPr>
          <w:p>
            <w:r>
              <w:rPr>
                <w:sz w:val="18"/>
              </w:rPr>
              <w:t>SDS in het Nederlands</w:t>
            </w:r>
          </w:p>
        </w:tc>
        <w:tc>
          <w:tcPr>
            <w:tcW w:type="dxa" w:w="1728"/>
          </w:tcPr>
          <w:p>
            <w:r>
              <w:rPr>
                <w:sz w:val="18"/>
              </w:rPr>
              <w:t>Algemeen</w:t>
            </w:r>
          </w:p>
        </w:tc>
        <w:tc>
          <w:tcPr>
            <w:tcW w:type="dxa" w:w="1728"/>
          </w:tcPr>
          <w:p>
            <w:r>
              <w:rPr>
                <w:sz w:val="18"/>
              </w:rPr>
            </w:r>
          </w:p>
        </w:tc>
        <w:tc>
          <w:tcPr>
            <w:tcW w:type="dxa" w:w="1728"/>
          </w:tcPr>
          <w:p>
            <w:r>
              <w:rPr>
                <w:sz w:val="18"/>
              </w:rPr>
            </w:r>
          </w:p>
        </w:tc>
      </w:tr>
      <w:tr>
        <w:tc>
          <w:tcPr>
            <w:tcW w:type="dxa" w:w="1728"/>
            <w:shd w:fill="E8EEF4" w:val="clear"/>
          </w:tcPr>
          <w:p>
            <w:r>
              <w:rPr>
                <w:sz w:val="18"/>
              </w:rPr>
              <w:t>2</w:t>
            </w:r>
          </w:p>
        </w:tc>
        <w:tc>
          <w:tcPr>
            <w:tcW w:type="dxa" w:w="1728"/>
            <w:shd w:fill="E8EEF4" w:val="clear"/>
          </w:tcPr>
          <w:p>
            <w:r>
              <w:rPr>
                <w:sz w:val="18"/>
              </w:rPr>
              <w:t>Versiedatum ≤ 3 jaar geleden</w:t>
            </w:r>
          </w:p>
        </w:tc>
        <w:tc>
          <w:tcPr>
            <w:tcW w:type="dxa" w:w="1728"/>
            <w:shd w:fill="E8EEF4" w:val="clear"/>
          </w:tcPr>
          <w:p>
            <w:r>
              <w:rPr>
                <w:sz w:val="18"/>
              </w:rPr>
              <w:t>Algemeen</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3</w:t>
            </w:r>
          </w:p>
        </w:tc>
        <w:tc>
          <w:tcPr>
            <w:tcW w:type="dxa" w:w="1728"/>
          </w:tcPr>
          <w:p>
            <w:r>
              <w:rPr>
                <w:sz w:val="18"/>
              </w:rPr>
              <w:t>Identificatie stof en vennootschap</w:t>
            </w:r>
          </w:p>
        </w:tc>
        <w:tc>
          <w:tcPr>
            <w:tcW w:type="dxa" w:w="1728"/>
          </w:tcPr>
          <w:p>
            <w:r>
              <w:rPr>
                <w:sz w:val="18"/>
              </w:rPr>
              <w:t>Rubriek 1</w:t>
            </w:r>
          </w:p>
        </w:tc>
        <w:tc>
          <w:tcPr>
            <w:tcW w:type="dxa" w:w="1728"/>
          </w:tcPr>
          <w:p>
            <w:r>
              <w:rPr>
                <w:sz w:val="18"/>
              </w:rPr>
            </w:r>
          </w:p>
        </w:tc>
        <w:tc>
          <w:tcPr>
            <w:tcW w:type="dxa" w:w="1728"/>
          </w:tcPr>
          <w:p>
            <w:r>
              <w:rPr>
                <w:sz w:val="18"/>
              </w:rPr>
            </w:r>
          </w:p>
        </w:tc>
      </w:tr>
      <w:tr>
        <w:tc>
          <w:tcPr>
            <w:tcW w:type="dxa" w:w="1728"/>
            <w:shd w:fill="E8EEF4" w:val="clear"/>
          </w:tcPr>
          <w:p>
            <w:r>
              <w:rPr>
                <w:sz w:val="18"/>
              </w:rPr>
              <w:t>4</w:t>
            </w:r>
          </w:p>
        </w:tc>
        <w:tc>
          <w:tcPr>
            <w:tcW w:type="dxa" w:w="1728"/>
            <w:shd w:fill="E8EEF4" w:val="clear"/>
          </w:tcPr>
          <w:p>
            <w:r>
              <w:rPr>
                <w:sz w:val="18"/>
              </w:rPr>
              <w:t>Gevarenidentificatie (H-zinnen, pictogrammen)</w:t>
            </w:r>
          </w:p>
        </w:tc>
        <w:tc>
          <w:tcPr>
            <w:tcW w:type="dxa" w:w="1728"/>
            <w:shd w:fill="E8EEF4" w:val="clear"/>
          </w:tcPr>
          <w:p>
            <w:r>
              <w:rPr>
                <w:sz w:val="18"/>
              </w:rPr>
              <w:t>Rubriek 2</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5</w:t>
            </w:r>
          </w:p>
        </w:tc>
        <w:tc>
          <w:tcPr>
            <w:tcW w:type="dxa" w:w="1728"/>
          </w:tcPr>
          <w:p>
            <w:r>
              <w:rPr>
                <w:sz w:val="18"/>
              </w:rPr>
              <w:t>Samenstelling en bestanddelen</w:t>
            </w:r>
          </w:p>
        </w:tc>
        <w:tc>
          <w:tcPr>
            <w:tcW w:type="dxa" w:w="1728"/>
          </w:tcPr>
          <w:p>
            <w:r>
              <w:rPr>
                <w:sz w:val="18"/>
              </w:rPr>
              <w:t>Rubriek 3</w:t>
            </w:r>
          </w:p>
        </w:tc>
        <w:tc>
          <w:tcPr>
            <w:tcW w:type="dxa" w:w="1728"/>
          </w:tcPr>
          <w:p>
            <w:r>
              <w:rPr>
                <w:sz w:val="18"/>
              </w:rPr>
            </w:r>
          </w:p>
        </w:tc>
        <w:tc>
          <w:tcPr>
            <w:tcW w:type="dxa" w:w="1728"/>
          </w:tcPr>
          <w:p>
            <w:r>
              <w:rPr>
                <w:sz w:val="18"/>
              </w:rPr>
            </w:r>
          </w:p>
        </w:tc>
      </w:tr>
      <w:tr>
        <w:tc>
          <w:tcPr>
            <w:tcW w:type="dxa" w:w="1728"/>
            <w:shd w:fill="E8EEF4" w:val="clear"/>
          </w:tcPr>
          <w:p>
            <w:r>
              <w:rPr>
                <w:sz w:val="18"/>
              </w:rPr>
              <w:t>6</w:t>
            </w:r>
          </w:p>
        </w:tc>
        <w:tc>
          <w:tcPr>
            <w:tcW w:type="dxa" w:w="1728"/>
            <w:shd w:fill="E8EEF4" w:val="clear"/>
          </w:tcPr>
          <w:p>
            <w:r>
              <w:rPr>
                <w:sz w:val="18"/>
              </w:rPr>
              <w:t>Eerstehulpmaatregelen</w:t>
            </w:r>
          </w:p>
        </w:tc>
        <w:tc>
          <w:tcPr>
            <w:tcW w:type="dxa" w:w="1728"/>
            <w:shd w:fill="E8EEF4" w:val="clear"/>
          </w:tcPr>
          <w:p>
            <w:r>
              <w:rPr>
                <w:sz w:val="18"/>
              </w:rPr>
              <w:t>Rubriek 4</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7</w:t>
            </w:r>
          </w:p>
        </w:tc>
        <w:tc>
          <w:tcPr>
            <w:tcW w:type="dxa" w:w="1728"/>
          </w:tcPr>
          <w:p>
            <w:r>
              <w:rPr>
                <w:sz w:val="18"/>
              </w:rPr>
              <w:t>Brandbestrijdingsmaatregelen</w:t>
            </w:r>
          </w:p>
        </w:tc>
        <w:tc>
          <w:tcPr>
            <w:tcW w:type="dxa" w:w="1728"/>
          </w:tcPr>
          <w:p>
            <w:r>
              <w:rPr>
                <w:sz w:val="18"/>
              </w:rPr>
              <w:t>Rubriek 5</w:t>
            </w:r>
          </w:p>
        </w:tc>
        <w:tc>
          <w:tcPr>
            <w:tcW w:type="dxa" w:w="1728"/>
          </w:tcPr>
          <w:p>
            <w:r>
              <w:rPr>
                <w:sz w:val="18"/>
              </w:rPr>
            </w:r>
          </w:p>
        </w:tc>
        <w:tc>
          <w:tcPr>
            <w:tcW w:type="dxa" w:w="1728"/>
          </w:tcPr>
          <w:p>
            <w:r>
              <w:rPr>
                <w:sz w:val="18"/>
              </w:rPr>
            </w:r>
          </w:p>
        </w:tc>
      </w:tr>
      <w:tr>
        <w:tc>
          <w:tcPr>
            <w:tcW w:type="dxa" w:w="1728"/>
            <w:shd w:fill="E8EEF4" w:val="clear"/>
          </w:tcPr>
          <w:p>
            <w:r>
              <w:rPr>
                <w:sz w:val="18"/>
              </w:rPr>
              <w:t>8</w:t>
            </w:r>
          </w:p>
        </w:tc>
        <w:tc>
          <w:tcPr>
            <w:tcW w:type="dxa" w:w="1728"/>
            <w:shd w:fill="E8EEF4" w:val="clear"/>
          </w:tcPr>
          <w:p>
            <w:r>
              <w:rPr>
                <w:sz w:val="18"/>
              </w:rPr>
              <w:t>Maatregelen bij accidenteel vrijkomen</w:t>
            </w:r>
          </w:p>
        </w:tc>
        <w:tc>
          <w:tcPr>
            <w:tcW w:type="dxa" w:w="1728"/>
            <w:shd w:fill="E8EEF4" w:val="clear"/>
          </w:tcPr>
          <w:p>
            <w:r>
              <w:rPr>
                <w:sz w:val="18"/>
              </w:rPr>
              <w:t>Rubriek 6</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9</w:t>
            </w:r>
          </w:p>
        </w:tc>
        <w:tc>
          <w:tcPr>
            <w:tcW w:type="dxa" w:w="1728"/>
          </w:tcPr>
          <w:p>
            <w:r>
              <w:rPr>
                <w:sz w:val="18"/>
              </w:rPr>
              <w:t>Hantering en opslag</w:t>
            </w:r>
          </w:p>
        </w:tc>
        <w:tc>
          <w:tcPr>
            <w:tcW w:type="dxa" w:w="1728"/>
          </w:tcPr>
          <w:p>
            <w:r>
              <w:rPr>
                <w:sz w:val="18"/>
              </w:rPr>
              <w:t>Rubriek 7</w:t>
            </w:r>
          </w:p>
        </w:tc>
        <w:tc>
          <w:tcPr>
            <w:tcW w:type="dxa" w:w="1728"/>
          </w:tcPr>
          <w:p>
            <w:r>
              <w:rPr>
                <w:sz w:val="18"/>
              </w:rPr>
            </w:r>
          </w:p>
        </w:tc>
        <w:tc>
          <w:tcPr>
            <w:tcW w:type="dxa" w:w="1728"/>
          </w:tcPr>
          <w:p>
            <w:r>
              <w:rPr>
                <w:sz w:val="18"/>
              </w:rPr>
            </w:r>
          </w:p>
        </w:tc>
      </w:tr>
      <w:tr>
        <w:tc>
          <w:tcPr>
            <w:tcW w:type="dxa" w:w="1728"/>
            <w:shd w:fill="E8EEF4" w:val="clear"/>
          </w:tcPr>
          <w:p>
            <w:r>
              <w:rPr>
                <w:sz w:val="18"/>
              </w:rPr>
              <w:t>10</w:t>
            </w:r>
          </w:p>
        </w:tc>
        <w:tc>
          <w:tcPr>
            <w:tcW w:type="dxa" w:w="1728"/>
            <w:shd w:fill="E8EEF4" w:val="clear"/>
          </w:tcPr>
          <w:p>
            <w:r>
              <w:rPr>
                <w:sz w:val="18"/>
              </w:rPr>
              <w:t>Blootstellingsbeheersing / PBM</w:t>
            </w:r>
          </w:p>
        </w:tc>
        <w:tc>
          <w:tcPr>
            <w:tcW w:type="dxa" w:w="1728"/>
            <w:shd w:fill="E8EEF4" w:val="clear"/>
          </w:tcPr>
          <w:p>
            <w:r>
              <w:rPr>
                <w:sz w:val="18"/>
              </w:rPr>
              <w:t>Rubriek 8</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11</w:t>
            </w:r>
          </w:p>
        </w:tc>
        <w:tc>
          <w:tcPr>
            <w:tcW w:type="dxa" w:w="1728"/>
          </w:tcPr>
          <w:p>
            <w:r>
              <w:rPr>
                <w:sz w:val="18"/>
              </w:rPr>
              <w:t>Fysische en chemische eigenschappen</w:t>
            </w:r>
          </w:p>
        </w:tc>
        <w:tc>
          <w:tcPr>
            <w:tcW w:type="dxa" w:w="1728"/>
          </w:tcPr>
          <w:p>
            <w:r>
              <w:rPr>
                <w:sz w:val="18"/>
              </w:rPr>
              <w:t>Rubriek 9</w:t>
            </w:r>
          </w:p>
        </w:tc>
        <w:tc>
          <w:tcPr>
            <w:tcW w:type="dxa" w:w="1728"/>
          </w:tcPr>
          <w:p>
            <w:r>
              <w:rPr>
                <w:sz w:val="18"/>
              </w:rPr>
            </w:r>
          </w:p>
        </w:tc>
        <w:tc>
          <w:tcPr>
            <w:tcW w:type="dxa" w:w="1728"/>
          </w:tcPr>
          <w:p>
            <w:r>
              <w:rPr>
                <w:sz w:val="18"/>
              </w:rPr>
            </w:r>
          </w:p>
        </w:tc>
      </w:tr>
      <w:tr>
        <w:tc>
          <w:tcPr>
            <w:tcW w:type="dxa" w:w="1728"/>
            <w:shd w:fill="E8EEF4" w:val="clear"/>
          </w:tcPr>
          <w:p>
            <w:r>
              <w:rPr>
                <w:sz w:val="18"/>
              </w:rPr>
              <w:t>12</w:t>
            </w:r>
          </w:p>
        </w:tc>
        <w:tc>
          <w:tcPr>
            <w:tcW w:type="dxa" w:w="1728"/>
            <w:shd w:fill="E8EEF4" w:val="clear"/>
          </w:tcPr>
          <w:p>
            <w:r>
              <w:rPr>
                <w:sz w:val="18"/>
              </w:rPr>
              <w:t>Stabiliteit en reactiviteit</w:t>
            </w:r>
          </w:p>
        </w:tc>
        <w:tc>
          <w:tcPr>
            <w:tcW w:type="dxa" w:w="1728"/>
            <w:shd w:fill="E8EEF4" w:val="clear"/>
          </w:tcPr>
          <w:p>
            <w:r>
              <w:rPr>
                <w:sz w:val="18"/>
              </w:rPr>
              <w:t>Rubriek 10</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13</w:t>
            </w:r>
          </w:p>
        </w:tc>
        <w:tc>
          <w:tcPr>
            <w:tcW w:type="dxa" w:w="1728"/>
          </w:tcPr>
          <w:p>
            <w:r>
              <w:rPr>
                <w:sz w:val="18"/>
              </w:rPr>
              <w:t>Toxicologische informatie</w:t>
            </w:r>
          </w:p>
        </w:tc>
        <w:tc>
          <w:tcPr>
            <w:tcW w:type="dxa" w:w="1728"/>
          </w:tcPr>
          <w:p>
            <w:r>
              <w:rPr>
                <w:sz w:val="18"/>
              </w:rPr>
              <w:t>Rubriek 11</w:t>
            </w:r>
          </w:p>
        </w:tc>
        <w:tc>
          <w:tcPr>
            <w:tcW w:type="dxa" w:w="1728"/>
          </w:tcPr>
          <w:p>
            <w:r>
              <w:rPr>
                <w:sz w:val="18"/>
              </w:rPr>
            </w:r>
          </w:p>
        </w:tc>
        <w:tc>
          <w:tcPr>
            <w:tcW w:type="dxa" w:w="1728"/>
          </w:tcPr>
          <w:p>
            <w:r>
              <w:rPr>
                <w:sz w:val="18"/>
              </w:rPr>
            </w:r>
          </w:p>
        </w:tc>
      </w:tr>
      <w:tr>
        <w:tc>
          <w:tcPr>
            <w:tcW w:type="dxa" w:w="1728"/>
            <w:shd w:fill="E8EEF4" w:val="clear"/>
          </w:tcPr>
          <w:p>
            <w:r>
              <w:rPr>
                <w:sz w:val="18"/>
              </w:rPr>
              <w:t>14</w:t>
            </w:r>
          </w:p>
        </w:tc>
        <w:tc>
          <w:tcPr>
            <w:tcW w:type="dxa" w:w="1728"/>
            <w:shd w:fill="E8EEF4" w:val="clear"/>
          </w:tcPr>
          <w:p>
            <w:r>
              <w:rPr>
                <w:sz w:val="18"/>
              </w:rPr>
              <w:t>Ecologische informatie</w:t>
            </w:r>
          </w:p>
        </w:tc>
        <w:tc>
          <w:tcPr>
            <w:tcW w:type="dxa" w:w="1728"/>
            <w:shd w:fill="E8EEF4" w:val="clear"/>
          </w:tcPr>
          <w:p>
            <w:r>
              <w:rPr>
                <w:sz w:val="18"/>
              </w:rPr>
              <w:t>Rubriek 12</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15</w:t>
            </w:r>
          </w:p>
        </w:tc>
        <w:tc>
          <w:tcPr>
            <w:tcW w:type="dxa" w:w="1728"/>
          </w:tcPr>
          <w:p>
            <w:r>
              <w:rPr>
                <w:sz w:val="18"/>
              </w:rPr>
              <w:t>Verwijderingsinstructies</w:t>
            </w:r>
          </w:p>
        </w:tc>
        <w:tc>
          <w:tcPr>
            <w:tcW w:type="dxa" w:w="1728"/>
          </w:tcPr>
          <w:p>
            <w:r>
              <w:rPr>
                <w:sz w:val="18"/>
              </w:rPr>
              <w:t>Rubriek 13</w:t>
            </w:r>
          </w:p>
        </w:tc>
        <w:tc>
          <w:tcPr>
            <w:tcW w:type="dxa" w:w="1728"/>
          </w:tcPr>
          <w:p>
            <w:r>
              <w:rPr>
                <w:sz w:val="18"/>
              </w:rPr>
            </w:r>
          </w:p>
        </w:tc>
        <w:tc>
          <w:tcPr>
            <w:tcW w:type="dxa" w:w="1728"/>
          </w:tcPr>
          <w:p>
            <w:r>
              <w:rPr>
                <w:sz w:val="18"/>
              </w:rPr>
            </w:r>
          </w:p>
        </w:tc>
      </w:tr>
      <w:tr>
        <w:tc>
          <w:tcPr>
            <w:tcW w:type="dxa" w:w="1728"/>
            <w:shd w:fill="E8EEF4" w:val="clear"/>
          </w:tcPr>
          <w:p>
            <w:r>
              <w:rPr>
                <w:sz w:val="18"/>
              </w:rPr>
              <w:t>16</w:t>
            </w:r>
          </w:p>
        </w:tc>
        <w:tc>
          <w:tcPr>
            <w:tcW w:type="dxa" w:w="1728"/>
            <w:shd w:fill="E8EEF4" w:val="clear"/>
          </w:tcPr>
          <w:p>
            <w:r>
              <w:rPr>
                <w:sz w:val="18"/>
              </w:rPr>
              <w:t>Transportinformatie</w:t>
            </w:r>
          </w:p>
        </w:tc>
        <w:tc>
          <w:tcPr>
            <w:tcW w:type="dxa" w:w="1728"/>
            <w:shd w:fill="E8EEF4" w:val="clear"/>
          </w:tcPr>
          <w:p>
            <w:r>
              <w:rPr>
                <w:sz w:val="18"/>
              </w:rPr>
              <w:t>Rubriek 14</w:t>
            </w:r>
          </w:p>
        </w:tc>
        <w:tc>
          <w:tcPr>
            <w:tcW w:type="dxa" w:w="1728"/>
            <w:shd w:fill="E8EEF4" w:val="clear"/>
          </w:tcPr>
          <w:p>
            <w:r>
              <w:rPr>
                <w:sz w:val="18"/>
              </w:rPr>
            </w:r>
          </w:p>
        </w:tc>
        <w:tc>
          <w:tcPr>
            <w:tcW w:type="dxa" w:w="1728"/>
            <w:shd w:fill="E8EEF4" w:val="clear"/>
          </w:tcPr>
          <w:p>
            <w:r>
              <w:rPr>
                <w:sz w:val="18"/>
              </w:rPr>
            </w:r>
          </w:p>
        </w:tc>
      </w:tr>
      <w:tr>
        <w:tc>
          <w:tcPr>
            <w:tcW w:type="dxa" w:w="1728"/>
          </w:tcPr>
          <w:p>
            <w:r>
              <w:rPr>
                <w:sz w:val="18"/>
              </w:rPr>
              <w:t>17</w:t>
            </w:r>
          </w:p>
        </w:tc>
        <w:tc>
          <w:tcPr>
            <w:tcW w:type="dxa" w:w="1728"/>
          </w:tcPr>
          <w:p>
            <w:r>
              <w:rPr>
                <w:sz w:val="18"/>
              </w:rPr>
              <w:t>Regelgeving</w:t>
            </w:r>
          </w:p>
        </w:tc>
        <w:tc>
          <w:tcPr>
            <w:tcW w:type="dxa" w:w="1728"/>
          </w:tcPr>
          <w:p>
            <w:r>
              <w:rPr>
                <w:sz w:val="18"/>
              </w:rPr>
              <w:t>Rubriek 15</w:t>
            </w:r>
          </w:p>
        </w:tc>
        <w:tc>
          <w:tcPr>
            <w:tcW w:type="dxa" w:w="1728"/>
          </w:tcPr>
          <w:p>
            <w:r>
              <w:rPr>
                <w:sz w:val="18"/>
              </w:rPr>
            </w:r>
          </w:p>
        </w:tc>
        <w:tc>
          <w:tcPr>
            <w:tcW w:type="dxa" w:w="1728"/>
          </w:tcPr>
          <w:p>
            <w:r>
              <w:rPr>
                <w:sz w:val="18"/>
              </w:rPr>
            </w:r>
          </w:p>
        </w:tc>
      </w:tr>
      <w:tr>
        <w:tc>
          <w:tcPr>
            <w:tcW w:type="dxa" w:w="1728"/>
            <w:shd w:fill="E8EEF4" w:val="clear"/>
          </w:tcPr>
          <w:p>
            <w:r>
              <w:rPr>
                <w:sz w:val="18"/>
              </w:rPr>
              <w:t>18</w:t>
            </w:r>
          </w:p>
        </w:tc>
        <w:tc>
          <w:tcPr>
            <w:tcW w:type="dxa" w:w="1728"/>
            <w:shd w:fill="E8EEF4" w:val="clear"/>
          </w:tcPr>
          <w:p>
            <w:r>
              <w:rPr>
                <w:sz w:val="18"/>
              </w:rPr>
              <w:t>Overige informatie</w:t>
            </w:r>
          </w:p>
        </w:tc>
        <w:tc>
          <w:tcPr>
            <w:tcW w:type="dxa" w:w="1728"/>
            <w:shd w:fill="E8EEF4" w:val="clear"/>
          </w:tcPr>
          <w:p>
            <w:r>
              <w:rPr>
                <w:sz w:val="18"/>
              </w:rPr>
              <w:t>Rubriek 16</w:t>
            </w:r>
          </w:p>
        </w:tc>
        <w:tc>
          <w:tcPr>
            <w:tcW w:type="dxa" w:w="1728"/>
            <w:shd w:fill="E8EEF4" w:val="clear"/>
          </w:tcPr>
          <w:p>
            <w:r>
              <w:rPr>
                <w:sz w:val="18"/>
              </w:rPr>
            </w:r>
          </w:p>
        </w:tc>
        <w:tc>
          <w:tcPr>
            <w:tcW w:type="dxa" w:w="1728"/>
            <w:shd w:fill="E8EEF4" w:val="clear"/>
          </w:tcPr>
          <w:p>
            <w:r>
              <w:rPr>
                <w:sz w:val="18"/>
              </w:rPr>
            </w:r>
          </w:p>
        </w:tc>
      </w:tr>
    </w:tbl>
    <w:p/>
    <w:p>
      <w:pPr>
        <w:pStyle w:val="Heading2"/>
      </w:pPr>
      <w:r>
        <w:t>Bijlage C: SVHC-monitoringlijst</w:t>
      </w:r>
    </w:p>
    <w:p>
      <w:r>
        <w:t>Toetsing ECHA-kandidaatlijst —minimum tweemaal per jaar (januari/juli):</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fill="003366" w:val="clear"/>
          </w:tcPr>
          <w:p>
            <w:pPr>
              <w:jc w:val="center"/>
            </w:pPr>
            <w:r>
              <w:rPr>
                <w:b/>
                <w:color w:val="FFFFFF"/>
                <w:sz w:val="18"/>
              </w:rPr>
              <w:t>#</w:t>
            </w:r>
          </w:p>
        </w:tc>
        <w:tc>
          <w:tcPr>
            <w:tcW w:type="dxa" w:w="1234"/>
            <w:shd w:fill="003366" w:val="clear"/>
          </w:tcPr>
          <w:p>
            <w:pPr>
              <w:jc w:val="center"/>
            </w:pPr>
            <w:r>
              <w:rPr>
                <w:b/>
                <w:color w:val="FFFFFF"/>
                <w:sz w:val="18"/>
              </w:rPr>
              <w:t>Stof</w:t>
            </w:r>
          </w:p>
        </w:tc>
        <w:tc>
          <w:tcPr>
            <w:tcW w:type="dxa" w:w="1234"/>
            <w:shd w:fill="003366" w:val="clear"/>
          </w:tcPr>
          <w:p>
            <w:pPr>
              <w:jc w:val="center"/>
            </w:pPr>
            <w:r>
              <w:rPr>
                <w:b/>
                <w:color w:val="FFFFFF"/>
                <w:sz w:val="18"/>
              </w:rPr>
              <w:t>CAS</w:t>
            </w:r>
          </w:p>
        </w:tc>
        <w:tc>
          <w:tcPr>
            <w:tcW w:type="dxa" w:w="1234"/>
            <w:shd w:fill="003366" w:val="clear"/>
          </w:tcPr>
          <w:p>
            <w:pPr>
              <w:jc w:val="center"/>
            </w:pPr>
            <w:r>
              <w:rPr>
                <w:b/>
                <w:color w:val="FFFFFF"/>
                <w:sz w:val="18"/>
              </w:rPr>
              <w:t>SVHC-status</w:t>
            </w:r>
          </w:p>
        </w:tc>
        <w:tc>
          <w:tcPr>
            <w:tcW w:type="dxa" w:w="1234"/>
            <w:shd w:fill="003366" w:val="clear"/>
          </w:tcPr>
          <w:p>
            <w:pPr>
              <w:jc w:val="center"/>
            </w:pPr>
            <w:r>
              <w:rPr>
                <w:b/>
                <w:color w:val="FFFFFF"/>
                <w:sz w:val="18"/>
              </w:rPr>
              <w:t>Laatste check</w:t>
            </w:r>
          </w:p>
        </w:tc>
        <w:tc>
          <w:tcPr>
            <w:tcW w:type="dxa" w:w="1234"/>
            <w:shd w:fill="003366" w:val="clear"/>
          </w:tcPr>
          <w:p>
            <w:pPr>
              <w:jc w:val="center"/>
            </w:pPr>
            <w:r>
              <w:rPr>
                <w:b/>
                <w:color w:val="FFFFFF"/>
                <w:sz w:val="18"/>
              </w:rPr>
              <w:t>Kandidaatlijst datum</w:t>
            </w:r>
          </w:p>
        </w:tc>
        <w:tc>
          <w:tcPr>
            <w:tcW w:type="dxa" w:w="1234"/>
            <w:shd w:fill="003366" w:val="clear"/>
          </w:tcPr>
          <w:p>
            <w:pPr>
              <w:jc w:val="center"/>
            </w:pPr>
            <w:r>
              <w:rPr>
                <w:b/>
                <w:color w:val="FFFFFF"/>
                <w:sz w:val="18"/>
              </w:rPr>
              <w:t>Actie vereist</w:t>
            </w:r>
          </w:p>
        </w:tc>
      </w:tr>
      <w:tr>
        <w:tc>
          <w:tcPr>
            <w:tcW w:type="dxa" w:w="1234"/>
          </w:tcPr>
          <w:p>
            <w:r>
              <w:rPr>
                <w:sz w:val="18"/>
              </w:rPr>
              <w:t>1</w:t>
            </w:r>
          </w:p>
        </w:tc>
        <w:tc>
          <w:tcPr>
            <w:tcW w:type="dxa" w:w="1234"/>
          </w:tcPr>
          <w:p>
            <w:r>
              <w:rPr>
                <w:sz w:val="18"/>
              </w:rPr>
              <w:t>V₂O₅</w:t>
            </w:r>
          </w:p>
        </w:tc>
        <w:tc>
          <w:tcPr>
            <w:tcW w:type="dxa" w:w="1234"/>
          </w:tcPr>
          <w:p>
            <w:r>
              <w:rPr>
                <w:sz w:val="18"/>
              </w:rPr>
              <w:t>1314-62-1</w:t>
            </w:r>
          </w:p>
        </w:tc>
        <w:tc>
          <w:tcPr>
            <w:tcW w:type="dxa" w:w="1234"/>
          </w:tcPr>
          <w:p>
            <w:r>
              <w:rPr>
                <w:sz w:val="18"/>
              </w:rPr>
              <w:t>Ja (SVHC sinds 2023)</w:t>
            </w:r>
          </w:p>
        </w:tc>
        <w:tc>
          <w:tcPr>
            <w:tcW w:type="dxa" w:w="1234"/>
          </w:tcPr>
          <w:p>
            <w:r>
              <w:rPr>
                <w:sz w:val="18"/>
              </w:rPr>
            </w:r>
          </w:p>
        </w:tc>
        <w:tc>
          <w:tcPr>
            <w:tcW w:type="dxa" w:w="1234"/>
          </w:tcPr>
          <w:p>
            <w:r>
              <w:rPr>
                <w:sz w:val="18"/>
              </w:rPr>
              <w:t>2023</w:t>
            </w:r>
          </w:p>
        </w:tc>
        <w:tc>
          <w:tcPr>
            <w:tcW w:type="dxa" w:w="1234"/>
          </w:tcPr>
          <w:p>
            <w:r>
              <w:rPr>
                <w:sz w:val="18"/>
              </w:rPr>
              <w:t>Autorisatie bij ≥1 ton/jaar</w:t>
            </w:r>
          </w:p>
        </w:tc>
      </w:tr>
      <w:tr>
        <w:tc>
          <w:tcPr>
            <w:tcW w:type="dxa" w:w="1234"/>
            <w:shd w:fill="E8EEF4" w:val="clear"/>
          </w:tcPr>
          <w:p>
            <w:r>
              <w:rPr>
                <w:sz w:val="18"/>
              </w:rPr>
              <w:t>2</w:t>
            </w:r>
          </w:p>
        </w:tc>
        <w:tc>
          <w:tcPr>
            <w:tcW w:type="dxa" w:w="1234"/>
            <w:shd w:fill="E8EEF4" w:val="clear"/>
          </w:tcPr>
          <w:p>
            <w:r>
              <w:rPr>
                <w:sz w:val="18"/>
              </w:rPr>
              <w:t>Nikkeloxide (in SARU ash)</w:t>
            </w:r>
          </w:p>
        </w:tc>
        <w:tc>
          <w:tcPr>
            <w:tcW w:type="dxa" w:w="1234"/>
            <w:shd w:fill="E8EEF4" w:val="clear"/>
          </w:tcPr>
          <w:p>
            <w:r>
              <w:rPr>
                <w:sz w:val="18"/>
              </w:rPr>
              <w:t>1313-99-1</w:t>
            </w:r>
          </w:p>
        </w:tc>
        <w:tc>
          <w:tcPr>
            <w:tcW w:type="dxa" w:w="1234"/>
            <w:shd w:fill="E8EEF4" w:val="clear"/>
          </w:tcPr>
          <w:p>
            <w:r>
              <w:rPr>
                <w:sz w:val="18"/>
              </w:rPr>
              <w:t>Carc. 1A — check kandidaatlijst</w:t>
            </w:r>
          </w:p>
        </w:tc>
        <w:tc>
          <w:tcPr>
            <w:tcW w:type="dxa" w:w="1234"/>
            <w:shd w:fill="E8EEF4" w:val="clear"/>
          </w:tcPr>
          <w:p>
            <w:r>
              <w:rPr>
                <w:sz w:val="18"/>
              </w:rPr>
            </w:r>
          </w:p>
        </w:tc>
        <w:tc>
          <w:tcPr>
            <w:tcW w:type="dxa" w:w="1234"/>
            <w:shd w:fill="E8EEF4" w:val="clear"/>
          </w:tcPr>
          <w:p>
            <w:r>
              <w:rPr>
                <w:sz w:val="18"/>
              </w:rPr>
            </w:r>
          </w:p>
        </w:tc>
        <w:tc>
          <w:tcPr>
            <w:tcW w:type="dxa" w:w="1234"/>
            <w:shd w:fill="E8EEF4" w:val="clear"/>
          </w:tcPr>
          <w:p>
            <w:r>
              <w:rPr>
                <w:sz w:val="18"/>
              </w:rPr>
              <w:t>CMR-protocol; SDS-vermelding</w:t>
            </w:r>
          </w:p>
        </w:tc>
      </w:tr>
      <w:tr>
        <w:tc>
          <w:tcPr>
            <w:tcW w:type="dxa" w:w="1234"/>
          </w:tcPr>
          <w:p>
            <w:r>
              <w:rPr>
                <w:sz w:val="18"/>
              </w:rPr>
              <w:t>3</w:t>
            </w:r>
          </w:p>
        </w:tc>
        <w:tc>
          <w:tcPr>
            <w:tcW w:type="dxa" w:w="1234"/>
          </w:tcPr>
          <w:p>
            <w:r>
              <w:rPr>
                <w:sz w:val="18"/>
              </w:rPr>
              <w:t>Natriummetavanaadaat</w:t>
            </w:r>
          </w:p>
        </w:tc>
        <w:tc>
          <w:tcPr>
            <w:tcW w:type="dxa" w:w="1234"/>
          </w:tcPr>
          <w:p>
            <w:r>
              <w:rPr>
                <w:sz w:val="18"/>
              </w:rPr>
              <w:t>13718-26-8</w:t>
            </w:r>
          </w:p>
        </w:tc>
        <w:tc>
          <w:tcPr>
            <w:tcW w:type="dxa" w:w="1234"/>
          </w:tcPr>
          <w:p>
            <w:r>
              <w:rPr>
                <w:sz w:val="18"/>
              </w:rPr>
              <w:t>Nee — check actualiteit</w:t>
            </w:r>
          </w:p>
        </w:tc>
        <w:tc>
          <w:tcPr>
            <w:tcW w:type="dxa" w:w="1234"/>
          </w:tcPr>
          <w:p>
            <w:r>
              <w:rPr>
                <w:sz w:val="18"/>
              </w:rPr>
            </w:r>
          </w:p>
        </w:tc>
        <w:tc>
          <w:tcPr>
            <w:tcW w:type="dxa" w:w="1234"/>
          </w:tcPr>
          <w:p>
            <w:r>
              <w:rPr>
                <w:sz w:val="18"/>
              </w:rPr>
            </w:r>
          </w:p>
        </w:tc>
        <w:tc>
          <w:tcPr>
            <w:tcW w:type="dxa" w:w="1234"/>
          </w:tcPr>
          <w:p>
            <w:r>
              <w:rPr>
                <w:sz w:val="18"/>
              </w:rPr>
              <w:t>Monitoren</w:t>
            </w:r>
          </w:p>
        </w:tc>
      </w:tr>
      <w:tr>
        <w:tc>
          <w:tcPr>
            <w:tcW w:type="dxa" w:w="1234"/>
            <w:shd w:fill="E8EEF4" w:val="clear"/>
          </w:tcPr>
          <w:p>
            <w:r>
              <w:rPr>
                <w:sz w:val="18"/>
              </w:rPr>
              <w:t>4</w:t>
            </w:r>
          </w:p>
        </w:tc>
        <w:tc>
          <w:tcPr>
            <w:tcW w:type="dxa" w:w="1234"/>
            <w:shd w:fill="E8EEF4" w:val="clear"/>
          </w:tcPr>
          <w:p>
            <w:r>
              <w:rPr>
                <w:sz w:val="18"/>
              </w:rPr>
              <w:t>Trinatriumorthowanaadaat</w:t>
            </w:r>
          </w:p>
        </w:tc>
        <w:tc>
          <w:tcPr>
            <w:tcW w:type="dxa" w:w="1234"/>
            <w:shd w:fill="E8EEF4" w:val="clear"/>
          </w:tcPr>
          <w:p>
            <w:r>
              <w:rPr>
                <w:sz w:val="18"/>
              </w:rPr>
              <w:t>—</w:t>
            </w:r>
          </w:p>
        </w:tc>
        <w:tc>
          <w:tcPr>
            <w:tcW w:type="dxa" w:w="1234"/>
            <w:shd w:fill="E8EEF4" w:val="clear"/>
          </w:tcPr>
          <w:p>
            <w:r>
              <w:rPr>
                <w:sz w:val="18"/>
              </w:rPr>
              <w:t>Nee — check actualiteit</w:t>
            </w:r>
          </w:p>
        </w:tc>
        <w:tc>
          <w:tcPr>
            <w:tcW w:type="dxa" w:w="1234"/>
            <w:shd w:fill="E8EEF4" w:val="clear"/>
          </w:tcPr>
          <w:p>
            <w:r>
              <w:rPr>
                <w:sz w:val="18"/>
              </w:rPr>
            </w:r>
          </w:p>
        </w:tc>
        <w:tc>
          <w:tcPr>
            <w:tcW w:type="dxa" w:w="1234"/>
            <w:shd w:fill="E8EEF4" w:val="clear"/>
          </w:tcPr>
          <w:p>
            <w:r>
              <w:rPr>
                <w:sz w:val="18"/>
              </w:rPr>
            </w:r>
          </w:p>
        </w:tc>
        <w:tc>
          <w:tcPr>
            <w:tcW w:type="dxa" w:w="1234"/>
            <w:shd w:fill="E8EEF4" w:val="clear"/>
          </w:tcPr>
          <w:p>
            <w:r>
              <w:rPr>
                <w:sz w:val="18"/>
              </w:rPr>
              <w:t>Monitoren</w:t>
            </w:r>
          </w:p>
        </w:tc>
      </w:tr>
    </w:tbl>
    <w:p/>
    <w:p/>
    <w:p>
      <w:pPr>
        <w:jc w:val="center"/>
      </w:pPr>
      <w:r>
        <w:rPr>
          <w:i/>
          <w:color w:val="808080"/>
        </w:rPr>
        <w:t>— Einde document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