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1B3A5C"/>
          <w:sz w:val="56"/>
        </w:rPr>
        <w:t>REACH VIB/SDS Strategie</w:t>
      </w:r>
    </w:p>
    <w:p>
      <w:pPr>
        <w:jc w:val="center"/>
      </w:pPr>
      <w:r>
        <w:rPr>
          <w:b/>
          <w:color w:val="1B3A5C"/>
          <w:sz w:val="44"/>
        </w:rPr>
        <w:t>Phoenix Metals B.V.</w:t>
      </w:r>
    </w:p>
    <w:p>
      <w:pPr>
        <w:jc w:val="center"/>
      </w:pPr>
      <w:r>
        <w:rPr>
          <w:color w:val="555555"/>
          <w:sz w:val="32"/>
        </w:rPr>
        <w:t>Deliverable D3 — Versie 4.0</w:t>
      </w:r>
    </w:p>
    <w:p/>
    <w:p>
      <w:pPr>
        <w:jc w:val="center"/>
      </w:pPr>
      <w:r>
        <w:rPr>
          <w:color w:val="333333"/>
          <w:sz w:val="26"/>
        </w:rPr>
        <w:t>Veiligheidsinformatiebladen (SDS/VIB) en MSDS-beheer</w:t>
        <w:br/>
        <w:t>als FABRIKANT van recovered substances</w:t>
      </w:r>
    </w:p>
    <w:p/>
    <w:p/>
    <w:p/>
    <w:p/>
    <w:p>
      <w:pPr>
        <w:jc w:val="center"/>
      </w:pPr>
      <w:r>
        <w:rPr>
          <w:color w:val="666666"/>
          <w:sz w:val="20"/>
        </w:rPr>
        <w:t>Datum: 19 april 2026</w:t>
      </w:r>
    </w:p>
    <w:p>
      <w:pPr>
        <w:jc w:val="center"/>
      </w:pPr>
      <w:r>
        <w:rPr>
          <w:color w:val="666666"/>
          <w:sz w:val="20"/>
        </w:rPr>
        <w:t>Classificatie: Vertrouwelijk — Intern</w:t>
      </w:r>
    </w:p>
    <w:p>
      <w:pPr>
        <w:jc w:val="center"/>
      </w:pPr>
      <w:r>
        <w:rPr>
          <w:color w:val="666666"/>
          <w:sz w:val="20"/>
        </w:rPr>
        <w:t>Auteur: HSEQ Division — Phoenix Metals</w:t>
      </w:r>
    </w:p>
    <w:p>
      <w:pPr>
        <w:jc w:val="center"/>
      </w:pPr>
      <w:r>
        <w:rPr>
          <w:color w:val="666666"/>
          <w:sz w:val="20"/>
        </w:rPr>
        <w:t>Referentie: REACH-D3-v4.0</w:t>
      </w:r>
    </w:p>
    <w:p>
      <w:r>
        <w:br w:type="page"/>
      </w:r>
    </w:p>
    <w:p>
      <w:pPr>
        <w:pStyle w:val="Heading1"/>
      </w:pPr>
      <w:r>
        <w:t>Inhoudsopgave</w:t>
      </w:r>
    </w:p>
    <w:p>
      <w:pPr>
        <w:pStyle w:val="ListNumber"/>
      </w:pPr>
      <w:r>
        <w:t>1. Managementsamenvatting</w:t>
      </w:r>
    </w:p>
    <w:p>
      <w:pPr>
        <w:pStyle w:val="ListNumber"/>
      </w:pPr>
      <w:r>
        <w:t>2. H1: SDS-Verplichtingen als Fabrikant</w:t>
      </w:r>
    </w:p>
    <w:p>
      <w:pPr>
        <w:pStyle w:val="ListNumber"/>
      </w:pPr>
      <w:r>
        <w:t>3. H2: SDS-Inhoud — 16 Rubrieken</w:t>
      </w:r>
    </w:p>
    <w:p>
      <w:pPr>
        <w:pStyle w:val="ListNumber"/>
      </w:pPr>
      <w:r>
        <w:t>4. H3: CLP-Indeling Phoenix Metals Producten</w:t>
      </w:r>
    </w:p>
    <w:p>
      <w:pPr>
        <w:pStyle w:val="ListNumber"/>
      </w:pPr>
      <w:r>
        <w:t>5. H4: SDS-Beheersysteem</w:t>
      </w:r>
    </w:p>
    <w:p>
      <w:pPr>
        <w:pStyle w:val="ListNumber"/>
      </w:pPr>
      <w:r>
        <w:t>6. H5: Extended-SDS (eSDS) en Exposure Scenarios</w:t>
      </w:r>
    </w:p>
    <w:p>
      <w:pPr>
        <w:pStyle w:val="ListNumber"/>
      </w:pPr>
      <w:r>
        <w:t>7. H6: Bronnen- en Templatebeheer</w:t>
      </w:r>
    </w:p>
    <w:p>
      <w:pPr>
        <w:pStyle w:val="ListNumber"/>
      </w:pPr>
      <w:r>
        <w:t>8. Bronverwijzingen</w:t>
      </w:r>
    </w:p>
    <w:p>
      <w:r>
        <w:br w:type="page"/>
      </w:r>
    </w:p>
    <w:p>
      <w:pPr>
        <w:pStyle w:val="Heading1"/>
      </w:pPr>
      <w:r>
        <w:t>1. Managementsamenvatting</w:t>
      </w:r>
    </w:p>
    <w:p>
      <w:r>
        <w:t>Phoenix Metals B.V. herwint vanadium uit secundaire grondstoffen (SARU ash / staalslakken) en produceert daarmee vanadium-elektrolyt voor energieopslagsystemen. Als fabrikant van zogeheten 'recovered substances' rust op Phoenix Metals de wettelijke plicht om zelf veiligheidsinformatiebladen (SDS/VIB) op te stellen voor de producten die het bedrijf in de handel brengt. Het volstaat niet om uitsluitend te leunen op SDS'en van grondstofleveranciers (zoals Carl Roth).</w:t>
      </w:r>
    </w:p>
    <w:p>
      <w:r>
        <w:t>Dit document (D3, versie 4.0) beschrijft de strategie voor het opstellen, beheren en distribueren van veiligheidsinformatiebladen conform REACH Titel IV, Hoofdstuk 1 (artikelen 31 en 32) en de CLP-verordening (EG nr. 1272/2008). De strategie omvat:</w:t>
      </w:r>
    </w:p>
    <w:p>
      <w:pPr>
        <w:pStyle w:val="ListBullet"/>
      </w:pPr>
      <w:r>
        <w:t>De wettelijke kadering: wie moet een SDS verstrekken, wanneer, en onder welke voorwaarden.</w:t>
      </w:r>
    </w:p>
    <w:p>
      <w:pPr>
        <w:pStyle w:val="ListBullet"/>
      </w:pPr>
      <w:r>
        <w:t>Een systematische uitwerking van de 16 verplichte SDS-rubrieken, toegespitst op drie Phoenix Metals productgroepen: SARU ash (feedstock), vanadium-elektrolyt (eindproduct) en reststromen (filter cake, spoelwater).</w:t>
      </w:r>
    </w:p>
    <w:p>
      <w:pPr>
        <w:pStyle w:val="ListBullet"/>
      </w:pPr>
      <w:r>
        <w:t>CLP-indeling en etikettering per product, inclusief UFI-toewijzing.</w:t>
      </w:r>
    </w:p>
    <w:p>
      <w:pPr>
        <w:pStyle w:val="ListBullet"/>
      </w:pPr>
      <w:r>
        <w:t>Een formeel SDS-beheersysteem met versiebeheer, distributie en update-triggers.</w:t>
      </w:r>
    </w:p>
    <w:p>
      <w:pPr>
        <w:pStyle w:val="ListBullet"/>
      </w:pPr>
      <w:r>
        <w:t>Richtlijnen voor extended-SDS (eSDS) bij commercieel gebruik &gt;10 ton/jaar.</w:t>
      </w:r>
    </w:p>
    <w:p>
      <w:pPr>
        <w:pStyle w:val="ListBullet"/>
      </w:pPr>
      <w:r>
        <w:t>Bronnen- en templatebeheer, inclusief ECHA-formaten en Vanadium Consortium-gegevens.</w:t>
      </w:r>
    </w:p>
    <w:p>
      <w:r>
        <w:rPr>
          <w:b/>
        </w:rPr>
        <w:t xml:space="preserve">Kernboodschap: </w:t>
      </w:r>
      <w:r>
        <w:t>Phoenix Metals is registerhoudend fabrikant. De SDS is geen administratief bijproduct — het is een juridisch verplicht document dat de veiligheid van medewerkers, downstream users en het milieu waarborgt.</w:t>
      </w:r>
    </w:p>
    <w:p>
      <w:r>
        <w:br w:type="page"/>
      </w:r>
    </w:p>
    <w:p>
      <w:pPr>
        <w:pStyle w:val="Heading1"/>
      </w:pPr>
      <w:r>
        <w:t>2. H1: SDS-Verplichtingen als Fabrikant</w:t>
      </w:r>
    </w:p>
    <w:p>
      <w:pPr>
        <w:pStyle w:val="Heading2"/>
      </w:pPr>
      <w:r>
        <w:t>2.1 Wettelijk kader: REACH Titel IV, Hoofdstuk 1</w:t>
      </w:r>
    </w:p>
    <w:p>
      <w:r>
        <w:t>REACH (Verordening (EG) nr. 1907/2006) legt in Titel IV, Hoofdstuk 1 de verplichtingen vast rondom veiligheidsinformatiebladen. De belangrijkste artikelen voor Phoenix Metals zijn:</w:t>
      </w:r>
    </w:p>
    <w:p>
      <w:pPr>
        <w:pStyle w:val="Heading3"/>
      </w:pPr>
      <w:r>
        <w:t>Artikel 31 — Verstrekking van een veiligheidsinformatieblad</w:t>
      </w:r>
    </w:p>
    <w:p>
      <w:r>
        <w:t>Een fabrikant, importeur of downstream user moet een veiligheidsinformatieblad (SDS) verstrekken aan de ontvanger van een stof of mengsel die voldoet aan de criteria voor indeling als gevaarlijk overeenkomstig de CLP-verordening. Dit is verplicht wanneer:</w:t>
      </w:r>
    </w:p>
    <w:p>
      <w:pPr>
        <w:pStyle w:val="ListBullet"/>
      </w:pPr>
      <w:r>
        <w:t>De stof of het mengsel is ingedeeld als gevaarlijk (enige uitzondering: artikelen 31(3) en 31(4)).</w:t>
      </w:r>
    </w:p>
    <w:p>
      <w:pPr>
        <w:pStyle w:val="ListBullet"/>
      </w:pPr>
      <w:r>
        <w:t>De stof is PBT of vPvB volgens bijlage XIII van REACH.</w:t>
      </w:r>
    </w:p>
    <w:p>
      <w:pPr>
        <w:pStyle w:val="ListBullet"/>
      </w:pPr>
      <w:r>
        <w:t>De stof is opgenomen op de kandidatenlijst (SVHC) in een concentratie ≥0,1% gewicht.</w:t>
      </w:r>
    </w:p>
    <w:p>
      <w:pPr>
        <w:pStyle w:val="ListBullet"/>
      </w:pPr>
      <w:r>
        <w:t>CMR-stoffen (categorie 1A, 1B): altijd een SDS, ongeacht concentratie in het mengsel.</w:t>
      </w:r>
    </w:p>
    <w:p>
      <w:r>
        <w:rPr>
          <w:b/>
        </w:rPr>
        <w:t xml:space="preserve">Toepassing op Phoenix Metals: </w:t>
      </w:r>
      <w:r>
        <w:t>De SARU ash bevat natriummetavanaat (CAS 13718-26-8) en vanadiumpentoxide (V₂O₅, CAS 1314-62-1). V₂O₅ is ingedeeld als CMR-stof (Carc. 1B, Repr. 2) en is tevens een SVHC. Dit betekent dat Phoenix Metals onder alle omstandigheden een SDS moet verstrekken voor producten die deze stoffen bevatten.</w:t>
      </w:r>
    </w:p>
    <w:p>
      <w:pPr>
        <w:pStyle w:val="Heading3"/>
      </w:pPr>
      <w:r>
        <w:t>Artikel 32 — Informatie zonder SDS</w:t>
      </w:r>
    </w:p>
    <w:p>
      <w:r>
        <w:t>Wanneer een SDS niet verplicht is (bijvoorbeeld omdat de stof niet gevaarlijk is ingedeeld), moet de leverancier desalniettemin voldoen aan de informatieverplichtingen van artikel 32. Dit omvat het verstrekken van de registratienummer(s), aanbevolen gebruiksmethoden en eventuele beperkingen. Voor Phoenix Metals is dit hoofdzakelijk theoretisch: de kernproducten zijn alle gevaarlijk ingedeeld, dus artikel 31 prevaleert.</w:t>
      </w:r>
    </w:p>
    <w:p>
      <w:pPr>
        <w:pStyle w:val="Heading2"/>
      </w:pPr>
      <w:r>
        <w:t>2.2 Phoenix Metals als fabrikant: eigen SDS-verplichting</w:t>
      </w:r>
    </w:p>
    <w:p>
      <w:r>
        <w:t>Phoenix Metals herwint vanadium uit SARU ash/staalslakken. Het bedrijf is hiermee kwalificeerbaar als 'fabrikant' in de zin van REACH artikel 3(8): een natuurlijke of rechtspersoon die een stof in de EG vervaardigt. De herwinning van substanties uit afvalstromen resulteert in 'recovered substances'. Indien deze substanties niet langer als afval zijn aangemerkt (einde-afvalstatus), zijn zij onderworpen aan de volledige REACH-verplichtingen — inclusief SDS-verstrekking.</w:t>
      </w:r>
    </w:p>
    <w:p>
      <w:r>
        <w:t>Kritisch onderscheid: Phoenix Metals kan NIET volstaan met het doorgeven van SDS'en van leveranciers (zoals Carl Roth voor zwavelzuur of NaOH). Als fabrikant van het eindproduct (vanadium-elektrolyt) en als beheerder van de feedstock (SARU ash) stelt Phoenix Metals ZELF de SDS op voor deze producten.</w:t>
      </w:r>
    </w:p>
    <w:p>
      <w:r>
        <w:br w:type="page"/>
      </w:r>
    </w:p>
    <w:p>
      <w:pPr>
        <w:pStyle w:val="Heading1"/>
      </w:pPr>
      <w:r>
        <w:t>3. H2: SDS-Inhoud — 16 Rubrieken</w:t>
      </w:r>
    </w:p>
    <w:p>
      <w:r>
        <w:t>Een veiligheidsinformatieblad conform REACH Bijlage II (zoals gewijzigd door Verordening (EU) 2020/878) bestaat uit 16 rubrieken. Hierna volgt per rubriek de beschrijving en de specifieke invulling voor de drie Phoenix Metals productgroepen.</w:t>
      </w:r>
    </w:p>
    <w:p>
      <w:pPr>
        <w:pStyle w:val="Heading2"/>
      </w:pPr>
      <w:r>
        <w:t>Rubriek 1: Identificatie van de stof/het mengsel en van de vennootschap/onderneming</w:t>
      </w:r>
    </w:p>
    <w:p>
      <w:r>
        <w:t>Productidentificatie (naam, CAS, EG-nummer), relevante gebruiksmethoden, en contactgegevens van Phoenix Metals B.V. inclusief noodtelefoon.</w:t>
      </w:r>
    </w:p>
    <w:p>
      <w:r>
        <w:rPr>
          <w:b/>
        </w:rPr>
        <w:t xml:space="preserve">SARU ash / staalslakken: </w:t>
      </w:r>
      <w:r>
        <w:t>Naam: 'SARU Ash (Steel Slag Residue)'; CAS: UVCB-stof (geen enkelvoudig CAS-nummer); EG: 273-734-4 (Slags, steelmaking, vanadium). Identificatie als feedstock mengsel.</w:t>
      </w:r>
    </w:p>
    <w:p>
      <w:r>
        <w:rPr>
          <w:b/>
        </w:rPr>
        <w:t xml:space="preserve">Vanadium-elektrolyt: </w:t>
      </w:r>
      <w:r>
        <w:t>Naam: 'Vanadium Oxide Sulphate Solution'; CAS: 27774-13-6; EC: 248-652-7. Eindproduct voor VRFB-toepassingen.</w:t>
      </w:r>
    </w:p>
    <w:p>
      <w:r>
        <w:rPr>
          <w:b/>
        </w:rPr>
        <w:t xml:space="preserve">Reststromen: </w:t>
      </w:r>
      <w:r>
        <w:t>Filter cake: 'Vanadium-depleted filter residue'; Spoelwater: 'Process rinse water (low V-concentration)'. Casus-afhankelijke identificatie.</w:t>
      </w:r>
    </w:p>
    <w:p/>
    <w:p>
      <w:pPr>
        <w:pStyle w:val="Heading2"/>
      </w:pPr>
      <w:r>
        <w:t>Rubriek 2: Identificatie van de gevaren</w:t>
      </w:r>
    </w:p>
    <w:p>
      <w:r>
        <w:t>CLP-indeling van het product met gevarenklassen, -categorieën en H-zinnen.</w:t>
      </w:r>
    </w:p>
    <w:p>
      <w:r>
        <w:rPr>
          <w:b/>
        </w:rPr>
        <w:t xml:space="preserve">SARU ash: </w:t>
      </w:r>
      <w:r>
        <w:t>Carc. 1B (H350i), Repr. 2 (H361fd), Acute Tox. 3 (H331), Skin Corr. 1A (H314). GHS08 + GHS06 + GHS05.</w:t>
      </w:r>
    </w:p>
    <w:p>
      <w:r>
        <w:rPr>
          <w:b/>
        </w:rPr>
        <w:t xml:space="preserve">Vanadium-elektrolyt: </w:t>
      </w:r>
      <w:r>
        <w:t>Carc. 1B (H350i), Repr. 2 (H361fd), Acute Tox. 4 (H332), Eye Irrit. 2 (H319). GHS08 + GHS07.</w:t>
      </w:r>
    </w:p>
    <w:p>
      <w:r>
        <w:rPr>
          <w:b/>
        </w:rPr>
        <w:t xml:space="preserve">Reststromen: </w:t>
      </w:r>
      <w:r>
        <w:t>Afhankelijk van samenstelling. Filter cake: mogelijk Skin Irrit. 2 (H315). Spoelwater: pH-bepalend, potentieel Met. Corr. 1 (H290).</w:t>
      </w:r>
    </w:p>
    <w:p/>
    <w:p>
      <w:pPr>
        <w:pStyle w:val="Heading2"/>
      </w:pPr>
      <w:r>
        <w:t>Rubriek 3: Samenstelling/informatie over bestanddelen</w:t>
      </w:r>
    </w:p>
    <w:p>
      <w:r>
        <w:t>Chemische samenstelling met concentratiebereiken, CAS-nummers en indeling van bestanddelen.</w:t>
      </w:r>
    </w:p>
    <w:p>
      <w:r>
        <w:rPr>
          <w:b/>
        </w:rPr>
        <w:t xml:space="preserve">SARU ash: </w:t>
      </w:r>
      <w:r>
        <w:t>V₂O₅ (5-15%), Fe₂O₃ (30-50%), CaO (10-25%), SiO₂ (5-15%), NaVO₃ (&lt;5%), MnO (&lt;5%). UVCB-mengsel.</w:t>
      </w:r>
    </w:p>
    <w:p>
      <w:r>
        <w:rPr>
          <w:b/>
        </w:rPr>
        <w:t xml:space="preserve">Vanadium-elektrolyt: </w:t>
      </w:r>
      <w:r>
        <w:t>VOSO₄ (1,5-2,0 M in H₂SO₄-oplossing). H₂SO₄ als drager: 2-3 M. Bevat vanadium(IV) en vanadium(V) species.</w:t>
      </w:r>
    </w:p>
    <w:p>
      <w:r>
        <w:rPr>
          <w:b/>
        </w:rPr>
        <w:t xml:space="preserve">Reststromen: </w:t>
      </w:r>
      <w:r>
        <w:t>Filter cake: V₂O₅ (&lt;1%), Fe-hydroxiden, CaSO₄. Spoelwater: V &lt;50 mg/l, pH 2-3.</w:t>
      </w:r>
    </w:p>
    <w:p/>
    <w:p>
      <w:pPr>
        <w:pStyle w:val="Heading2"/>
      </w:pPr>
      <w:r>
        <w:t>Rubriek 4: Eerstehulpmaatregelen</w:t>
      </w:r>
    </w:p>
    <w:p>
      <w:r>
        <w:t>Maatregelen per blootstellingsroute (inhalatie, huid, ogen, inslikken). Symptomen en directe acties.</w:t>
      </w:r>
    </w:p>
    <w:p>
      <w:r>
        <w:rPr>
          <w:b/>
        </w:rPr>
        <w:t xml:space="preserve">Algemeen: </w:t>
      </w:r>
      <w:r>
        <w:t>Bij blootstelling aan V₂O₅-bevattende stoffen: onmiddellijk medische hulp inschakelen. Symptomen: hoest, luchtwegirritatie, groene verkleuring tong (vanadium-kenmerk).</w:t>
      </w:r>
    </w:p>
    <w:p/>
    <w:p>
      <w:pPr>
        <w:pStyle w:val="Heading2"/>
      </w:pPr>
      <w:r>
        <w:t>Rubriek 5: Brandbestrijdingsmaatregelen</w:t>
      </w:r>
    </w:p>
    <w:p>
      <w:r>
        <w:t>Geschikte en ongeschikte blusmiddelen, specifieke gevaren bij brand, beschermingsmiddelen brandweer.</w:t>
      </w:r>
    </w:p>
    <w:p>
      <w:r>
        <w:rPr>
          <w:b/>
        </w:rPr>
        <w:t xml:space="preserve">Algemeen: </w:t>
      </w:r>
      <w:r>
        <w:t>SARU ash en vanadium-elektrolyt zijn niet brandbaar. Bij brand in de omgeving: POEDER, CO₂ of schuim. GEEN waterstraal op gesmolten V₂O₅ — kan spatten.</w:t>
      </w:r>
    </w:p>
    <w:p/>
    <w:p>
      <w:pPr>
        <w:pStyle w:val="Heading2"/>
      </w:pPr>
      <w:r>
        <w:t>Rubriek 6: Maatregelen bij accidenteel vrijkomen</w:t>
      </w:r>
    </w:p>
    <w:p>
      <w:r>
        <w:t>Persoonlijke voorzorgsmaatregelen, milieumaatregelen, reinigingsmethoden.</w:t>
      </w:r>
    </w:p>
    <w:p>
      <w:r>
        <w:rPr>
          <w:b/>
        </w:rPr>
        <w:t xml:space="preserve">Algemeen: </w:t>
      </w:r>
      <w:r>
        <w:t>Stofvorming voorkomen. Droog zand/absorbens gebruiken. Niet in riolering of waterlopen laten terechtkomen. PBM: FFP3-masker, zuurbestendige handschoenen, veiligheidsbril.</w:t>
      </w:r>
    </w:p>
    <w:p/>
    <w:p>
      <w:pPr>
        <w:pStyle w:val="Heading2"/>
      </w:pPr>
      <w:r>
        <w:t>Rubriek 7: Hantering en opslag</w:t>
      </w:r>
    </w:p>
    <w:p>
      <w:r>
        <w:t>Veilige hantering (stofvorming voorkomen, ventilatie) en opslagcondities (compatibiliteit, temperatuur).</w:t>
      </w:r>
    </w:p>
    <w:p>
      <w:r>
        <w:rPr>
          <w:b/>
        </w:rPr>
        <w:t xml:space="preserve">SARU ash: </w:t>
      </w:r>
      <w:r>
        <w:t>Droog, afgesloten opslag. Gescheiden van zuren en brandstoffen. Ventilatie: lokale afzuiging bij overladen.</w:t>
      </w:r>
    </w:p>
    <w:p>
      <w:r>
        <w:rPr>
          <w:b/>
        </w:rPr>
        <w:t xml:space="preserve">Vanadium-elektrolyt: </w:t>
      </w:r>
      <w:r>
        <w:t>Opslag in zuurbestendige containers (HDPE, PP). Temperatuur: 5-30°C. Niet in de buurt van metalen (corrosie).</w:t>
      </w:r>
    </w:p>
    <w:p/>
    <w:p>
      <w:pPr>
        <w:pStyle w:val="Heading2"/>
      </w:pPr>
      <w:r>
        <w:t>Rubriek 8: Maatregelen ter beheersing van blootstelling / persoonlijke bescherming</w:t>
      </w:r>
    </w:p>
    <w:p>
      <w:r>
        <w:t>OEL's, technische maatregelen, PBM-eisen. Grenswaarden vanadiumverbindingen.</w:t>
      </w:r>
    </w:p>
    <w:p>
      <w:r>
        <w:rPr>
          <w:b/>
        </w:rPr>
        <w:t xml:space="preserve">OEL's: </w:t>
      </w:r>
      <w:r>
        <w:t>V₂O₅ (inhalabele fractie): 0,05 mg/m³ (8-uur TWA), 0,1 mg/m³ (STEL). Bron: SER-publicatie.</w:t>
      </w:r>
    </w:p>
    <w:p>
      <w:r>
        <w:rPr>
          <w:b/>
        </w:rPr>
        <w:t xml:space="preserve">PBM: </w:t>
      </w:r>
      <w:r>
        <w:t>FFP3-masker (stof), zuurbestendige handschoenen (nitrile ≥0,5 mm), veiligheidsbril + gelaatscherm, zuurbestendig schort. Bij elektrolyt: volledige zuurbescherming.</w:t>
      </w:r>
    </w:p>
    <w:p/>
    <w:p>
      <w:pPr>
        <w:pStyle w:val="Heading2"/>
      </w:pPr>
      <w:r>
        <w:t>Rubriek 9: Fysische en chemische eigenschappen</w:t>
      </w:r>
    </w:p>
    <w:p>
      <w:r>
        <w:t>Uiterlijk, geur, pH, smeltpunt, ontvlambaarheid, dichtheid, oplosbaarheid.</w:t>
      </w:r>
    </w:p>
    <w:p>
      <w:r>
        <w:rPr>
          <w:b/>
        </w:rPr>
        <w:t xml:space="preserve">SARU ash: </w:t>
      </w:r>
      <w:r>
        <w:t>Vast, grijs-bruin poeder. Geurloos. Dichtheid: 3,0-3,5 g/cm³. Onoplosbaar in water (deels reagerend).</w:t>
      </w:r>
    </w:p>
    <w:p>
      <w:r>
        <w:rPr>
          <w:b/>
        </w:rPr>
        <w:t xml:space="preserve">Vanadium-elektrolyt: </w:t>
      </w:r>
      <w:r>
        <w:t>Vloeibaar, blauw (V⁴⁺) / geel (V⁵⁺) oplossing. pH: &lt;1 (zwavelzuurhoudend). Dichtheid: 1,2-1,4 g/cm³.</w:t>
      </w:r>
    </w:p>
    <w:p/>
    <w:p>
      <w:pPr>
        <w:pStyle w:val="Heading2"/>
      </w:pPr>
      <w:r>
        <w:t>Rubriek 10: Stabiliteit en reactiviteit</w:t>
      </w:r>
    </w:p>
    <w:p>
      <w:r>
        <w:t>Stabiliteit, te vermijden stoffen/condities, gevaarlijke ontledingsproducten.</w:t>
      </w:r>
    </w:p>
    <w:p>
      <w:r>
        <w:rPr>
          <w:b/>
        </w:rPr>
        <w:t xml:space="preserve">Algemeen: </w:t>
      </w:r>
      <w:r>
        <w:t>Stabiel onder normale omstandigheden. Reactie met sterke zuren (SARU ash) kan Hitte genereren. V₂O₅ is een oxidator — contact met reducerende stoffen vermijden.</w:t>
      </w:r>
    </w:p>
    <w:p/>
    <w:p>
      <w:pPr>
        <w:pStyle w:val="Heading2"/>
      </w:pPr>
      <w:r>
        <w:t>Rubriek 11: Toxicologische informatie</w:t>
      </w:r>
    </w:p>
    <w:p>
      <w:r>
        <w:t>Acute toxiciteit, irritatie, sensitisatie, CMR-eigenschappen, STOT.</w:t>
      </w:r>
    </w:p>
    <w:p>
      <w:r>
        <w:rPr>
          <w:b/>
        </w:rPr>
        <w:t xml:space="preserve">V₂O₅: </w:t>
      </w:r>
      <w:r>
        <w:t>LD50 (oraal, rat): 98 mg/kg (Acute Tox. 3). Carc. 1B, Repr. 2. STOT RE 1 (luchtwegen). IARC Group 2B.</w:t>
      </w:r>
    </w:p>
    <w:p>
      <w:r>
        <w:rPr>
          <w:b/>
        </w:rPr>
        <w:t xml:space="preserve">VOSO₄: </w:t>
      </w:r>
      <w:r>
        <w:t>Acute Tox. 4 (inhalatie). Irriterend aan ogen en luchtwegen. Langdurige blootstelling: longschade.</w:t>
      </w:r>
    </w:p>
    <w:p/>
    <w:p>
      <w:pPr>
        <w:pStyle w:val="Heading2"/>
      </w:pPr>
      <w:r>
        <w:t>Rubriek 12: Ecologische informatie</w:t>
      </w:r>
    </w:p>
    <w:p>
      <w:r>
        <w:t>Ecotoxiciteit, persistentie, bioaccumulatie, mobiliteit in bodem.</w:t>
      </w:r>
    </w:p>
    <w:p>
      <w:r>
        <w:rPr>
          <w:b/>
        </w:rPr>
        <w:t xml:space="preserve">Vanadiumverbindingen: </w:t>
      </w:r>
      <w:r>
        <w:t>Giftig voor aquatische organismen. V₂O₅: EC50 (Daphnia magna): 1,5 mg/l (48h). Niet-readily biodegradable. Log Kow &lt;3 (lage bioaccumulatie).</w:t>
      </w:r>
    </w:p>
    <w:p/>
    <w:p>
      <w:pPr>
        <w:pStyle w:val="Heading2"/>
      </w:pPr>
      <w:r>
        <w:t>Rubriek 13: Instructies voor verwijdering</w:t>
      </w:r>
    </w:p>
    <w:p>
      <w:r>
        <w:t>Afvalverwerkingsmethoden voor reststoffen en verpakking. EURAL-codering.</w:t>
      </w:r>
    </w:p>
    <w:p>
      <w:r>
        <w:rPr>
          <w:b/>
        </w:rPr>
        <w:t xml:space="preserve">SARU ash restanten: </w:t>
      </w:r>
      <w:r>
        <w:t>EURAL 06 04 05 (afval bevattende andere zware metalen). Afvoer via erkend afvalverwerker.</w:t>
      </w:r>
    </w:p>
    <w:p>
      <w:r>
        <w:rPr>
          <w:b/>
        </w:rPr>
        <w:t xml:space="preserve">Elektrolyt restanten: </w:t>
      </w:r>
      <w:r>
        <w:t>EURAL 06 01 01 (zwavelzuur). Neutralisatie met NaOH → neerslag → EURAL 06 04 05.</w:t>
      </w:r>
    </w:p>
    <w:p/>
    <w:p>
      <w:pPr>
        <w:pStyle w:val="Heading2"/>
      </w:pPr>
      <w:r>
        <w:t>Rubriek 14: Informatie met betrekking tot het vervoer</w:t>
      </w:r>
    </w:p>
    <w:p>
      <w:r>
        <w:t>UN-nummer, ADR-klasse, verpakking groep, milieugevaren.</w:t>
      </w:r>
    </w:p>
    <w:p>
      <w:r>
        <w:rPr>
          <w:b/>
        </w:rPr>
        <w:t xml:space="preserve">SARU ash: </w:t>
      </w:r>
      <w:r>
        <w:t>Niet-klasseerbaar voor vervoer indien niet-stuivend. Bij stofvorming: ADR 6.1, UN 3288, PG III (toxische anorganische vaste stof).</w:t>
      </w:r>
    </w:p>
    <w:p>
      <w:r>
        <w:rPr>
          <w:b/>
        </w:rPr>
        <w:t xml:space="preserve">Vanadium-elektrolyt: </w:t>
      </w:r>
      <w:r>
        <w:t>ADR 8, UN 2796, PG II (zwavelzuur). Corrosief vloeibaar.</w:t>
      </w:r>
    </w:p>
    <w:p/>
    <w:p>
      <w:pPr>
        <w:pStyle w:val="Heading2"/>
      </w:pPr>
      <w:r>
        <w:t>Rubriek 15: Wettelijke informatie</w:t>
      </w:r>
    </w:p>
    <w:p>
      <w:r>
        <w:t>Wet- en regelgeving van toepassing: REACH, CLP, ARBO-wetgeving, Wms, Besluit activiteiten leefomgeving (Bal).</w:t>
      </w:r>
    </w:p>
    <w:p>
      <w:r>
        <w:rPr>
          <w:b/>
        </w:rPr>
        <w:t xml:space="preserve">Algemeen: </w:t>
      </w:r>
      <w:r>
        <w:t>REACH (EG 1907/2006), CLP (EG 1272/2008), Wet milieubeheer, Wet werken met stoffen (Wms), Arbowet. Gemeentelijke milieuvergunning (Wmb/Bal).</w:t>
      </w:r>
    </w:p>
    <w:p/>
    <w:p>
      <w:pPr>
        <w:pStyle w:val="Heading2"/>
      </w:pPr>
      <w:r>
        <w:t>Rubriek 16: Overige informatie</w:t>
      </w:r>
    </w:p>
    <w:p>
      <w:r>
        <w:t>Wijzigingsgeschiedenis, volledige tekst H-zinnen, afkortingen, disclaimer.</w:t>
      </w:r>
    </w:p>
    <w:p>
      <w:r>
        <w:rPr>
          <w:b/>
        </w:rPr>
        <w:t xml:space="preserve">Algemeen: </w:t>
      </w:r>
      <w:r>
        <w:t>Volledige tekst van alle H-zinnen vermeld in rubriek 2 en 3. Lijst met afkortingen (CMR, PBT, SVHC, SDS, VIB). Aanpassingsdatum en versienummer.</w:t>
      </w:r>
    </w:p>
    <w:p/>
    <w:p>
      <w:r>
        <w:br w:type="page"/>
      </w:r>
    </w:p>
    <w:p>
      <w:pPr>
        <w:pStyle w:val="Heading1"/>
      </w:pPr>
      <w:r>
        <w:t>4. H3: CLP-Indeling Phoenix Metals Producten</w:t>
      </w:r>
    </w:p>
    <w:p>
      <w:pPr>
        <w:pStyle w:val="Heading2"/>
      </w:pPr>
      <w:r>
        <w:t>4.1 Overzicht indelingen</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r>
              <w:rPr>
                <w:b/>
                <w:sz w:val="18"/>
              </w:rPr>
              <w:t>Product</w:t>
            </w:r>
          </w:p>
        </w:tc>
        <w:tc>
          <w:tcPr>
            <w:tcW w:type="dxa" w:w="1881"/>
          </w:tcPr>
          <w:p>
            <w:r>
              <w:rPr>
                <w:b/>
                <w:sz w:val="18"/>
              </w:rPr>
              <w:t>Gevaarklasse(n)</w:t>
            </w:r>
          </w:p>
        </w:tc>
        <w:tc>
          <w:tcPr>
            <w:tcW w:type="dxa" w:w="1881"/>
          </w:tcPr>
          <w:p>
            <w:r>
              <w:rPr>
                <w:b/>
                <w:sz w:val="18"/>
              </w:rPr>
              <w:t>H-zinnen</w:t>
            </w:r>
          </w:p>
        </w:tc>
        <w:tc>
          <w:tcPr>
            <w:tcW w:type="dxa" w:w="1881"/>
          </w:tcPr>
          <w:p>
            <w:r>
              <w:rPr>
                <w:b/>
                <w:sz w:val="18"/>
              </w:rPr>
              <w:t>GHS-pictogrammen</w:t>
            </w:r>
          </w:p>
        </w:tc>
        <w:tc>
          <w:tcPr>
            <w:tcW w:type="dxa" w:w="1881"/>
          </w:tcPr>
          <w:p>
            <w:r>
              <w:rPr>
                <w:b/>
                <w:sz w:val="18"/>
              </w:rPr>
              <w:t>Signaalwoord</w:t>
            </w:r>
          </w:p>
        </w:tc>
      </w:tr>
      <w:tr>
        <w:tc>
          <w:tcPr>
            <w:tcW w:type="dxa" w:w="1881"/>
          </w:tcPr>
          <w:p>
            <w:r>
              <w:rPr>
                <w:sz w:val="18"/>
              </w:rPr>
              <w:t>SARU ash / staalslakken</w:t>
            </w:r>
          </w:p>
        </w:tc>
        <w:tc>
          <w:tcPr>
            <w:tcW w:type="dxa" w:w="1881"/>
          </w:tcPr>
          <w:p>
            <w:r>
              <w:rPr>
                <w:sz w:val="18"/>
              </w:rPr>
              <w:t>Carc. 1B</w:t>
              <w:br/>
              <w:t>Repr. 2</w:t>
              <w:br/>
              <w:t>Acute Tox. 3</w:t>
              <w:br/>
              <w:t>Skin Corr. 1A</w:t>
              <w:br/>
              <w:t>STOT RE 1</w:t>
            </w:r>
          </w:p>
        </w:tc>
        <w:tc>
          <w:tcPr>
            <w:tcW w:type="dxa" w:w="1881"/>
          </w:tcPr>
          <w:p>
            <w:r>
              <w:rPr>
                <w:sz w:val="18"/>
              </w:rPr>
              <w:t>H350i, H361fd, H331, H314, H372</w:t>
            </w:r>
          </w:p>
        </w:tc>
        <w:tc>
          <w:tcPr>
            <w:tcW w:type="dxa" w:w="1881"/>
          </w:tcPr>
          <w:p>
            <w:r>
              <w:rPr>
                <w:sz w:val="18"/>
              </w:rPr>
              <w:t>GHS08 (gezondheidsgevaar)</w:t>
              <w:br/>
              <w:t>GHS06 (dodenkop)</w:t>
              <w:br/>
              <w:t>GHS05 (corrosie)</w:t>
            </w:r>
          </w:p>
        </w:tc>
        <w:tc>
          <w:tcPr>
            <w:tcW w:type="dxa" w:w="1881"/>
          </w:tcPr>
          <w:p>
            <w:r>
              <w:rPr>
                <w:sz w:val="18"/>
              </w:rPr>
              <w:t>GEVAAR</w:t>
            </w:r>
          </w:p>
        </w:tc>
      </w:tr>
      <w:tr>
        <w:tc>
          <w:tcPr>
            <w:tcW w:type="dxa" w:w="1881"/>
          </w:tcPr>
          <w:p>
            <w:r>
              <w:rPr>
                <w:sz w:val="18"/>
              </w:rPr>
              <w:t>Vanadium-elektrolyt</w:t>
            </w:r>
          </w:p>
        </w:tc>
        <w:tc>
          <w:tcPr>
            <w:tcW w:type="dxa" w:w="1881"/>
          </w:tcPr>
          <w:p>
            <w:r>
              <w:rPr>
                <w:sz w:val="18"/>
              </w:rPr>
              <w:t>Carc. 1B</w:t>
              <w:br/>
              <w:t>Repr. 2</w:t>
              <w:br/>
              <w:t>Acute Tox. 4</w:t>
              <w:br/>
              <w:t>Eye Irrit. 2</w:t>
            </w:r>
          </w:p>
        </w:tc>
        <w:tc>
          <w:tcPr>
            <w:tcW w:type="dxa" w:w="1881"/>
          </w:tcPr>
          <w:p>
            <w:r>
              <w:rPr>
                <w:sz w:val="18"/>
              </w:rPr>
              <w:t>H350i, H361fd, H332, H319</w:t>
            </w:r>
          </w:p>
        </w:tc>
        <w:tc>
          <w:tcPr>
            <w:tcW w:type="dxa" w:w="1881"/>
          </w:tcPr>
          <w:p>
            <w:r>
              <w:rPr>
                <w:sz w:val="18"/>
              </w:rPr>
              <w:t>GHS08 (gezondheidsgevaar)</w:t>
              <w:br/>
              <w:t>GHS07 (uitroepteken)</w:t>
            </w:r>
          </w:p>
        </w:tc>
        <w:tc>
          <w:tcPr>
            <w:tcW w:type="dxa" w:w="1881"/>
          </w:tcPr>
          <w:p>
            <w:r>
              <w:rPr>
                <w:sz w:val="18"/>
              </w:rPr>
              <w:t>GEVAAR</w:t>
            </w:r>
          </w:p>
        </w:tc>
      </w:tr>
      <w:tr>
        <w:tc>
          <w:tcPr>
            <w:tcW w:type="dxa" w:w="1881"/>
          </w:tcPr>
          <w:p>
            <w:r>
              <w:rPr>
                <w:sz w:val="18"/>
              </w:rPr>
              <w:t>Zwavelzuur 25-75%</w:t>
            </w:r>
          </w:p>
        </w:tc>
        <w:tc>
          <w:tcPr>
            <w:tcW w:type="dxa" w:w="1881"/>
          </w:tcPr>
          <w:p>
            <w:r>
              <w:rPr>
                <w:sz w:val="18"/>
              </w:rPr>
              <w:t>Met. Corr. 1</w:t>
              <w:br/>
              <w:t>Skin Corr. 1A</w:t>
              <w:br/>
              <w:t>Eye Dam. 1</w:t>
            </w:r>
          </w:p>
        </w:tc>
        <w:tc>
          <w:tcPr>
            <w:tcW w:type="dxa" w:w="1881"/>
          </w:tcPr>
          <w:p>
            <w:r>
              <w:rPr>
                <w:sz w:val="18"/>
              </w:rPr>
              <w:t>H290, H314, H318</w:t>
            </w:r>
          </w:p>
        </w:tc>
        <w:tc>
          <w:tcPr>
            <w:tcW w:type="dxa" w:w="1881"/>
          </w:tcPr>
          <w:p>
            <w:r>
              <w:rPr>
                <w:sz w:val="18"/>
              </w:rPr>
              <w:t>GHS05 (corrosie)</w:t>
            </w:r>
          </w:p>
        </w:tc>
        <w:tc>
          <w:tcPr>
            <w:tcW w:type="dxa" w:w="1881"/>
          </w:tcPr>
          <w:p>
            <w:r>
              <w:rPr>
                <w:sz w:val="18"/>
              </w:rPr>
              <w:t>GEVAAR</w:t>
            </w:r>
          </w:p>
        </w:tc>
      </w:tr>
      <w:tr>
        <w:tc>
          <w:tcPr>
            <w:tcW w:type="dxa" w:w="1881"/>
          </w:tcPr>
          <w:p>
            <w:r>
              <w:rPr>
                <w:sz w:val="18"/>
              </w:rPr>
              <w:t>NaOH-oplossing 50%</w:t>
            </w:r>
          </w:p>
        </w:tc>
        <w:tc>
          <w:tcPr>
            <w:tcW w:type="dxa" w:w="1881"/>
          </w:tcPr>
          <w:p>
            <w:r>
              <w:rPr>
                <w:sz w:val="18"/>
              </w:rPr>
              <w:t>Met. Corr. 1</w:t>
              <w:br/>
              <w:t>Skin Corr. 1A</w:t>
              <w:br/>
              <w:t>Eye Dam. 1</w:t>
            </w:r>
          </w:p>
        </w:tc>
        <w:tc>
          <w:tcPr>
            <w:tcW w:type="dxa" w:w="1881"/>
          </w:tcPr>
          <w:p>
            <w:r>
              <w:rPr>
                <w:sz w:val="18"/>
              </w:rPr>
              <w:t>H290, H314, H318</w:t>
            </w:r>
          </w:p>
        </w:tc>
        <w:tc>
          <w:tcPr>
            <w:tcW w:type="dxa" w:w="1881"/>
          </w:tcPr>
          <w:p>
            <w:r>
              <w:rPr>
                <w:sz w:val="18"/>
              </w:rPr>
              <w:t>GHS05 (corrosie)</w:t>
            </w:r>
          </w:p>
        </w:tc>
        <w:tc>
          <w:tcPr>
            <w:tcW w:type="dxa" w:w="1881"/>
          </w:tcPr>
          <w:p>
            <w:r>
              <w:rPr>
                <w:sz w:val="18"/>
              </w:rPr>
              <w:t>GEVAAR</w:t>
            </w:r>
          </w:p>
        </w:tc>
      </w:tr>
    </w:tbl>
    <w:p/>
    <w:p>
      <w:pPr>
        <w:pStyle w:val="Heading2"/>
      </w:pPr>
      <w:r>
        <w:t>4.2 Etiketteringseisen per product</w:t>
      </w:r>
    </w:p>
    <w:p>
      <w:r>
        <w:t>Elk product dat Phoenix Metals in de handel brengt, moet zijn voorzien van een CLP-conform etiket met de volgende elementen:</w:t>
      </w:r>
    </w:p>
    <w:p>
      <w:pPr>
        <w:pStyle w:val="ListBullet"/>
      </w:pPr>
      <w:r>
        <w:t>Productidentificatie (naam van de stof/het mengsel).</w:t>
      </w:r>
    </w:p>
    <w:p>
      <w:pPr>
        <w:pStyle w:val="ListBullet"/>
      </w:pPr>
      <w:r>
        <w:t>Naam, adres en telefoonnummer van Phoenix Metals B.V.</w:t>
      </w:r>
    </w:p>
    <w:p>
      <w:pPr>
        <w:pStyle w:val="ListBullet"/>
      </w:pPr>
      <w:r>
        <w:t>GHS-pictogrammen (minimaal 1 cm² per pictogram voor verpakkingen ≤3 liter).</w:t>
      </w:r>
    </w:p>
    <w:p>
      <w:pPr>
        <w:pStyle w:val="ListBullet"/>
      </w:pPr>
      <w:r>
        <w:t>Signaalwoord: GEVAAR of WAARSCHUWING.</w:t>
      </w:r>
    </w:p>
    <w:p>
      <w:pPr>
        <w:pStyle w:val="ListBullet"/>
      </w:pPr>
      <w:r>
        <w:t>Gevaarzinnen (H-zinnen): volledig uitgeschreven.</w:t>
      </w:r>
    </w:p>
    <w:p>
      <w:pPr>
        <w:pStyle w:val="ListBullet"/>
      </w:pPr>
      <w:r>
        <w:t>Voorzorgszinnen (P-zinnen): minimaal preventie, respons en opslag.</w:t>
      </w:r>
    </w:p>
    <w:p>
      <w:pPr>
        <w:pStyle w:val="ListBullet"/>
      </w:pPr>
      <w:r>
        <w:t>Aanvullende informatie: EUH-zinnen indien van toepassing (bijv. EUH210 — op verzoek beschikbare SDS).</w:t>
      </w:r>
    </w:p>
    <w:p>
      <w:pPr>
        <w:pStyle w:val="ListBullet"/>
      </w:pPr>
      <w:r>
        <w:t>UFI-code (Unique Formula Identifier): verplicht voor mengsels die aan het grote publiek worden geleverd; voor B2B sterk aanbevolen voor productidentificatie en vergiftigingscentra.</w:t>
      </w:r>
    </w:p>
    <w:p>
      <w:pPr>
        <w:pStyle w:val="Heading2"/>
      </w:pPr>
      <w:r>
        <w:t>4.3 UFI-toewijzing</w:t>
      </w:r>
    </w:p>
    <w:p>
      <w:r>
        <w:t>De UFI (Unique Formula Identifier) is verplicht voor mengsels bestemd voor consumenten (CLP artikel 45). Voor B2B-producten (zoals vanadium-elektrolyt) is UFI-toewijzing sterk aanbevolen. Phoenix Metals genereert UFI's via de ECHA Poison Centres Notification (PCN)-portal en registreert deze in het interne chemicaliënbeheersysteem.</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sz w:val="18"/>
              </w:rPr>
              <w:t>Product</w:t>
            </w:r>
          </w:p>
        </w:tc>
        <w:tc>
          <w:tcPr>
            <w:tcW w:type="dxa" w:w="3135"/>
          </w:tcPr>
          <w:p>
            <w:r>
              <w:rPr>
                <w:b/>
                <w:sz w:val="18"/>
              </w:rPr>
              <w:t>UFI vereist?</w:t>
            </w:r>
          </w:p>
        </w:tc>
        <w:tc>
          <w:tcPr>
            <w:tcW w:type="dxa" w:w="3135"/>
          </w:tcPr>
          <w:p>
            <w:r>
              <w:rPr>
                <w:b/>
                <w:sz w:val="18"/>
              </w:rPr>
              <w:t>Status</w:t>
            </w:r>
          </w:p>
        </w:tc>
      </w:tr>
      <w:tr>
        <w:tc>
          <w:tcPr>
            <w:tcW w:type="dxa" w:w="3135"/>
          </w:tcPr>
          <w:p>
            <w:r>
              <w:rPr>
                <w:sz w:val="18"/>
              </w:rPr>
              <w:t>SARU ash (mengsel)</w:t>
            </w:r>
          </w:p>
        </w:tc>
        <w:tc>
          <w:tcPr>
            <w:tcW w:type="dxa" w:w="3135"/>
          </w:tcPr>
          <w:p>
            <w:r>
              <w:rPr>
                <w:sz w:val="18"/>
              </w:rPr>
              <w:t>Aanbevolen (B2B)</w:t>
            </w:r>
          </w:p>
        </w:tc>
        <w:tc>
          <w:tcPr>
            <w:tcW w:type="dxa" w:w="3135"/>
          </w:tcPr>
          <w:p>
            <w:r>
              <w:rPr>
                <w:sz w:val="18"/>
              </w:rPr>
              <w:t>Te genereren bij eerste levering</w:t>
            </w:r>
          </w:p>
        </w:tc>
      </w:tr>
      <w:tr>
        <w:tc>
          <w:tcPr>
            <w:tcW w:type="dxa" w:w="3135"/>
          </w:tcPr>
          <w:p>
            <w:r>
              <w:rPr>
                <w:sz w:val="18"/>
              </w:rPr>
              <w:t>Vanadium-elektrolyt (mengsel)</w:t>
            </w:r>
          </w:p>
        </w:tc>
        <w:tc>
          <w:tcPr>
            <w:tcW w:type="dxa" w:w="3135"/>
          </w:tcPr>
          <w:p>
            <w:r>
              <w:rPr>
                <w:sz w:val="18"/>
              </w:rPr>
              <w:t>Aanbevolen (B2B)</w:t>
            </w:r>
          </w:p>
        </w:tc>
        <w:tc>
          <w:tcPr>
            <w:tcW w:type="dxa" w:w="3135"/>
          </w:tcPr>
          <w:p>
            <w:r>
              <w:rPr>
                <w:sz w:val="18"/>
              </w:rPr>
              <w:t>Te genereren bij eerste levering</w:t>
            </w:r>
          </w:p>
        </w:tc>
      </w:tr>
      <w:tr>
        <w:tc>
          <w:tcPr>
            <w:tcW w:type="dxa" w:w="3135"/>
          </w:tcPr>
          <w:p>
            <w:r>
              <w:rPr>
                <w:sz w:val="18"/>
              </w:rPr>
              <w:t>Zwavelzuur (stof, geen mengsel)</w:t>
            </w:r>
          </w:p>
        </w:tc>
        <w:tc>
          <w:tcPr>
            <w:tcW w:type="dxa" w:w="3135"/>
          </w:tcPr>
          <w:p>
            <w:r>
              <w:rPr>
                <w:sz w:val="18"/>
              </w:rPr>
              <w:t>Niet van toepassing</w:t>
            </w:r>
          </w:p>
        </w:tc>
        <w:tc>
          <w:tcPr>
            <w:tcW w:type="dxa" w:w="3135"/>
          </w:tcPr>
          <w:p>
            <w:r>
              <w:rPr>
                <w:sz w:val="18"/>
              </w:rPr>
              <w:t>NVT — stof, geen mengsel</w:t>
            </w:r>
          </w:p>
        </w:tc>
      </w:tr>
      <w:tr>
        <w:tc>
          <w:tcPr>
            <w:tcW w:type="dxa" w:w="3135"/>
          </w:tcPr>
          <w:p>
            <w:r>
              <w:rPr>
                <w:sz w:val="18"/>
              </w:rPr>
              <w:t>NaOH-oplossing (mengsel)</w:t>
            </w:r>
          </w:p>
        </w:tc>
        <w:tc>
          <w:tcPr>
            <w:tcW w:type="dxa" w:w="3135"/>
          </w:tcPr>
          <w:p>
            <w:r>
              <w:rPr>
                <w:sz w:val="18"/>
              </w:rPr>
              <w:t>Aanbevolen (B2B)</w:t>
            </w:r>
          </w:p>
        </w:tc>
        <w:tc>
          <w:tcPr>
            <w:tcW w:type="dxa" w:w="3135"/>
          </w:tcPr>
          <w:p>
            <w:r>
              <w:rPr>
                <w:sz w:val="18"/>
              </w:rPr>
              <w:t>Te genereren bij eerste levering</w:t>
            </w:r>
          </w:p>
        </w:tc>
      </w:tr>
    </w:tbl>
    <w:p>
      <w:r>
        <w:br w:type="page"/>
      </w:r>
    </w:p>
    <w:p>
      <w:pPr>
        <w:pStyle w:val="Heading1"/>
      </w:pPr>
      <w:r>
        <w:t>5. H4: SDS-Beheersysteem</w:t>
      </w:r>
    </w:p>
    <w:p>
      <w:pPr>
        <w:pStyle w:val="Heading2"/>
      </w:pPr>
      <w:r>
        <w:t>5.1 Procesflow: ontwerp tot distributie</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sz w:val="18"/>
              </w:rPr>
              <w:t>Fase</w:t>
            </w:r>
          </w:p>
        </w:tc>
        <w:tc>
          <w:tcPr>
            <w:tcW w:type="dxa" w:w="2351"/>
          </w:tcPr>
          <w:p>
            <w:r>
              <w:rPr>
                <w:b/>
                <w:sz w:val="18"/>
              </w:rPr>
              <w:t>Verantwoordelijke</w:t>
            </w:r>
          </w:p>
        </w:tc>
        <w:tc>
          <w:tcPr>
            <w:tcW w:type="dxa" w:w="2351"/>
          </w:tcPr>
          <w:p>
            <w:r>
              <w:rPr>
                <w:b/>
                <w:sz w:val="18"/>
              </w:rPr>
              <w:t>Actie</w:t>
            </w:r>
          </w:p>
        </w:tc>
        <w:tc>
          <w:tcPr>
            <w:tcW w:type="dxa" w:w="2351"/>
          </w:tcPr>
          <w:p>
            <w:r>
              <w:rPr>
                <w:b/>
                <w:sz w:val="18"/>
              </w:rPr>
              <w:t>Output</w:t>
            </w:r>
          </w:p>
        </w:tc>
      </w:tr>
      <w:tr>
        <w:tc>
          <w:tcPr>
            <w:tcW w:type="dxa" w:w="2351"/>
          </w:tcPr>
          <w:p>
            <w:r>
              <w:rPr>
                <w:sz w:val="18"/>
              </w:rPr>
              <w:t>1. Ontwerp</w:t>
            </w:r>
          </w:p>
        </w:tc>
        <w:tc>
          <w:tcPr>
            <w:tcW w:type="dxa" w:w="2351"/>
          </w:tcPr>
          <w:p>
            <w:r>
              <w:rPr>
                <w:sz w:val="18"/>
              </w:rPr>
              <w:t>HSEQ Specialist</w:t>
            </w:r>
          </w:p>
        </w:tc>
        <w:tc>
          <w:tcPr>
            <w:tcW w:type="dxa" w:w="2351"/>
          </w:tcPr>
          <w:p>
            <w:r>
              <w:rPr>
                <w:sz w:val="18"/>
              </w:rPr>
              <w:t>SDS opstellen conform REACH Bijlage II / ECHA-template</w:t>
            </w:r>
          </w:p>
        </w:tc>
        <w:tc>
          <w:tcPr>
            <w:tcW w:type="dxa" w:w="2351"/>
          </w:tcPr>
          <w:p>
            <w:r>
              <w:rPr>
                <w:sz w:val="18"/>
              </w:rPr>
              <w:t>Concept-SDS (draft)</w:t>
            </w:r>
          </w:p>
        </w:tc>
      </w:tr>
      <w:tr>
        <w:tc>
          <w:tcPr>
            <w:tcW w:type="dxa" w:w="2351"/>
          </w:tcPr>
          <w:p>
            <w:r>
              <w:rPr>
                <w:sz w:val="18"/>
              </w:rPr>
              <w:t>2. Review</w:t>
            </w:r>
          </w:p>
        </w:tc>
        <w:tc>
          <w:tcPr>
            <w:tcW w:type="dxa" w:w="2351"/>
          </w:tcPr>
          <w:p>
            <w:r>
              <w:rPr>
                <w:sz w:val="18"/>
              </w:rPr>
              <w:t>HSEQ Manager + Lab</w:t>
            </w:r>
          </w:p>
        </w:tc>
        <w:tc>
          <w:tcPr>
            <w:tcW w:type="dxa" w:w="2351"/>
          </w:tcPr>
          <w:p>
            <w:r>
              <w:rPr>
                <w:sz w:val="18"/>
              </w:rPr>
              <w:t>Technische validatie: samenstelling, toxicologie, CLP-indeling</w:t>
            </w:r>
          </w:p>
        </w:tc>
        <w:tc>
          <w:tcPr>
            <w:tcW w:type="dxa" w:w="2351"/>
          </w:tcPr>
          <w:p>
            <w:r>
              <w:rPr>
                <w:sz w:val="18"/>
              </w:rPr>
              <w:t>Reviewed SDS</w:t>
            </w:r>
          </w:p>
        </w:tc>
      </w:tr>
      <w:tr>
        <w:tc>
          <w:tcPr>
            <w:tcW w:type="dxa" w:w="2351"/>
          </w:tcPr>
          <w:p>
            <w:r>
              <w:rPr>
                <w:sz w:val="18"/>
              </w:rPr>
              <w:t>3. Goedkeuring</w:t>
            </w:r>
          </w:p>
        </w:tc>
        <w:tc>
          <w:tcPr>
            <w:tcW w:type="dxa" w:w="2351"/>
          </w:tcPr>
          <w:p>
            <w:r>
              <w:rPr>
                <w:sz w:val="18"/>
              </w:rPr>
              <w:t>Directie (JH)</w:t>
            </w:r>
          </w:p>
        </w:tc>
        <w:tc>
          <w:tcPr>
            <w:tcW w:type="dxa" w:w="2351"/>
          </w:tcPr>
          <w:p>
            <w:r>
              <w:rPr>
                <w:sz w:val="18"/>
              </w:rPr>
              <w:t>Formele vrijgave en ondertekening</w:t>
            </w:r>
          </w:p>
        </w:tc>
        <w:tc>
          <w:tcPr>
            <w:tcW w:type="dxa" w:w="2351"/>
          </w:tcPr>
          <w:p>
            <w:r>
              <w:rPr>
                <w:sz w:val="18"/>
              </w:rPr>
              <w:t>Goedgekeurde SDS (vX.X)</w:t>
            </w:r>
          </w:p>
        </w:tc>
      </w:tr>
      <w:tr>
        <w:tc>
          <w:tcPr>
            <w:tcW w:type="dxa" w:w="2351"/>
          </w:tcPr>
          <w:p>
            <w:r>
              <w:rPr>
                <w:sz w:val="18"/>
              </w:rPr>
              <w:t>4. Distributie</w:t>
            </w:r>
          </w:p>
        </w:tc>
        <w:tc>
          <w:tcPr>
            <w:tcW w:type="dxa" w:w="2351"/>
          </w:tcPr>
          <w:p>
            <w:r>
              <w:rPr>
                <w:sz w:val="18"/>
              </w:rPr>
              <w:t>Logistiek / Sales</w:t>
            </w:r>
          </w:p>
        </w:tc>
        <w:tc>
          <w:tcPr>
            <w:tcW w:type="dxa" w:w="2351"/>
          </w:tcPr>
          <w:p>
            <w:r>
              <w:rPr>
                <w:sz w:val="18"/>
              </w:rPr>
              <w:t>SDS meesturen bij eerste levering + bij updates</w:t>
            </w:r>
          </w:p>
        </w:tc>
        <w:tc>
          <w:tcPr>
            <w:tcW w:type="dxa" w:w="2351"/>
          </w:tcPr>
          <w:p>
            <w:r>
              <w:rPr>
                <w:sz w:val="18"/>
              </w:rPr>
              <w:t>Distributielogboek</w:t>
            </w:r>
          </w:p>
        </w:tc>
      </w:tr>
      <w:tr>
        <w:tc>
          <w:tcPr>
            <w:tcW w:type="dxa" w:w="2351"/>
          </w:tcPr>
          <w:p>
            <w:r>
              <w:rPr>
                <w:sz w:val="18"/>
              </w:rPr>
              <w:t>5. Archivering</w:t>
            </w:r>
          </w:p>
        </w:tc>
        <w:tc>
          <w:tcPr>
            <w:tcW w:type="dxa" w:w="2351"/>
          </w:tcPr>
          <w:p>
            <w:r>
              <w:rPr>
                <w:sz w:val="18"/>
              </w:rPr>
              <w:t>HSEQ Specialist</w:t>
            </w:r>
          </w:p>
        </w:tc>
        <w:tc>
          <w:tcPr>
            <w:tcW w:type="dxa" w:w="2351"/>
          </w:tcPr>
          <w:p>
            <w:r>
              <w:rPr>
                <w:sz w:val="18"/>
              </w:rPr>
              <w:t>Oude versies archiveren, nieuwe versie in documentbeheersysteem</w:t>
            </w:r>
          </w:p>
        </w:tc>
        <w:tc>
          <w:tcPr>
            <w:tcW w:type="dxa" w:w="2351"/>
          </w:tcPr>
          <w:p>
            <w:r>
              <w:rPr>
                <w:sz w:val="18"/>
              </w:rPr>
              <w:t>Versiehistorie</w:t>
            </w:r>
          </w:p>
        </w:tc>
      </w:tr>
    </w:tbl>
    <w:p/>
    <w:p>
      <w:pPr>
        <w:pStyle w:val="Heading2"/>
      </w:pPr>
      <w:r>
        <w:t>5.2 Versiebeheer</w:t>
      </w:r>
    </w:p>
    <w:p>
      <w:r>
        <w:t>Elke SDS ontvangt een uniek versienummer (formaat vX.X). Een nieuwe versie wordt gepubliceerd bij:</w:t>
      </w:r>
    </w:p>
    <w:p>
      <w:pPr>
        <w:pStyle w:val="ListBullet"/>
      </w:pPr>
      <w:r>
        <w:t>Wijziging in chemische samenstelling of concentratiebereiken.</w:t>
      </w:r>
    </w:p>
    <w:p>
      <w:pPr>
        <w:pStyle w:val="ListBullet"/>
      </w:pPr>
      <w:r>
        <w:t>Nieuwe of gewijzigde CLP-indeling (bijv. nieuwe harmonisatie door ECHA).</w:t>
      </w:r>
    </w:p>
    <w:p>
      <w:pPr>
        <w:pStyle w:val="ListBullet"/>
      </w:pPr>
      <w:r>
        <w:t>Actualisatie van toxicologische of ecotoxicologische data.</w:t>
      </w:r>
    </w:p>
    <w:p>
      <w:pPr>
        <w:pStyle w:val="ListBullet"/>
      </w:pPr>
      <w:r>
        <w:t>Wijziging in REACH- of CLP-wetgeving (bijv. nieuwe ATP).</w:t>
      </w:r>
    </w:p>
    <w:p>
      <w:pPr>
        <w:pStyle w:val="ListBullet"/>
      </w:pPr>
      <w:r>
        <w:t>Signalering via downstream user of incident (art. 31(9)).</w:t>
      </w:r>
    </w:p>
    <w:p>
      <w:r>
        <w:t>Minimale herzieningsfrequentie: bij elke relevante wijziging, en uiterlijk elke 3 jaar een proactieve review.</w:t>
      </w:r>
    </w:p>
    <w:p>
      <w:pPr>
        <w:pStyle w:val="Heading2"/>
      </w:pPr>
      <w:r>
        <w:t>5.3 Distributie aan downstream users</w:t>
      </w:r>
    </w:p>
    <w:p>
      <w:r>
        <w:t>Conform REACH artikel 31(1) wordt de SDS kosteloos verstrekt aan elke ontvanger van het product, uiterlijk bij de eerste levering. Bij een wezenlijke update wordt de herziene SDS automatisch verzonden naar alle bekende downstream users. Distributie vindt plaats via:</w:t>
      </w:r>
    </w:p>
    <w:p>
      <w:pPr>
        <w:pStyle w:val="ListBullet"/>
      </w:pPr>
      <w:r>
        <w:t>Elektronisch (PDF) — standaardmethode, met leesbevestiging.</w:t>
      </w:r>
    </w:p>
    <w:p>
      <w:pPr>
        <w:pStyle w:val="ListBullet"/>
      </w:pPr>
      <w:r>
        <w:t>Papier — op verzoek van de ontvanger.</w:t>
      </w:r>
    </w:p>
    <w:p>
      <w:pPr>
        <w:pStyle w:val="ListBullet"/>
      </w:pPr>
      <w:r>
        <w:t>Via het ECHA-Submission-portaal (voor PCN-notificaties).</w:t>
      </w:r>
    </w:p>
    <w:p>
      <w:pPr>
        <w:pStyle w:val="Heading2"/>
      </w:pPr>
      <w:r>
        <w:t>5.4 Update-triggers</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sz w:val="18"/>
              </w:rPr>
              <w:t>Trigger</w:t>
            </w:r>
          </w:p>
        </w:tc>
        <w:tc>
          <w:tcPr>
            <w:tcW w:type="dxa" w:w="3135"/>
          </w:tcPr>
          <w:p>
            <w:r>
              <w:rPr>
                <w:b/>
                <w:sz w:val="18"/>
              </w:rPr>
              <w:t>Bron</w:t>
            </w:r>
          </w:p>
        </w:tc>
        <w:tc>
          <w:tcPr>
            <w:tcW w:type="dxa" w:w="3135"/>
          </w:tcPr>
          <w:p>
            <w:r>
              <w:rPr>
                <w:b/>
                <w:sz w:val="18"/>
              </w:rPr>
              <w:t>Actie</w:t>
            </w:r>
          </w:p>
        </w:tc>
      </w:tr>
      <w:tr>
        <w:tc>
          <w:tcPr>
            <w:tcW w:type="dxa" w:w="3135"/>
          </w:tcPr>
          <w:p>
            <w:r>
              <w:rPr>
                <w:sz w:val="18"/>
              </w:rPr>
              <w:t>Nieuwe wetgeving (ATP, REACH-amendement)</w:t>
            </w:r>
          </w:p>
        </w:tc>
        <w:tc>
          <w:tcPr>
            <w:tcW w:type="dxa" w:w="3135"/>
          </w:tcPr>
          <w:p>
            <w:r>
              <w:rPr>
                <w:sz w:val="18"/>
              </w:rPr>
              <w:t>ECHA / RIVM / overheid</w:t>
            </w:r>
          </w:p>
        </w:tc>
        <w:tc>
          <w:tcPr>
            <w:tcW w:type="dxa" w:w="3135"/>
          </w:tcPr>
          <w:p>
            <w:r>
              <w:rPr>
                <w:sz w:val="18"/>
              </w:rPr>
              <w:t>Impactanalyse → SDS-update → herziening</w:t>
            </w:r>
          </w:p>
        </w:tc>
      </w:tr>
      <w:tr>
        <w:tc>
          <w:tcPr>
            <w:tcW w:type="dxa" w:w="3135"/>
          </w:tcPr>
          <w:p>
            <w:r>
              <w:rPr>
                <w:sz w:val="18"/>
              </w:rPr>
              <w:t>Nieuwe toxicologische data</w:t>
            </w:r>
          </w:p>
        </w:tc>
        <w:tc>
          <w:tcPr>
            <w:tcW w:type="dxa" w:w="3135"/>
          </w:tcPr>
          <w:p>
            <w:r>
              <w:rPr>
                <w:sz w:val="18"/>
              </w:rPr>
              <w:t>Wetenschappelijke literatuur / ECHA</w:t>
            </w:r>
          </w:p>
        </w:tc>
        <w:tc>
          <w:tcPr>
            <w:tcW w:type="dxa" w:w="3135"/>
          </w:tcPr>
          <w:p>
            <w:r>
              <w:rPr>
                <w:sz w:val="18"/>
              </w:rPr>
              <w:t>Beoordeling → mogelijke herindeling → SDS-update</w:t>
            </w:r>
          </w:p>
        </w:tc>
      </w:tr>
      <w:tr>
        <w:tc>
          <w:tcPr>
            <w:tcW w:type="dxa" w:w="3135"/>
          </w:tcPr>
          <w:p>
            <w:r>
              <w:rPr>
                <w:sz w:val="18"/>
              </w:rPr>
              <w:t>Incident of klacht downstream user</w:t>
            </w:r>
          </w:p>
        </w:tc>
        <w:tc>
          <w:tcPr>
            <w:tcW w:type="dxa" w:w="3135"/>
          </w:tcPr>
          <w:p>
            <w:r>
              <w:rPr>
                <w:sz w:val="18"/>
              </w:rPr>
              <w:t>Klant / HSE-melding</w:t>
            </w:r>
          </w:p>
        </w:tc>
        <w:tc>
          <w:tcPr>
            <w:tcW w:type="dxa" w:w="3135"/>
          </w:tcPr>
          <w:p>
            <w:r>
              <w:rPr>
                <w:sz w:val="18"/>
              </w:rPr>
              <w:t>Onderzoek → zo nodig SDS-aanpassing</w:t>
            </w:r>
          </w:p>
        </w:tc>
      </w:tr>
      <w:tr>
        <w:tc>
          <w:tcPr>
            <w:tcW w:type="dxa" w:w="3135"/>
          </w:tcPr>
          <w:p>
            <w:r>
              <w:rPr>
                <w:sz w:val="18"/>
              </w:rPr>
              <w:t>Wijziging productieproces of samenstelling</w:t>
            </w:r>
          </w:p>
        </w:tc>
        <w:tc>
          <w:tcPr>
            <w:tcW w:type="dxa" w:w="3135"/>
          </w:tcPr>
          <w:p>
            <w:r>
              <w:rPr>
                <w:sz w:val="18"/>
              </w:rPr>
              <w:t>Lab / Productie</w:t>
            </w:r>
          </w:p>
        </w:tc>
        <w:tc>
          <w:tcPr>
            <w:tcW w:type="dxa" w:w="3135"/>
          </w:tcPr>
          <w:p>
            <w:r>
              <w:rPr>
                <w:sz w:val="18"/>
              </w:rPr>
              <w:t>Nieuwe samenstelling → SDS-revisie</w:t>
            </w:r>
          </w:p>
        </w:tc>
      </w:tr>
      <w:tr>
        <w:tc>
          <w:tcPr>
            <w:tcW w:type="dxa" w:w="3135"/>
          </w:tcPr>
          <w:p>
            <w:r>
              <w:rPr>
                <w:sz w:val="18"/>
              </w:rPr>
              <w:t>SVHC-toevoeging aan kandidatenlijst</w:t>
            </w:r>
          </w:p>
        </w:tc>
        <w:tc>
          <w:tcPr>
            <w:tcW w:type="dxa" w:w="3135"/>
          </w:tcPr>
          <w:p>
            <w:r>
              <w:rPr>
                <w:sz w:val="18"/>
              </w:rPr>
              <w:t>ECHA (tweemaal per jaar)</w:t>
            </w:r>
          </w:p>
        </w:tc>
        <w:tc>
          <w:tcPr>
            <w:tcW w:type="dxa" w:w="3135"/>
          </w:tcPr>
          <w:p>
            <w:r>
              <w:rPr>
                <w:sz w:val="18"/>
              </w:rPr>
              <w:t>Check of stof in product → artikel 33 communicatie + SDS-update</w:t>
            </w:r>
          </w:p>
        </w:tc>
      </w:tr>
    </w:tbl>
    <w:p/>
    <w:p>
      <w:pPr>
        <w:pStyle w:val="Heading2"/>
      </w:pPr>
      <w:r>
        <w:t>5.5 Oplevering in RETAIL-formaat</w:t>
      </w:r>
    </w:p>
    <w:p>
      <w:r>
        <w:t>Alle SDS'en worden opgeleverd conform het RETAIL-principe:</w:t>
      </w:r>
    </w:p>
    <w:p>
      <w:pPr>
        <w:pStyle w:val="ListBullet"/>
      </w:pPr>
      <w:r>
        <w:t>R — Readable: heldere taal, gestructureerde lay-out, leesbaar voor niet-chemici.</w:t>
      </w:r>
    </w:p>
    <w:p>
      <w:pPr>
        <w:pStyle w:val="ListBullet"/>
      </w:pPr>
      <w:r>
        <w:t>E — Exact: juiste CAS-nummers, concentratiebereiken, indelingen — geen afrondingen.</w:t>
      </w:r>
    </w:p>
    <w:p>
      <w:pPr>
        <w:pStyle w:val="ListBullet"/>
      </w:pPr>
      <w:r>
        <w:t>T — Timely: binnen 24 uur na eerste levering beschikbaar; updates binnen 14 dagen na trigger.</w:t>
      </w:r>
    </w:p>
    <w:p>
      <w:pPr>
        <w:pStyle w:val="ListBullet"/>
      </w:pPr>
      <w:r>
        <w:t>A — Accessible: digitaal beschikbaar, 24/7 raadpleegbaar voor downstream users.</w:t>
      </w:r>
    </w:p>
    <w:p>
      <w:pPr>
        <w:pStyle w:val="ListBullet"/>
      </w:pPr>
      <w:r>
        <w:t>I — Identified: unieke versienummer, datum, en goedkeurder per SDS traceerbaar.</w:t>
      </w:r>
    </w:p>
    <w:p>
      <w:pPr>
        <w:pStyle w:val="ListBullet"/>
      </w:pPr>
      <w:r>
        <w:t>L — Legal: volledig conform REACH Bijlage II, CLP, en nationale wetgeving.</w:t>
      </w:r>
    </w:p>
    <w:p>
      <w:r>
        <w:br w:type="page"/>
      </w:r>
    </w:p>
    <w:p>
      <w:pPr>
        <w:pStyle w:val="Heading1"/>
      </w:pPr>
      <w:r>
        <w:t>6. H5: Extended-SDS (eSDS) en Exposure Scenarios</w:t>
      </w:r>
    </w:p>
    <w:p>
      <w:pPr>
        <w:pStyle w:val="Heading2"/>
      </w:pPr>
      <w:r>
        <w:t>6.1 Wanneer is een eSDS vereist?</w:t>
      </w:r>
    </w:p>
    <w:p>
      <w:r>
        <w:t>Een extended-SDS (eSDS) is vereist wanneer Phoenix Metals een chemische veiligheidsbeoordeling (CSA) moet uitvoeren. Dit is het geval wanneer:</w:t>
      </w:r>
    </w:p>
    <w:p>
      <w:pPr>
        <w:pStyle w:val="ListBullet"/>
      </w:pPr>
      <w:r>
        <w:t>De stof wordt geproduceerd of geïmporteerd in een hoeveelheid ≥10 ton/jaar (REACH artikel 14).</w:t>
      </w:r>
    </w:p>
    <w:p>
      <w:pPr>
        <w:pStyle w:val="ListBullet"/>
      </w:pPr>
      <w:r>
        <w:t>De stof is ingedeeld als gevaarlijk of is PBT/vPvB.</w:t>
      </w:r>
    </w:p>
    <w:p>
      <w:pPr>
        <w:pStyle w:val="ListBullet"/>
      </w:pPr>
      <w:r>
        <w:t>Phoenix Metals als fabrikant verantwoordelijk is voor de registratie.</w:t>
      </w:r>
    </w:p>
    <w:p>
      <w:r>
        <w:t>Voor de huidige pilotfase (≤60 kg ash) is een eSDS niet verplicht. Bij opschaling naar commercieel productieniveau (&gt;10 ton/jaar) wordt deze wel vereist. De voorbereiding hierop is onderdeel van deze strategie.</w:t>
      </w:r>
    </w:p>
    <w:p>
      <w:pPr>
        <w:pStyle w:val="Heading2"/>
      </w:pPr>
      <w:r>
        <w:t>6.2 Exposure Scenarios voor Phoenix Metals</w:t>
      </w:r>
    </w:p>
    <w:p>
      <w:r>
        <w:t>Indien een eSDS vereist is, worden de volgende exposure scenarios (ES) verwacht:</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sz w:val="18"/>
              </w:rPr>
              <w:t>ES-nummer</w:t>
            </w:r>
          </w:p>
        </w:tc>
        <w:tc>
          <w:tcPr>
            <w:tcW w:type="dxa" w:w="2351"/>
          </w:tcPr>
          <w:p>
            <w:r>
              <w:rPr>
                <w:b/>
                <w:sz w:val="18"/>
              </w:rPr>
              <w:t>Scenario</w:t>
            </w:r>
          </w:p>
        </w:tc>
        <w:tc>
          <w:tcPr>
            <w:tcW w:type="dxa" w:w="2351"/>
          </w:tcPr>
          <w:p>
            <w:r>
              <w:rPr>
                <w:b/>
                <w:sz w:val="18"/>
              </w:rPr>
              <w:t>Beschrijving</w:t>
            </w:r>
          </w:p>
        </w:tc>
        <w:tc>
          <w:tcPr>
            <w:tcW w:type="dxa" w:w="2351"/>
          </w:tcPr>
          <w:p>
            <w:r>
              <w:rPr>
                <w:b/>
                <w:sz w:val="18"/>
              </w:rPr>
              <w:t>Target users</w:t>
            </w:r>
          </w:p>
        </w:tc>
      </w:tr>
      <w:tr>
        <w:tc>
          <w:tcPr>
            <w:tcW w:type="dxa" w:w="2351"/>
          </w:tcPr>
          <w:p>
            <w:r>
              <w:rPr>
                <w:sz w:val="18"/>
              </w:rPr>
              <w:t>ES1</w:t>
            </w:r>
          </w:p>
        </w:tc>
        <w:tc>
          <w:tcPr>
            <w:tcW w:type="dxa" w:w="2351"/>
          </w:tcPr>
          <w:p>
            <w:r>
              <w:rPr>
                <w:sz w:val="18"/>
              </w:rPr>
              <w:t>Productie van vanadium-elektrolyt</w:t>
            </w:r>
          </w:p>
        </w:tc>
        <w:tc>
          <w:tcPr>
            <w:tcW w:type="dxa" w:w="2351"/>
          </w:tcPr>
          <w:p>
            <w:r>
              <w:rPr>
                <w:sz w:val="18"/>
              </w:rPr>
              <w:t>Leaching, zuurextractie, elektrolyse uit SARU ash</w:t>
            </w:r>
          </w:p>
        </w:tc>
        <w:tc>
          <w:tcPr>
            <w:tcW w:type="dxa" w:w="2351"/>
          </w:tcPr>
          <w:p>
            <w:r>
              <w:rPr>
                <w:sz w:val="18"/>
              </w:rPr>
              <w:t>Phoenix Metals eigen medewerkers</w:t>
            </w:r>
          </w:p>
        </w:tc>
      </w:tr>
      <w:tr>
        <w:tc>
          <w:tcPr>
            <w:tcW w:type="dxa" w:w="2351"/>
          </w:tcPr>
          <w:p>
            <w:r>
              <w:rPr>
                <w:sz w:val="18"/>
              </w:rPr>
              <w:t>ES2</w:t>
            </w:r>
          </w:p>
        </w:tc>
        <w:tc>
          <w:tcPr>
            <w:tcW w:type="dxa" w:w="2351"/>
          </w:tcPr>
          <w:p>
            <w:r>
              <w:rPr>
                <w:sz w:val="18"/>
              </w:rPr>
              <w:t>Opslag en distributie</w:t>
            </w:r>
          </w:p>
        </w:tc>
        <w:tc>
          <w:tcPr>
            <w:tcW w:type="dxa" w:w="2351"/>
          </w:tcPr>
          <w:p>
            <w:r>
              <w:rPr>
                <w:sz w:val="18"/>
              </w:rPr>
              <w:t>Opslag in IBC's/tanks, laden/lossen transportvoertuigen</w:t>
            </w:r>
          </w:p>
        </w:tc>
        <w:tc>
          <w:tcPr>
            <w:tcW w:type="dxa" w:w="2351"/>
          </w:tcPr>
          <w:p>
            <w:r>
              <w:rPr>
                <w:sz w:val="18"/>
              </w:rPr>
              <w:t>Logistiek personeel, transporteurs</w:t>
            </w:r>
          </w:p>
        </w:tc>
      </w:tr>
      <w:tr>
        <w:tc>
          <w:tcPr>
            <w:tcW w:type="dxa" w:w="2351"/>
          </w:tcPr>
          <w:p>
            <w:r>
              <w:rPr>
                <w:sz w:val="18"/>
              </w:rPr>
              <w:t>ES3</w:t>
            </w:r>
          </w:p>
        </w:tc>
        <w:tc>
          <w:tcPr>
            <w:tcW w:type="dxa" w:w="2351"/>
          </w:tcPr>
          <w:p>
            <w:r>
              <w:rPr>
                <w:sz w:val="18"/>
              </w:rPr>
              <w:t>Gebruik in VRFB-systemen</w:t>
            </w:r>
          </w:p>
        </w:tc>
        <w:tc>
          <w:tcPr>
            <w:tcW w:type="dxa" w:w="2351"/>
          </w:tcPr>
          <w:p>
            <w:r>
              <w:rPr>
                <w:sz w:val="18"/>
              </w:rPr>
              <w:t>Elektrolyt vullen in batterijtanks, onderhoud</w:t>
            </w:r>
          </w:p>
        </w:tc>
        <w:tc>
          <w:tcPr>
            <w:tcW w:type="dxa" w:w="2351"/>
          </w:tcPr>
          <w:p>
            <w:r>
              <w:rPr>
                <w:sz w:val="18"/>
              </w:rPr>
              <w:t>VRFB-fabrikanten, installateurs</w:t>
            </w:r>
          </w:p>
        </w:tc>
      </w:tr>
      <w:tr>
        <w:tc>
          <w:tcPr>
            <w:tcW w:type="dxa" w:w="2351"/>
          </w:tcPr>
          <w:p>
            <w:r>
              <w:rPr>
                <w:sz w:val="18"/>
              </w:rPr>
              <w:t>ES4</w:t>
            </w:r>
          </w:p>
        </w:tc>
        <w:tc>
          <w:tcPr>
            <w:tcW w:type="dxa" w:w="2351"/>
          </w:tcPr>
          <w:p>
            <w:r>
              <w:rPr>
                <w:sz w:val="18"/>
              </w:rPr>
              <w:t>Onderhoud en reiniging</w:t>
            </w:r>
          </w:p>
        </w:tc>
        <w:tc>
          <w:tcPr>
            <w:tcW w:type="dxa" w:w="2351"/>
          </w:tcPr>
          <w:p>
            <w:r>
              <w:rPr>
                <w:sz w:val="18"/>
              </w:rPr>
              <w:t>Reiniging apparatuur, afvoer reststromen</w:t>
            </w:r>
          </w:p>
        </w:tc>
        <w:tc>
          <w:tcPr>
            <w:tcW w:type="dxa" w:w="2351"/>
          </w:tcPr>
          <w:p>
            <w:r>
              <w:rPr>
                <w:sz w:val="18"/>
              </w:rPr>
              <w:t>Onderheidspersoneel</w:t>
            </w:r>
          </w:p>
        </w:tc>
      </w:tr>
    </w:tbl>
    <w:p/>
    <w:p>
      <w:pPr>
        <w:pStyle w:val="Heading2"/>
      </w:pPr>
      <w:r>
        <w:t>6.3 Communicatie aan downstream users</w:t>
      </w:r>
    </w:p>
    <w:p>
      <w:r>
        <w:t>Bij een eSDS ontvangt de downstream user niet alleen het veiligheidsinformatieblad, maar ook de relevante exposure scenarios als bijlage. De downstream user moet bevestigen dat zijn gebruik binnen het beschreven scenario valt. Indien niet, moet hij Phoenix Metals hierover informeren (REACH artikel 38). Phoenix Metals registreert deze communicatie in het klantbeheersysteem.</w:t>
      </w:r>
    </w:p>
    <w:p>
      <w:r>
        <w:br w:type="page"/>
      </w:r>
    </w:p>
    <w:p>
      <w:pPr>
        <w:pStyle w:val="Heading1"/>
      </w:pPr>
      <w:r>
        <w:t>7. H6: Bronnen- en Templatebeheer</w:t>
      </w:r>
    </w:p>
    <w:p>
      <w:pPr>
        <w:pStyle w:val="Heading2"/>
      </w:pPr>
      <w:r>
        <w:t>7.1 SDS-templates</w:t>
      </w:r>
    </w:p>
    <w:p>
      <w:r>
        <w:t>Phoenix Metals hanteert het ECHA-standaardformaat voor veiligheidsinformatiebladen. Templates zijn beschikbaar via:</w:t>
      </w:r>
    </w:p>
    <w:p>
      <w:pPr>
        <w:pStyle w:val="ListBullet"/>
      </w:pPr>
      <w:r>
        <w:t>ECHA SDS-template (ECHA website, 'Practical Guide' sectie).</w:t>
      </w:r>
    </w:p>
    <w:p>
      <w:pPr>
        <w:pStyle w:val="ListBullet"/>
      </w:pPr>
      <w:r>
        <w:t>ECHA Comply — online tool voor SDS-opstelling en validatie.</w:t>
      </w:r>
    </w:p>
    <w:p>
      <w:pPr>
        <w:pStyle w:val="ListBullet"/>
      </w:pPr>
      <w:r>
        <w:t>Branchegenoot templates (via Vanadium Consortium).</w:t>
      </w:r>
    </w:p>
    <w:p>
      <w:pPr>
        <w:pStyle w:val="ListBullet"/>
      </w:pPr>
      <w:r>
        <w:t>Interne template: opgeslagen in /deliverables/templates/ met Phoenix Metals huisstijl.</w:t>
      </w:r>
    </w:p>
    <w:p>
      <w:pPr>
        <w:pStyle w:val="Heading2"/>
      </w:pPr>
      <w:r>
        <w:t>7.2 Brondata: MSDS's van leveranciers</w:t>
      </w:r>
    </w:p>
    <w:p>
      <w:r>
        <w:t>De volgende MSDS's van leveranciers vormen de brongegevens voor de eigen SDS-opstelling:</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sz w:val="18"/>
              </w:rPr>
              <w:t>Stof</w:t>
            </w:r>
          </w:p>
        </w:tc>
        <w:tc>
          <w:tcPr>
            <w:tcW w:type="dxa" w:w="2351"/>
          </w:tcPr>
          <w:p>
            <w:r>
              <w:rPr>
                <w:b/>
                <w:sz w:val="18"/>
              </w:rPr>
              <w:t>Leverancier</w:t>
            </w:r>
          </w:p>
        </w:tc>
        <w:tc>
          <w:tcPr>
            <w:tcW w:type="dxa" w:w="2351"/>
          </w:tcPr>
          <w:p>
            <w:r>
              <w:rPr>
                <w:b/>
                <w:sz w:val="18"/>
              </w:rPr>
              <w:t>Document</w:t>
            </w:r>
          </w:p>
        </w:tc>
        <w:tc>
          <w:tcPr>
            <w:tcW w:type="dxa" w:w="2351"/>
          </w:tcPr>
          <w:p>
            <w:r>
              <w:rPr>
                <w:b/>
                <w:sz w:val="18"/>
              </w:rPr>
              <w:t>Versie</w:t>
            </w:r>
          </w:p>
        </w:tc>
      </w:tr>
      <w:tr>
        <w:tc>
          <w:tcPr>
            <w:tcW w:type="dxa" w:w="2351"/>
          </w:tcPr>
          <w:p>
            <w:r>
              <w:rPr>
                <w:sz w:val="18"/>
              </w:rPr>
              <w:t>Zwavelzuur 25-75%</w:t>
            </w:r>
          </w:p>
        </w:tc>
        <w:tc>
          <w:tcPr>
            <w:tcW w:type="dxa" w:w="2351"/>
          </w:tcPr>
          <w:p>
            <w:r>
              <w:rPr>
                <w:sz w:val="18"/>
              </w:rPr>
              <w:t>Carl Roth / RCI Labscan</w:t>
            </w:r>
          </w:p>
        </w:tc>
        <w:tc>
          <w:tcPr>
            <w:tcW w:type="dxa" w:w="2351"/>
          </w:tcPr>
          <w:p>
            <w:r>
              <w:rPr>
                <w:sz w:val="18"/>
              </w:rPr>
              <w:t>Sulfuric acid 25-75% SDS</w:t>
            </w:r>
          </w:p>
        </w:tc>
        <w:tc>
          <w:tcPr>
            <w:tcW w:type="dxa" w:w="2351"/>
          </w:tcPr>
          <w:p>
            <w:r>
              <w:rPr>
                <w:sz w:val="18"/>
              </w:rPr>
              <w:t>RV.00, juli 2021</w:t>
            </w:r>
          </w:p>
        </w:tc>
      </w:tr>
      <w:tr>
        <w:tc>
          <w:tcPr>
            <w:tcW w:type="dxa" w:w="2351"/>
          </w:tcPr>
          <w:p>
            <w:r>
              <w:rPr>
                <w:sz w:val="18"/>
              </w:rPr>
              <w:t>NaOH 50%</w:t>
            </w:r>
          </w:p>
        </w:tc>
        <w:tc>
          <w:tcPr>
            <w:tcW w:type="dxa" w:w="2351"/>
          </w:tcPr>
          <w:p>
            <w:r>
              <w:rPr>
                <w:sz w:val="18"/>
              </w:rPr>
              <w:t>Carl Roth / Merck</w:t>
            </w:r>
          </w:p>
        </w:tc>
        <w:tc>
          <w:tcPr>
            <w:tcW w:type="dxa" w:w="2351"/>
          </w:tcPr>
          <w:p>
            <w:r>
              <w:rPr>
                <w:sz w:val="18"/>
              </w:rPr>
              <w:t>Sodium hydroxide 50% SDS</w:t>
            </w:r>
          </w:p>
        </w:tc>
        <w:tc>
          <w:tcPr>
            <w:tcW w:type="dxa" w:w="2351"/>
          </w:tcPr>
          <w:p>
            <w:r>
              <w:rPr>
                <w:sz w:val="18"/>
              </w:rPr>
              <w:t>v6.9, juli 2024</w:t>
            </w:r>
          </w:p>
        </w:tc>
      </w:tr>
      <w:tr>
        <w:tc>
          <w:tcPr>
            <w:tcW w:type="dxa" w:w="2351"/>
          </w:tcPr>
          <w:p>
            <w:r>
              <w:rPr>
                <w:sz w:val="18"/>
              </w:rPr>
              <w:t>Vanadium concentrate</w:t>
            </w:r>
          </w:p>
        </w:tc>
        <w:tc>
          <w:tcPr>
            <w:tcW w:type="dxa" w:w="2351"/>
          </w:tcPr>
          <w:p>
            <w:r>
              <w:rPr>
                <w:sz w:val="18"/>
              </w:rPr>
              <w:t>Shell Pernis (historisch)</w:t>
            </w:r>
          </w:p>
        </w:tc>
        <w:tc>
          <w:tcPr>
            <w:tcW w:type="dxa" w:w="2351"/>
          </w:tcPr>
          <w:p>
            <w:r>
              <w:rPr>
                <w:sz w:val="18"/>
              </w:rPr>
              <w:t>Vanadium concentrate V1</w:t>
            </w:r>
          </w:p>
        </w:tc>
        <w:tc>
          <w:tcPr>
            <w:tcW w:type="dxa" w:w="2351"/>
          </w:tcPr>
          <w:p>
            <w:r>
              <w:rPr>
                <w:sz w:val="18"/>
              </w:rPr>
              <w:t>Versie 1</w:t>
            </w:r>
          </w:p>
        </w:tc>
      </w:tr>
      <w:tr>
        <w:tc>
          <w:tcPr>
            <w:tcW w:type="dxa" w:w="2351"/>
          </w:tcPr>
          <w:p>
            <w:r>
              <w:rPr>
                <w:sz w:val="18"/>
              </w:rPr>
              <w:t>Aluminiumsulfaat</w:t>
            </w:r>
          </w:p>
        </w:tc>
        <w:tc>
          <w:tcPr>
            <w:tcW w:type="dxa" w:w="2351"/>
          </w:tcPr>
          <w:p>
            <w:r>
              <w:rPr>
                <w:sz w:val="18"/>
              </w:rPr>
              <w:t>Carl Roth</w:t>
            </w:r>
          </w:p>
        </w:tc>
        <w:tc>
          <w:tcPr>
            <w:tcW w:type="dxa" w:w="2351"/>
          </w:tcPr>
          <w:p>
            <w:r>
              <w:rPr>
                <w:sz w:val="18"/>
              </w:rPr>
              <w:t>Aluminum sulfate SDS</w:t>
            </w:r>
          </w:p>
        </w:tc>
        <w:tc>
          <w:tcPr>
            <w:tcW w:type="dxa" w:w="2351"/>
          </w:tcPr>
          <w:p>
            <w:r>
              <w:rPr>
                <w:sz w:val="18"/>
              </w:rPr>
              <w:t>Leveranciersversie</w:t>
            </w:r>
          </w:p>
        </w:tc>
      </w:tr>
      <w:tr>
        <w:tc>
          <w:tcPr>
            <w:tcW w:type="dxa" w:w="2351"/>
          </w:tcPr>
          <w:p>
            <w:r>
              <w:rPr>
                <w:sz w:val="18"/>
              </w:rPr>
              <w:t>Calciumoxide</w:t>
            </w:r>
          </w:p>
        </w:tc>
        <w:tc>
          <w:tcPr>
            <w:tcW w:type="dxa" w:w="2351"/>
          </w:tcPr>
          <w:p>
            <w:r>
              <w:rPr>
                <w:sz w:val="18"/>
              </w:rPr>
              <w:t>Carl Roth</w:t>
            </w:r>
          </w:p>
        </w:tc>
        <w:tc>
          <w:tcPr>
            <w:tcW w:type="dxa" w:w="2351"/>
          </w:tcPr>
          <w:p>
            <w:r>
              <w:rPr>
                <w:sz w:val="18"/>
              </w:rPr>
              <w:t>Calcium oxide SDS</w:t>
            </w:r>
          </w:p>
        </w:tc>
        <w:tc>
          <w:tcPr>
            <w:tcW w:type="dxa" w:w="2351"/>
          </w:tcPr>
          <w:p>
            <w:r>
              <w:rPr>
                <w:sz w:val="18"/>
              </w:rPr>
              <w:t>Leveranciersversie</w:t>
            </w:r>
          </w:p>
        </w:tc>
      </w:tr>
    </w:tbl>
    <w:p/>
    <w:p>
      <w:r>
        <w:t>Let op: deze SDS'en gelden ALS BRON voor samenstellings- en indelingsinformatie. Phoenix Metals stelt ZELF de SDS op voor de eindproducten en mengsels.</w:t>
      </w:r>
    </w:p>
    <w:p>
      <w:pPr>
        <w:pStyle w:val="Heading2"/>
      </w:pPr>
      <w:r>
        <w:t>7.3 Vanadium Consortium registratiegegevens</w:t>
      </w:r>
    </w:p>
    <w:p>
      <w:r>
        <w:t>Het Vanadium REACH Consortium (vanadiumconsortium.com) heeft 19 stoffen geregistreerd. Voor Phoenix Metals zijn de volgende registraties relevant:</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sz w:val="18"/>
              </w:rPr>
              <w:t>Stof</w:t>
            </w:r>
          </w:p>
        </w:tc>
        <w:tc>
          <w:tcPr>
            <w:tcW w:type="dxa" w:w="2351"/>
          </w:tcPr>
          <w:p>
            <w:r>
              <w:rPr>
                <w:b/>
                <w:sz w:val="18"/>
              </w:rPr>
              <w:t>EC-nummer</w:t>
            </w:r>
          </w:p>
        </w:tc>
        <w:tc>
          <w:tcPr>
            <w:tcW w:type="dxa" w:w="2351"/>
          </w:tcPr>
          <w:p>
            <w:r>
              <w:rPr>
                <w:b/>
                <w:sz w:val="18"/>
              </w:rPr>
              <w:t>CAS-nummer</w:t>
            </w:r>
          </w:p>
        </w:tc>
        <w:tc>
          <w:tcPr>
            <w:tcW w:type="dxa" w:w="2351"/>
          </w:tcPr>
          <w:p>
            <w:r>
              <w:rPr>
                <w:b/>
                <w:sz w:val="18"/>
              </w:rPr>
              <w:t>Relevantie</w:t>
            </w:r>
          </w:p>
        </w:tc>
      </w:tr>
      <w:tr>
        <w:tc>
          <w:tcPr>
            <w:tcW w:type="dxa" w:w="2351"/>
          </w:tcPr>
          <w:p>
            <w:r>
              <w:rPr>
                <w:sz w:val="18"/>
              </w:rPr>
              <w:t>Sodium metavanadate</w:t>
            </w:r>
          </w:p>
        </w:tc>
        <w:tc>
          <w:tcPr>
            <w:tcW w:type="dxa" w:w="2351"/>
          </w:tcPr>
          <w:p>
            <w:r>
              <w:rPr>
                <w:sz w:val="18"/>
              </w:rPr>
              <w:t>237-272-7</w:t>
            </w:r>
          </w:p>
        </w:tc>
        <w:tc>
          <w:tcPr>
            <w:tcW w:type="dxa" w:w="2351"/>
          </w:tcPr>
          <w:p>
            <w:r>
              <w:rPr>
                <w:sz w:val="18"/>
              </w:rPr>
              <w:t>13718-26-8</w:t>
            </w:r>
          </w:p>
        </w:tc>
        <w:tc>
          <w:tcPr>
            <w:tcW w:type="dxa" w:w="2351"/>
          </w:tcPr>
          <w:p>
            <w:r>
              <w:rPr>
                <w:sz w:val="18"/>
              </w:rPr>
              <w:t>Bestanddeel van SARU ash</w:t>
            </w:r>
          </w:p>
        </w:tc>
      </w:tr>
      <w:tr>
        <w:tc>
          <w:tcPr>
            <w:tcW w:type="dxa" w:w="2351"/>
          </w:tcPr>
          <w:p>
            <w:r>
              <w:rPr>
                <w:sz w:val="18"/>
              </w:rPr>
              <w:t>Divanadium pentaoxide (V₂O₅)</w:t>
            </w:r>
          </w:p>
        </w:tc>
        <w:tc>
          <w:tcPr>
            <w:tcW w:type="dxa" w:w="2351"/>
          </w:tcPr>
          <w:p>
            <w:r>
              <w:rPr>
                <w:sz w:val="18"/>
              </w:rPr>
              <w:t>215-239-8</w:t>
            </w:r>
          </w:p>
        </w:tc>
        <w:tc>
          <w:tcPr>
            <w:tcW w:type="dxa" w:w="2351"/>
          </w:tcPr>
          <w:p>
            <w:r>
              <w:rPr>
                <w:sz w:val="18"/>
              </w:rPr>
              <w:t>1314-62-1</w:t>
            </w:r>
          </w:p>
        </w:tc>
        <w:tc>
          <w:tcPr>
            <w:tcW w:type="dxa" w:w="2351"/>
          </w:tcPr>
          <w:p>
            <w:r>
              <w:rPr>
                <w:sz w:val="18"/>
              </w:rPr>
              <w:t>Primair gevaarlijk bestanddeel</w:t>
            </w:r>
          </w:p>
        </w:tc>
      </w:tr>
      <w:tr>
        <w:tc>
          <w:tcPr>
            <w:tcW w:type="dxa" w:w="2351"/>
          </w:tcPr>
          <w:p>
            <w:r>
              <w:rPr>
                <w:sz w:val="18"/>
              </w:rPr>
              <w:t>Vanadium oxide sulphate</w:t>
            </w:r>
          </w:p>
        </w:tc>
        <w:tc>
          <w:tcPr>
            <w:tcW w:type="dxa" w:w="2351"/>
          </w:tcPr>
          <w:p>
            <w:r>
              <w:rPr>
                <w:sz w:val="18"/>
              </w:rPr>
              <w:t>248-652-7</w:t>
            </w:r>
          </w:p>
        </w:tc>
        <w:tc>
          <w:tcPr>
            <w:tcW w:type="dxa" w:w="2351"/>
          </w:tcPr>
          <w:p>
            <w:r>
              <w:rPr>
                <w:sz w:val="18"/>
              </w:rPr>
              <w:t>27774-13-6</w:t>
            </w:r>
          </w:p>
        </w:tc>
        <w:tc>
          <w:tcPr>
            <w:tcW w:type="dxa" w:w="2351"/>
          </w:tcPr>
          <w:p>
            <w:r>
              <w:rPr>
                <w:sz w:val="18"/>
              </w:rPr>
              <w:t>Eindproduct (elektrolyt)</w:t>
            </w:r>
          </w:p>
        </w:tc>
      </w:tr>
      <w:tr>
        <w:tc>
          <w:tcPr>
            <w:tcW w:type="dxa" w:w="2351"/>
          </w:tcPr>
          <w:p>
            <w:r>
              <w:rPr>
                <w:sz w:val="18"/>
              </w:rPr>
              <w:t>Slags, steelmaking, vanadium</w:t>
            </w:r>
          </w:p>
        </w:tc>
        <w:tc>
          <w:tcPr>
            <w:tcW w:type="dxa" w:w="2351"/>
          </w:tcPr>
          <w:p>
            <w:r>
              <w:rPr>
                <w:sz w:val="18"/>
              </w:rPr>
              <w:t>273-734-4</w:t>
            </w:r>
          </w:p>
        </w:tc>
        <w:tc>
          <w:tcPr>
            <w:tcW w:type="dxa" w:w="2351"/>
          </w:tcPr>
          <w:p>
            <w:r>
              <w:rPr>
                <w:sz w:val="18"/>
              </w:rPr>
              <w:t>60912-34-6</w:t>
            </w:r>
          </w:p>
        </w:tc>
        <w:tc>
          <w:tcPr>
            <w:tcW w:type="dxa" w:w="2351"/>
          </w:tcPr>
          <w:p>
            <w:r>
              <w:rPr>
                <w:sz w:val="18"/>
              </w:rPr>
              <w:t>Feedstock (SARU ash UVCB)</w:t>
            </w:r>
          </w:p>
        </w:tc>
      </w:tr>
      <w:tr>
        <w:tc>
          <w:tcPr>
            <w:tcW w:type="dxa" w:w="2351"/>
          </w:tcPr>
          <w:p>
            <w:r>
              <w:rPr>
                <w:sz w:val="18"/>
              </w:rPr>
              <w:t>Divanadium tris(sulphate)</w:t>
            </w:r>
          </w:p>
        </w:tc>
        <w:tc>
          <w:tcPr>
            <w:tcW w:type="dxa" w:w="2351"/>
          </w:tcPr>
          <w:p>
            <w:r>
              <w:rPr>
                <w:sz w:val="18"/>
              </w:rPr>
              <w:t>237-226-6</w:t>
            </w:r>
          </w:p>
        </w:tc>
        <w:tc>
          <w:tcPr>
            <w:tcW w:type="dxa" w:w="2351"/>
          </w:tcPr>
          <w:p>
            <w:r>
              <w:rPr>
                <w:sz w:val="18"/>
              </w:rPr>
              <w:t>13701-70-7</w:t>
            </w:r>
          </w:p>
        </w:tc>
        <w:tc>
          <w:tcPr>
            <w:tcW w:type="dxa" w:w="2351"/>
          </w:tcPr>
          <w:p>
            <w:r>
              <w:rPr>
                <w:sz w:val="18"/>
              </w:rPr>
              <w:t>Mogelijk bijproduct</w:t>
            </w:r>
          </w:p>
        </w:tc>
      </w:tr>
    </w:tbl>
    <w:p/>
    <w:p>
      <w:pPr>
        <w:pStyle w:val="Heading2"/>
      </w:pPr>
      <w:r>
        <w:t>7.4 Externe database-referenties</w:t>
      </w:r>
    </w:p>
    <w:p>
      <w:pPr>
        <w:pStyle w:val="ListBullet"/>
      </w:pPr>
      <w:r>
        <w:t>ECHA Classification &amp; Labelling Inventory — echa.europa.eu/information-on-chemicals/cl-inventory</w:t>
      </w:r>
    </w:p>
    <w:p>
      <w:pPr>
        <w:pStyle w:val="ListBullet"/>
      </w:pPr>
      <w:r>
        <w:t>ESIS (European chemical Substances Information System) — esis.jrc.ec.europa.eu</w:t>
      </w:r>
    </w:p>
    <w:p>
      <w:pPr>
        <w:pStyle w:val="ListBullet"/>
      </w:pPr>
      <w:r>
        <w:t>Chemwatch (indien geabonneerd) — chemwatch.net</w:t>
      </w:r>
    </w:p>
    <w:p>
      <w:pPr>
        <w:pStyle w:val="ListBullet"/>
      </w:pPr>
      <w:r>
        <w:t>IARC Monographs — monographs.iarc.who.int (V₂O₅: Group 2B)</w:t>
      </w:r>
    </w:p>
    <w:p>
      <w:pPr>
        <w:pStyle w:val="ListBullet"/>
      </w:pPr>
      <w:r>
        <w:t>RIVM ZNH-lijst (Zone-Nieuwe-Stoffen) — rivm.nl</w:t>
      </w:r>
    </w:p>
    <w:p>
      <w:pPr>
        <w:pStyle w:val="ListBullet"/>
      </w:pPr>
      <w:r>
        <w:t>SER Grenswaardenlijst — ser.nl (V₂O₅: 0,05 mg/m³ TWA)</w:t>
      </w:r>
    </w:p>
    <w:p>
      <w:r>
        <w:br w:type="page"/>
      </w:r>
    </w:p>
    <w:p>
      <w:pPr>
        <w:pStyle w:val="Heading1"/>
      </w:pPr>
      <w:r>
        <w:t>8. Bronverwijzingen</w:t>
      </w:r>
    </w:p>
    <w:p>
      <w:r>
        <w:t>1. REACH — Verordening (EG) nr. 1907/2006, Titel IV, Hoofdstuk 1 (Art. 31-32).</w:t>
      </w:r>
    </w:p>
    <w:p>
      <w:r>
        <w:t>2. CLP — Verordening (EG) nr. 1272/2008, inclusief ATP's t/m de 19e ATP.</w:t>
      </w:r>
    </w:p>
    <w:p>
      <w:r>
        <w:t>3. ECHA (2020), Richtsnoer voor het samenstellen van veiligheidsinformatiebladen, Versie 4.0, December 2020. Ref: ECHA-20-H-25-EN.</w:t>
      </w:r>
    </w:p>
    <w:p>
      <w:r>
        <w:t>4. ECHA (2021), Guidance on Labelling and Packaging in accordance with Regulation (EC) No 1272/2008, Versie 4.2, Maart 2021. Ref: ECHA-21-G-02-EN.</w:t>
      </w:r>
    </w:p>
    <w:p>
      <w:r>
        <w:t>5. ECHA (2012), Practical Guide 15: How to undertake a qualitative human health assessment. Ref: ECHA-12-B-49-EN.</w:t>
      </w:r>
    </w:p>
    <w:p>
      <w:r>
        <w:t>6. ECHA (2012), Part G: Guidance on the Compilation of Safety Data Sheets (IR&amp;CSA).</w:t>
      </w:r>
    </w:p>
    <w:p>
      <w:r>
        <w:t>7. Verordening (EU) 2020/878 — wijziging van REACH Bijlage II (SDS-formaat).</w:t>
      </w:r>
    </w:p>
    <w:p>
      <w:r>
        <w:t>8. Phoenix Metals (2024), Registration Chemicals — MASTER (v2.1.0). Intern document.</w:t>
      </w:r>
    </w:p>
    <w:p>
      <w:r>
        <w:t>9. Carl Roth / RCI Labscan, Sulfuric acid 25-75% SDS (RV.00, juli 2021).</w:t>
      </w:r>
    </w:p>
    <w:p>
      <w:r>
        <w:t>10. Merck / MilliporeSigma, Sodium hydroxide 50% SDS (v6.9, juli 2024).</w:t>
      </w:r>
    </w:p>
    <w:p>
      <w:r>
        <w:t>11. Vanadium REACH Consortium, vanadiumconsortium.com — Substances &amp; Data Sharing.</w:t>
      </w:r>
    </w:p>
    <w:p>
      <w:r>
        <w:t>12. SER (2024), Grenswaardenlijst gevaarlijke stoffen — Vanadiumpentoxide.</w:t>
      </w:r>
    </w:p>
    <w:p>
      <w:r>
        <w:t>13. IARC (2024), IARC Monographs, Volume 100F — Vanadium pentoxide (Group 2B).</w:t>
      </w:r>
    </w:p>
    <w:p>
      <w:r>
        <w:t>14. Phoenix Metals (2024), RI&amp;E Gevaarlijke stoffen V3.0 — Rapportage verdiepend.</w:t>
      </w:r>
    </w:p>
    <w:p>
      <w:r>
        <w:t>15. Phoenix Metals (2024), HSE Policy document.</w:t>
      </w:r>
    </w:p>
    <w:p/>
    <w:p>
      <w:pPr>
        <w:jc w:val="center"/>
      </w:pPr>
      <w:r>
        <w:rPr>
          <w:color w:val="999999"/>
          <w:sz w:val="20"/>
        </w:rPr>
        <w:t>— Einde document —</w:t>
      </w:r>
    </w:p>
    <w:p>
      <w:pPr>
        <w:jc w:val="center"/>
      </w:pPr>
      <w:r>
        <w:rPr>
          <w:color w:val="999999"/>
          <w:sz w:val="16"/>
        </w:rPr>
        <w:t>Phoenix Metals B.V. | REACH D3 v4.0 | 19 april 2026 | Vertrouwelijk</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B3A5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B3A5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B3A5C"/>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