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color w:val="1B3A5C"/>
          <w:sz w:val="56"/>
        </w:rPr>
        <w:t>VIB/SDS STRATEGIE</w:t>
      </w:r>
    </w:p>
    <w:p>
      <w:pPr>
        <w:jc w:val="center"/>
      </w:pPr>
      <w:r>
        <w:rPr>
          <w:color w:val="4472C4"/>
          <w:sz w:val="32"/>
        </w:rPr>
        <w:t>Phoenix Metals B.V. — Vanadiumhalffabrikaat</w:t>
        <w:br/>
        <w:t>REACH Compliance D3 v3.0</w:t>
      </w:r>
    </w:p>
    <w:p>
      <w:pPr>
        <w:jc w:val="center"/>
      </w:pPr>
      <w:r>
        <w:rPr>
          <w:color w:val="606060"/>
          <w:sz w:val="22"/>
        </w:rPr>
        <w:br/>
        <w:t>JvG Consultancy</w:t>
        <w:br/>
        <w:t>2026-04-16</w:t>
        <w:br/>
        <w:t>Vertrouwelijk</w:t>
      </w:r>
    </w:p>
    <w:p>
      <w:r>
        <w:br w:type="page"/>
      </w:r>
    </w:p>
    <w:p>
      <w:pPr>
        <w:pStyle w:val="Heading1"/>
      </w:pPr>
      <w:r>
        <w:t>Inhoudsopgave</w:t>
      </w:r>
    </w:p>
    <w:p>
      <w:r>
        <w:t>1. Executive Summary</w:t>
      </w:r>
    </w:p>
    <w:p>
      <w:r>
        <w:t>2. VIB/SDS Stappenplan</w:t>
      </w:r>
    </w:p>
    <w:p>
      <w:r>
        <w:t>3. Wanneer is een SDS verplicht?</w:t>
      </w:r>
    </w:p>
    <w:p>
      <w:r>
        <w:t>4. 16-Secties Tabel</w:t>
      </w:r>
    </w:p>
    <w:p>
      <w:r>
        <w:t>5. Exposure Scenarios &amp; Safe Use</w:t>
      </w:r>
    </w:p>
    <w:p>
      <w:r>
        <w:t>6. e-SDS vs Papieren SDS</w:t>
      </w:r>
    </w:p>
    <w:p>
      <w:r>
        <w:t>7. UVCB-problematiek</w:t>
      </w:r>
    </w:p>
    <w:p>
      <w:r>
        <w:t>8. Downstream User Communicatie</w:t>
      </w:r>
    </w:p>
    <w:p>
      <w:r>
        <w:t>9. Datadeling — SIEF</w:t>
      </w:r>
    </w:p>
    <w:p>
      <w:r>
        <w:t>10. Actualisatieprocedure</w:t>
      </w:r>
    </w:p>
    <w:p>
      <w:r>
        <w:t>11. Referenties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t>Dit document (D3 v3.0) beschrijft de strategie voor het opstellen, beheren, distribueren en actualiseren van Veiligheidsinformatiebladen (VIB/SDS) voor Phoenix Metals B.V. (PM), specifiek gericht op het vanadiumhalffabrikaat geproduceerd uit SARU ash via een hydrometallurgisch proces.</w:t>
      </w:r>
    </w:p>
    <w:p>
      <w:r>
        <w:t>Phoenix Metals hanteert een selectieve hydrometallurgische extractie van vanadium uit SARU ash — een reststroom uit aardolieraffinage bestaande uit natriummetavanaad, trinatriumorthovanaad en nikkeloxide [Bron 42]. Het demo-proces omvat alkalische uitlogging met NaOH, ionenuitwisseling en elektroreductie tot vanadium(IV) sulfaatoplossing [Bron 23].</w:t>
      </w:r>
    </w:p>
    <w:p>
      <w:r>
        <w:t>Kernuitdagingen: (1) UVCB-classificatie door variabele slaksamenstelling [Bron 03, 11], (2) V₂O₅ als gevaarlijk verbrandingsproduct [Bron 27], (3) 16-secties conformiteit [Bron 05], (4) e-SDS integratie [Bron 05, 06].</w:t>
      </w:r>
    </w:p>
    <w:p>
      <w:r>
        <w:rPr>
          <w:i/>
          <w:color w:val="808080"/>
          <w:sz w:val="16"/>
        </w:rPr>
        <w:t>Bronnen: 05, 03, 06, 23, 27, 42</w:t>
      </w:r>
    </w:p>
    <w:p>
      <w:r>
        <w:br w:type="page"/>
      </w:r>
    </w:p>
    <w:p>
      <w:pPr>
        <w:pStyle w:val="Heading1"/>
      </w:pPr>
      <w:r>
        <w:t>2. VIB/SDS Stappenplan — Opstellen, Beheer, Distributie, Actualisatie</w:t>
      </w:r>
    </w:p>
    <w:p>
      <w:r>
        <w:t>Op basis van het ECHA-Richtsnoer v4.0 (december 2020) [Bron 05].</w:t>
      </w:r>
    </w:p>
    <w:p>
      <w:pPr>
        <w:pStyle w:val="Heading2"/>
      </w:pPr>
      <w:r>
        <w:t>2.1 Opstellen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E5090" w:val="clear"/>
          </w:tcPr>
          <w:p>
            <w:r>
              <w:rPr>
                <w:b/>
                <w:color w:val="FFFFFF"/>
                <w:sz w:val="18"/>
              </w:rPr>
              <w:t>Stap</w:t>
            </w:r>
          </w:p>
        </w:tc>
        <w:tc>
          <w:tcPr>
            <w:tcW w:type="dxa" w:w="4320"/>
            <w:shd w:fill="2E5090" w:val="clear"/>
          </w:tcPr>
          <w:p>
            <w:r>
              <w:rPr>
                <w:b/>
                <w:color w:val="FFFFFF"/>
                <w:sz w:val="18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Stofidentificatie — SIP opstellen, UVCB-classificatie [Bron 03, 07]</w:t>
            </w:r>
          </w:p>
        </w:tc>
      </w:tr>
      <w:tr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CLP-classificatie — Gevarenklassen, H/P-zinnen, signalwoord [Bron 08, 15]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CSA — indien ≥10 ton/jaar; DNEL/DMEL vaststellen [Bron 06, 10]</w:t>
            </w:r>
          </w:p>
        </w:tc>
      </w:tr>
      <w:tr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SDS-opstelling — 16 secties conform REACH Bijlage II [Bron 05]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Exposure Scenarios toevoegen indien CSA vereist [Bron 05, 06]</w:t>
            </w:r>
          </w:p>
        </w:tc>
      </w:tr>
      <w:tr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320"/>
            <w:shd w:fill="E8EEF5" w:val="clear"/>
          </w:tcPr>
          <w:p>
            <w:r>
              <w:rPr>
                <w:sz w:val="18"/>
              </w:rPr>
              <w:t>Kwaliteitscontrole — Interne review HSE Manager [Bron 32]</w:t>
            </w:r>
          </w:p>
        </w:tc>
      </w:tr>
    </w:tbl>
    <w:p>
      <w:pPr>
        <w:pStyle w:val="Heading2"/>
      </w:pPr>
      <w:r>
        <w:t>2.2 Beheer &amp; Distributie</w:t>
      </w:r>
    </w:p>
    <w:p>
      <w:r>
        <w:t>Beheerssysteem: (a) centraal register in Chemicals Master [Bron 26], (b) elektronische distributie via PE-210-04 [Bron 49], (c) hardcopy op werkvloer [Bron 34]. Distributie: SDS kosteloos aan downstreamgebruiker bij eerste levering en herziening [REACH Art. 31; Bron 05].</w:t>
      </w:r>
    </w:p>
    <w:p>
      <w:pPr>
        <w:pStyle w:val="Heading2"/>
      </w:pPr>
      <w:r>
        <w:t>2.3 Actualisatie</w:t>
      </w:r>
    </w:p>
    <w:p>
      <w:r>
        <w:t>Verplicht bij: (1) nieuwe classificatie, (2) gewijzigde samenstelling, (3) nieuwe blootstellingsroutes, (4) herziening MAC-waarden, (5) wijzigingen SVHC-kandidaatlijst [Bron 05]. Jaarlijkse cyclus gekoppeld aan MoC [Bron 48].</w:t>
      </w:r>
    </w:p>
    <w:p>
      <w:r>
        <w:rPr>
          <w:i/>
          <w:color w:val="808080"/>
          <w:sz w:val="16"/>
        </w:rPr>
        <w:t>Bronnen: 05, 26, 48, 49</w:t>
      </w:r>
    </w:p>
    <w:p>
      <w:r>
        <w:br w:type="page"/>
      </w:r>
    </w:p>
    <w:p>
      <w:pPr>
        <w:pStyle w:val="Heading1"/>
      </w:pPr>
      <w:r>
        <w:t>3. Wanneer is een SDS verplicht?</w:t>
      </w:r>
    </w:p>
    <w:p>
      <w:r>
        <w:t>REACH Art. 31: SDS verplicht voor gevaarlijke stoffen/mengsels conform CLP [Bron 05, 15].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Categorie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SDS?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Toelichting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Gevaarlijke stoffen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Altijd verplicht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PBT/vPvB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Ongeacht tonnage [Bron 04]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SVHC kandidaatlijst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Verplicht + mededelingsplicht [Bron 04]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Niet-gevaarlijke mengsels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Nee*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Op verzoek (behalve SVHC ≥0.1%)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Onderzoekschemicaliën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Uitzondering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Niet verplicht mits gecontroleerd [Bron 02]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&lt;1 ton/jaar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Nee*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SDS wel verplicht indien gevaarlijk</w:t>
            </w:r>
          </w:p>
        </w:tc>
      </w:tr>
    </w:tbl>
    <w:p>
      <w:r>
        <w:t>PM-vanadiumhalffabrikaat (UVCB, gevaarlijk): SDS verplicht bij elke levering [Bron 03, 05].</w:t>
      </w:r>
    </w:p>
    <w:p>
      <w:r>
        <w:rPr>
          <w:i/>
          <w:color w:val="808080"/>
          <w:sz w:val="16"/>
        </w:rPr>
        <w:t>Bronnen: 02, 04, 05, 15</w:t>
      </w:r>
    </w:p>
    <w:p>
      <w:r>
        <w:br w:type="page"/>
      </w:r>
    </w:p>
    <w:p>
      <w:pPr>
        <w:pStyle w:val="Heading1"/>
      </w:pPr>
      <w:r>
        <w:t>4. 16-Secties SDS — Vanadiumhalffabrikaat</w:t>
      </w:r>
    </w:p>
    <w:p>
      <w:r>
        <w:t>Voorgestelde invulling. Definitieve waarden vereisen labanalyse en CSA [Bron 05].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Sectie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Invulling PM-Vanadiumhalffabrikaat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1. Identificatie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Vanadium(IV) sulfaatoplossing</w:t>
              <w:br/>
              <w:t>Phoenix Metals B.V., Plant One Rotterdam</w:t>
              <w:br/>
              <w:t>CAS: Meerdere (UVCB)</w:t>
              <w:br/>
              <w:t>Noodtelefoon: conform BNP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05,23,26,33,42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2. Gevaarsidentificatie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H302 (acuut oraal Cat.4), H314 (huid Cat.1B), H318 (oog Cat.1)</w:t>
              <w:br/>
              <w:t>H372 (STOT RE Cat.1 - longen), H412 (aquatisch chr.3)</w:t>
              <w:br/>
              <w:t>Signalwoord: GEVAAR</w:t>
              <w:br/>
              <w:t>Pictogrammen: GHS05, GHS07, GHS08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05,08,27,42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3. Samenstelling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VOSO₄·xH₂O (variabel, UVCB)</w:t>
              <w:br/>
              <w:t>Natriummetavanaad, nikkelverbindingen (onzuiverheden)</w:t>
              <w:br/>
              <w:t>Natriumsulfaat (procesrest)</w:t>
              <w:br/>
              <w:t>V₂O₅, Fe, Cr, Mn (sporen)</w:t>
              <w:br/>
              <w:t>Variabel per ash-herkomst [Bron 03]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03,11,23,42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4. Eerste hulp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Inhalatie: frisse lucht. Huid: ≥15 min water. Ogen: ≥15 min water, oogarts</w:t>
              <w:br/>
              <w:t>Inslikken: mond spoelen, NIET braken</w:t>
              <w:br/>
              <w:t>Vanadium-specifiek: groene tong, hoesten, longirritatie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05,27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5. Brandbestrijding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Water, schuim, droog poeder, CO₂</w:t>
              <w:br/>
              <w:t>Gevaarlijk: V₂O₅ (zeer toxisch), SO₂, SO₃</w:t>
              <w:br/>
              <w:t>PBM: ademapparaat + volledige bescherming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27,33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6. Vrijgifte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PBM: zuurbestendige handschoenen, bril, FFP3</w:t>
              <w:br/>
              <w:t>Absorberen (vermiculiet), neutraliseren (NaHCO₃)</w:t>
              <w:br/>
              <w:t>Radiologische beperkingen [Bron 42]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05,33,34,42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7. Hantering &amp; opslag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Afzuigkap, stofvorming minimaliseren</w:t>
              <w:br/>
              <w:t>Koel, droog, geventileerd; uit buurt zuren/oxidatoren</w:t>
              <w:br/>
              <w:t>Compatibel: HDPE, PP, glas. Incompatibel: metaal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05,23,26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8. Blootstelling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V₂O₅ MAC 0.25 mg/m³ TWA</w:t>
              <w:br/>
              <w:t>V resp. 0.04 mg/m³; H₂SO₄ mist 0.1 mg/m³</w:t>
              <w:br/>
              <w:t>Lokale afzuiging + PBM: nitril EN374, FFP3, zuurschort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05,06,10,34,35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9. Fysische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Geel-groene oplossing/kristallijn</w:t>
              <w:br/>
              <w:t>pH &lt;1, dichtheid ~1.2-1.5 g/cm³</w:t>
              <w:br/>
              <w:t>Volledig wateroplosbaar</w:t>
              <w:br/>
              <w:t>Exacte waarden: labanalyse vereist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05,23,42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10. Stabiliteit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Stabiel normaal. Vermijden &gt;200°C → V₂O₅</w:t>
              <w:br/>
              <w:t>Incompatibel: oxidatoren, basen</w:t>
              <w:br/>
              <w:t>Ontleding: V₂O₅, SO₂, SO₃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05,27,42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11. Toxicologie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VOSO₄ LD₅₀ ~580 mg/kg (Cat.4)</w:t>
              <w:br/>
              <w:t>Huid corrosief; ogen ernstig</w:t>
              <w:br/>
              <w:t>CMR: V₂O₅ Cat.2 vermoed (H341,H351)</w:t>
              <w:br/>
              <w:t>STOT RE: H372 (longen)</w:t>
              <w:br/>
              <w:t>(Q)SAR voor data-gaps [Bron 11]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05,10,11,27,42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12. Ecologie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V⁴⁺ matig toxisch (LC₅₀ ~10-100 mg/L)</w:t>
              <w:br/>
              <w:t>BCF &lt;100 (laag), hoge watermobiliteit</w:t>
              <w:br/>
              <w:t>Chronische data: nader onderzoek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05,42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13. Afvoer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EURAL: 06 02 04* / 11 01 98</w:t>
              <w:br/>
              <w:t>Gevaarlijk afval; neutraliseren vloeistof</w:t>
              <w:br/>
              <w:t>Radioactiviteitsbeperking [Bron 42]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14. Transport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UN 2922 (corrosief + toxisch)</w:t>
              <w:br/>
              <w:t>Klasse 6.1+8, PG III, ADR 8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05,26,33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15. Regelgeving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REACH, CLP, Arbowet, PGS-15</w:t>
              <w:br/>
              <w:t>Besluit basisveiligheidsnormen straling [Bron 42]</w:t>
              <w:br/>
              <w:t>BRZO mogelijk van toepassing [Bron 47]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05,08,42,45,47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16. Overige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H-zinnen: H302,H314,H318,H341,H351,H372,H412</w:t>
              <w:br/>
              <w:t>P-zinnen: P260,P280,P301+P330+P331,P305+P351+P338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05,08</w:t>
            </w:r>
          </w:p>
        </w:tc>
      </w:tr>
    </w:tbl>
    <w:p>
      <w:r>
        <w:br w:type="page"/>
      </w:r>
    </w:p>
    <w:p>
      <w:pPr>
        <w:pStyle w:val="Heading1"/>
      </w:pPr>
      <w:r>
        <w:t>5. Exposure Scenarios &amp; Safe Use Conditions</w:t>
      </w:r>
    </w:p>
    <w:p>
      <w:r>
        <w:t>CSA vereist bij ≥10 ton/jaar. Demo-schaal (≤60 kg, ≤3 maanden) vrijgesteld, maar voorbereiding op commerciële opschaaling essentieel [Bron 05, 06].</w:t>
      </w:r>
    </w:p>
    <w:p>
      <w:pPr>
        <w:pStyle w:val="Heading2"/>
      </w:pPr>
      <w:r>
        <w:t>5.1 Risicobeheersmaatregelen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Categorie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Maatregel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Inhalatie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Lokale afzuiging + FFP3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06,34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Huid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Nitril EN 374 + zuurschort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34,35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Ogen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Veiligheidsbril + gezichtsscherm EN 166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35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Ingenie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Eten/drinken verboden in werkgebied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35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Milieu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Verzorgingsputten, lekbakken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42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Organisatorisch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TRA per taak, LMRA per shift [Bron 50,51]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50,51</w:t>
            </w:r>
          </w:p>
        </w:tc>
      </w:tr>
    </w:tbl>
    <w:p>
      <w:r>
        <w:rPr>
          <w:i/>
          <w:color w:val="808080"/>
          <w:sz w:val="16"/>
        </w:rPr>
        <w:t>Bronnen: 05, 06, 34, 35</w:t>
      </w:r>
    </w:p>
    <w:p>
      <w:r>
        <w:br w:type="page"/>
      </w:r>
    </w:p>
    <w:p>
      <w:pPr>
        <w:pStyle w:val="Heading1"/>
      </w:pPr>
      <w:r>
        <w:t>6. e-SDS vs Papieren SDS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Aspect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Papieren SDS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e-SDS (Extended)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Definitie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16 secties conform Bijlage II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SDS + Exposure Scenarios bijlage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Verplicht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Ja — basis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Ja — indien CSA (≥10 ton/jaar)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Distributie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Hardcopy/PDF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Elektronisch, IUCLID compatible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PM-strategie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Demo: altijd op werkvloer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Commercieel: bij opschaaling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Actualisatie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Handmatig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Geautomatiseerd via PE-210-04 [Bron 49]</w:t>
            </w:r>
          </w:p>
        </w:tc>
      </w:tr>
    </w:tbl>
    <w:p>
      <w:r>
        <w:t>Aanbeveling: Start papieren SDS. Migreer naar e-SDS bij commerciële productie [Bron 49].</w:t>
      </w:r>
    </w:p>
    <w:p>
      <w:r>
        <w:rPr>
          <w:i/>
          <w:color w:val="808080"/>
          <w:sz w:val="16"/>
        </w:rPr>
        <w:t>Bronnen: 05, 06, 49</w:t>
      </w:r>
    </w:p>
    <w:p>
      <w:r>
        <w:br w:type="page"/>
      </w:r>
    </w:p>
    <w:p>
      <w:pPr>
        <w:pStyle w:val="Heading1"/>
      </w:pPr>
      <w:r>
        <w:t>7. UVCB-problematiek — Variabele Slaksamenstelling</w:t>
      </w:r>
    </w:p>
    <w:p>
      <w:r>
        <w:t>SARU ash is UVCB: samenstelling varieert per ruwe-olieloting en raffinagecondities [Bron 03, 42]. Consequenties:</w:t>
      </w:r>
    </w:p>
    <w:p>
      <w:r>
        <w:t>1. Stofidentificatie: 'Zelfde stof'-bepaling complex. SIP met grenssamenstellingen essentieel [Bron 03, 07].</w:t>
      </w:r>
    </w:p>
    <w:p>
      <w:r>
        <w:t>2. Classificatie: Variabele toxiciteit (V₂O₅-gehalte, nikkel). Worst-case classificatie [Bron 08].</w:t>
      </w:r>
    </w:p>
    <w:p>
      <w:r>
        <w:t>3. CSA: Moet volledige samenstellingsrange dekken [Bron 06].</w:t>
      </w:r>
    </w:p>
    <w:p>
      <w:r>
        <w:t>4. (Q)SAR: Opvullen data-gaps [Bron 11].</w:t>
      </w:r>
    </w:p>
    <w:p>
      <w:r>
        <w:t>5. Monitoring: Routine-analyse elke batch ash noodzakelijk.</w:t>
      </w:r>
    </w:p>
    <w:p>
      <w:r>
        <w:rPr>
          <w:i/>
          <w:color w:val="808080"/>
          <w:sz w:val="16"/>
        </w:rPr>
        <w:t>Bronnen: 03, 07, 08, 11, 42</w:t>
      </w:r>
    </w:p>
    <w:p>
      <w:r>
        <w:br w:type="page"/>
      </w:r>
    </w:p>
    <w:p>
      <w:pPr>
        <w:pStyle w:val="Heading1"/>
      </w:pPr>
      <w:r>
        <w:t>8. Downstream User Communicatie</w:t>
      </w:r>
    </w:p>
    <w:p>
      <w:r>
        <w:t>REACH Art. 37-39: PM is zowel producent (halffabrikaat) als downstreamgebruiker (SARU ash) [Bron 05].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Verplichting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PM als Producent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PM als DU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SDS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Verstrekken aan afnemers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Ontvangen van ash-leverancier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Exposure Scenarios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Opstellen bij ≥10 ton/jaar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Toepassen en verifieren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SVHC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Mededelen indien ≥0.1%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Controleren incoming SDS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Gebruiksvoorwaarden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Communiceren aan DU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Opvolgen leveranciersvoorschriften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Afwijking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Melden aan ECHA [Bron 05]</w:t>
            </w:r>
          </w:p>
        </w:tc>
      </w:tr>
    </w:tbl>
    <w:p>
      <w:r>
        <w:rPr>
          <w:i/>
          <w:color w:val="808080"/>
          <w:sz w:val="16"/>
        </w:rPr>
        <w:t>Bronnen: 05, 06, 13</w:t>
      </w:r>
    </w:p>
    <w:p>
      <w:r>
        <w:br w:type="page"/>
      </w:r>
    </w:p>
    <w:p>
      <w:pPr>
        <w:pStyle w:val="Heading1"/>
      </w:pPr>
      <w:r>
        <w:t>9. Datadeling — SIEF &amp; Consortium</w:t>
      </w:r>
    </w:p>
    <w:p>
      <w:r>
        <w:t>REACH Art. 26-30: gezamenlijk gebruik van data via SIEF [Bron 13].</w:t>
      </w:r>
    </w:p>
    <w:p>
      <w:r>
        <w:t>1. SIEF-identificatie: bepalen of andere bedrijven dezelfde UVCB registreren [Bron 13].</w:t>
      </w:r>
    </w:p>
    <w:p>
      <w:r>
        <w:t>2. Datadeling: experimentele data delen, kosten verdelen [Bron 13].</w:t>
      </w:r>
    </w:p>
    <w:p>
      <w:r>
        <w:t>3. Consortium: voordelig bij complexe UVCB voor gemeenschappelijke CSA [Bron 13].</w:t>
      </w:r>
    </w:p>
    <w:p>
      <w:r>
        <w:t>4. Lead registrant: dient gezamenlijk deel in [Bron 02, 13].</w:t>
      </w:r>
    </w:p>
    <w:p>
      <w:r>
        <w:t>5. Opt-out: alleen voor specifieke tests [Bron 13].</w:t>
      </w:r>
    </w:p>
    <w:p>
      <w:r>
        <w:rPr>
          <w:i/>
          <w:color w:val="808080"/>
          <w:sz w:val="16"/>
        </w:rPr>
        <w:t>Bronnen: 02, 13</w:t>
      </w:r>
    </w:p>
    <w:p>
      <w:r>
        <w:br w:type="page"/>
      </w:r>
    </w:p>
    <w:p>
      <w:pPr>
        <w:pStyle w:val="Heading1"/>
      </w:pPr>
      <w:r>
        <w:t>10. Actualisatieprocedure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2880"/>
            <w:shd w:fill="2E5090" w:val="clear"/>
          </w:tcPr>
          <w:p>
            <w:r>
              <w:rPr>
                <w:b/>
                <w:color w:val="FFFFFF"/>
                <w:sz w:val="18"/>
              </w:rPr>
              <w:t>Termijn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Nieuwe classificatie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Nieuwe tox data → andere CLP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Onmiddellijk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Samenstellingswijziging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Batch overschrijdt SIP-grenzen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Onmiddellijk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Nieuwe MAC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Grenswaarden aangescherpt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6 maanden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SVHC-kandidaatlijst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Nieuwe stof toegevoegd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6 maanden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Proceswijziging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MoC → andere blootstelling [Bron 48]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Onmiddellijk</w:t>
            </w:r>
          </w:p>
        </w:tc>
      </w:tr>
      <w:tr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Klantklacht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DU rapporteert nieuw risico</w:t>
            </w:r>
          </w:p>
        </w:tc>
        <w:tc>
          <w:tcPr>
            <w:tcW w:type="dxa" w:w="2880"/>
            <w:shd w:fill="E8EEF5" w:val="clear"/>
          </w:tcPr>
          <w:p>
            <w:r>
              <w:rPr>
                <w:sz w:val="18"/>
              </w:rPr>
              <w:t>3 maanden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Periodiek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Minimaal 1x per 5 jaar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 jaar</w:t>
            </w:r>
          </w:p>
        </w:tc>
      </w:tr>
    </w:tbl>
    <w:p>
      <w:r>
        <w:t>PM-beleid: jaarlijkse actualisatie + ad-hoc. Vastgelegd in MoC PE-202-01 [Bron 48].</w:t>
      </w:r>
    </w:p>
    <w:p>
      <w:r>
        <w:rPr>
          <w:i/>
          <w:color w:val="808080"/>
          <w:sz w:val="16"/>
        </w:rPr>
        <w:t>Bronnen: 05, 48</w:t>
      </w:r>
    </w:p>
    <w:p>
      <w:r>
        <w:br w:type="page"/>
      </w:r>
    </w:p>
    <w:p>
      <w:pPr>
        <w:pStyle w:val="Heading1"/>
      </w:pPr>
      <w:r>
        <w:t>11. Referenties</w:t>
      </w:r>
    </w:p>
    <w:p>
      <w:r>
        <w:t>Bron 01: REACH/CLP-kader, OSOR, PCN/UFI</w:t>
      </w:r>
    </w:p>
    <w:p>
      <w:r>
        <w:t>Bron 02: ECHA Registratiegids v4.0</w:t>
      </w:r>
    </w:p>
    <w:p>
      <w:r>
        <w:t>Bron 03: Stofidentificatiegids — SIP, UVCB</w:t>
      </w:r>
    </w:p>
    <w:p>
      <w:r>
        <w:t>Bron 04: SVHC-criteria, kandidaatlijst</w:t>
      </w:r>
    </w:p>
    <w:p>
      <w:r>
        <w:t>Bron 05: SDS-Richtsnoer v4.0 — 16 secties, e-SDS</w:t>
      </w:r>
    </w:p>
    <w:p>
      <w:r>
        <w:t>Bron 06: Chemische veiligheid MKB — RMM</w:t>
      </w:r>
    </w:p>
    <w:p>
      <w:r>
        <w:t>Bron 07: SIP-ontwikkeling</w:t>
      </w:r>
    </w:p>
    <w:p>
      <w:r>
        <w:t>Bron 08: CLP etikettering — H/P-zinnen, GHS</w:t>
      </w:r>
    </w:p>
    <w:p>
      <w:r>
        <w:t>Bron 10: DNEL/DMEL, blootstellingsgrenzen</w:t>
      </w:r>
    </w:p>
    <w:p>
      <w:r>
        <w:t>Bron 11: QSAR, read-across</w:t>
      </w:r>
    </w:p>
    <w:p>
      <w:r>
        <w:t>Bron 13: SIEF, consortium, datadeling</w:t>
      </w:r>
    </w:p>
    <w:p>
      <w:r>
        <w:t>Bron 15: CLP-basisgids</w:t>
      </w:r>
    </w:p>
    <w:p>
      <w:r>
        <w:t>Bron 23: Demo procesbeschrijving PM</w:t>
      </w:r>
    </w:p>
    <w:p>
      <w:r>
        <w:t>Bron 26: Chemicals Master PM</w:t>
      </w:r>
    </w:p>
    <w:p>
      <w:r>
        <w:t>Bron 27: SDS Vanadiumconcentraat</w:t>
      </w:r>
    </w:p>
    <w:p>
      <w:r>
        <w:t>Bron 28: SDS Zwavelzuur</w:t>
      </w:r>
    </w:p>
    <w:p>
      <w:r>
        <w:t>Bron 29: SDS Natriumhydroxide</w:t>
      </w:r>
    </w:p>
    <w:p>
      <w:r>
        <w:t>Bron 32: PM HSE Policy 2025</w:t>
      </w:r>
    </w:p>
    <w:p>
      <w:r>
        <w:t>Bron 33: PM Bedrijfsnoodplan</w:t>
      </w:r>
    </w:p>
    <w:p>
      <w:r>
        <w:t>Bron 34: PM PBM-matrix</w:t>
      </w:r>
    </w:p>
    <w:p>
      <w:r>
        <w:t>Bron 35: PM PBM-beleid</w:t>
      </w:r>
    </w:p>
    <w:p>
      <w:r>
        <w:t>Bron 42: Fact sheet SARU ash</w:t>
      </w:r>
    </w:p>
    <w:p>
      <w:r>
        <w:t>Bron 47: PM BRZO-overzicht</w:t>
      </w:r>
    </w:p>
    <w:p>
      <w:r>
        <w:t>Bron 48: PM MoC PE-202-01</w:t>
      </w:r>
    </w:p>
    <w:p>
      <w:r>
        <w:t>Bron 49: PM Document Control PE-210-04</w:t>
      </w:r>
    </w:p>
    <w:p>
      <w:r>
        <w:t>Bron 50: PM TRA hulplijst</w:t>
      </w:r>
    </w:p>
    <w:p>
      <w:r>
        <w:t>Bron 51: PM TRA procedure</w:t>
      </w:r>
    </w:p>
    <w:p>
      <w:r>
        <w:br w:type="page"/>
      </w:r>
    </w:p>
    <w:p>
      <w:pPr>
        <w:pStyle w:val="Heading1"/>
      </w:pPr>
      <w:r>
        <w:t>Revisiehistorie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Wijzigingen</w:t>
            </w:r>
          </w:p>
        </w:tc>
        <w:tc>
          <w:tcPr>
            <w:tcW w:type="dxa" w:w="2160"/>
            <w:shd w:fill="2E5090" w:val="clear"/>
          </w:tcPr>
          <w:p>
            <w:r>
              <w:rPr>
                <w:b/>
                <w:color w:val="FFFFFF"/>
                <w:sz w:val="18"/>
              </w:rPr>
              <w:t>Auteur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v1.0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2026-04-14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Eerste opzet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HSEQ Specialist</w:t>
            </w:r>
          </w:p>
        </w:tc>
      </w:tr>
      <w:tr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v2.0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2026-04-15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Uitbreiding 16-secties, bronverwijzingen</w:t>
            </w:r>
          </w:p>
        </w:tc>
        <w:tc>
          <w:tcPr>
            <w:tcW w:type="dxa" w:w="2160"/>
            <w:shd w:fill="E8EEF5" w:val="clear"/>
          </w:tcPr>
          <w:p>
            <w:r>
              <w:rPr>
                <w:sz w:val="18"/>
              </w:rPr>
              <w:t>HSEQ Specialist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v3.0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2026-04-16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Volledige herziening op basis van 55 bronnen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HSEQ Specialist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 xml:space="preserve">JvG Consultancy | REACH D3 v3.0 |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97280" cy="9848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98480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