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pPr>
        <w:jc w:val="center"/>
      </w:pPr>
      <w:r>
        <w:rPr>
          <w:b/>
          <w:color w:val="003366"/>
          <w:sz w:val="56"/>
        </w:rPr>
        <w:t>VIB/MSDS Strategie</w:t>
      </w:r>
    </w:p>
    <w:p>
      <w:pPr>
        <w:jc w:val="center"/>
      </w:pPr>
      <w:r>
        <w:rPr>
          <w:color w:val="505050"/>
          <w:sz w:val="32"/>
        </w:rPr>
        <w:t>Phoenix Metals IJmuiden</w:t>
        <w:br/>
        <w:t>Strategie voor Veiligheidsinformatiebladen</w:t>
      </w:r>
    </w:p>
    <w:p/>
    <w:p>
      <w:pPr>
        <w:jc w:val="center"/>
      </w:pPr>
      <w:r>
        <w:rPr>
          <w:b/>
        </w:rPr>
        <w:t>Versie: 2.0</w:t>
        <w:br/>
      </w:r>
      <w:r>
        <w:t>Datum: 16 april 2026</w:t>
        <w:br/>
        <w:t>Opdrachtgever: Phoenix Metals</w:t>
        <w:br/>
        <w:t>Adviseur: JvG Consultancy</w:t>
      </w:r>
    </w:p>
    <w:p>
      <w:r>
        <w:br w:type="page"/>
      </w:r>
    </w:p>
    <w:p>
      <w:r>
        <w:t>1. Inleiding</w:t>
      </w:r>
    </w:p>
    <w:p>
      <w:r>
        <w:t>2. Wettelijk Kader</w:t>
      </w:r>
    </w:p>
    <w:p>
      <w:r>
        <w:t>3. Bestaande SDS-Documenten</w:t>
      </w:r>
    </w:p>
    <w:p>
      <w:r>
        <w:t>4. SDS-Strategie per Stof</w:t>
      </w:r>
    </w:p>
    <w:p>
      <w:r>
        <w:t>5. 16 SDS-Secties — Phoenix Metals Specifiek</w:t>
      </w:r>
    </w:p>
    <w:p>
      <w:r>
        <w:t>6. Onzuiverheden uit Staalslak</w:t>
      </w:r>
    </w:p>
    <w:p>
      <w:r>
        <w:t>7. Chemical Registration Procedure</w:t>
      </w:r>
    </w:p>
    <w:p>
      <w:r>
        <w:t>8. SDS-Beheer &amp; Distributie</w:t>
      </w:r>
    </w:p>
    <w:p>
      <w:r>
        <w:t>9. REACH-IT &amp; ECHA Interface</w:t>
      </w:r>
    </w:p>
    <w:p>
      <w:r>
        <w:t>Bijlage A: Referenties</w:t>
      </w:r>
    </w:p>
    <w:p>
      <w:r>
        <w:br w:type="page"/>
      </w:r>
    </w:p>
    <w:p>
      <w:pPr>
        <w:pStyle w:val="Heading1"/>
      </w:pPr>
      <w:r>
        <w:rPr>
          <w:color w:val="003366"/>
        </w:rPr>
        <w:t>1. Inleiding</w:t>
      </w:r>
    </w:p>
    <w:p>
      <w:r>
        <w:t>Dit document beschrijft de strategie voor het opstellen, beheren en distribueren van Veiligheidsinformatiebladen (VIB/SDS) voor Phoenix Metals IJmuiden. Het omvat zowel de existing SDS-documenten (Bronnen 14-16) als de strategie voor nieuwe SDS's voor de vanadium-elektrolyten en bijproducten.</w:t>
      </w:r>
    </w:p>
    <w:p>
      <w:pPr>
        <w:pStyle w:val="Heading1"/>
      </w:pPr>
      <w:r>
        <w:rPr>
          <w:color w:val="003366"/>
        </w:rPr>
        <w:t>2. Wettelijk Kader</w:t>
      </w:r>
    </w:p>
    <w:p>
      <w:pPr>
        <w:pStyle w:val="ListBullet"/>
      </w:pPr>
      <w:r>
        <w:t>REACH-verordening (EG 1907/2006), Titel IV: Informatie in de toeleveringsketen.</w:t>
      </w:r>
    </w:p>
    <w:p>
      <w:pPr>
        <w:pStyle w:val="ListBullet"/>
      </w:pPr>
      <w:r>
        <w:t>CLP-verordening (EG 1272/2008): Classificatie, etikettering en verpakking.</w:t>
      </w:r>
    </w:p>
    <w:p>
      <w:pPr>
        <w:pStyle w:val="ListBullet"/>
      </w:pPr>
      <w:r>
        <w:t>Arbowet/Arbobesluit: Artikel over gevaarlijke stoffen en informatieverplichtingen.</w:t>
      </w:r>
    </w:p>
    <w:p>
      <w:pPr>
        <w:pStyle w:val="ListBullet"/>
      </w:pPr>
      <w:r>
        <w:t>REACH Artikel 31: Leverancier moet SDS verstrekken bij gevaarlijke stoffen.</w:t>
      </w:r>
    </w:p>
    <w:p>
      <w:pPr>
        <w:pStyle w:val="ListBullet"/>
      </w:pPr>
      <w:r>
        <w:t>SDS-opmaak: 16 secties conform Annex II REACH (Verordening (EU) 2020/878).</w:t>
      </w:r>
    </w:p>
    <w:p>
      <w:pPr>
        <w:pStyle w:val="Heading1"/>
      </w:pPr>
      <w:r>
        <w:rPr>
          <w:color w:val="003366"/>
        </w:rPr>
        <w:t>3. Bestaande SDS-Documenten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  <w:sz w:val="18"/>
              </w:rPr>
              <w:t>Stof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SDS Beschikbaar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Bron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Versie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Taal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Vanadium concentrate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Ja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Bron 14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Versie 1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Nederlands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Zwavelzuur (H₂SO₄) 25-75%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Ja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Bron 15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Versie 1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Engels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Natriumhydroxide (NaOH) 50%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Ja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Bron 16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Versie 1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Engels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Aluminiumsulfaat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Ja (leverancier)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Actueel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Nederlands</w:t>
            </w:r>
          </w:p>
        </w:tc>
      </w:tr>
    </w:tbl>
    <w:p>
      <w:r>
        <w:t>Opmerking: Phoenix Metals is downstream gebruiker van H₂SO₄ en NaOH. De SDS's van de leverancier zijn toereikend mits de gebruiksvoorwaarden (scenario's) in het Extended SDS overeenkomen met het feitelijke gebruik. Zie REACH-artikel 2(21).</w:t>
      </w:r>
    </w:p>
    <w:p>
      <w:pPr>
        <w:pStyle w:val="Heading1"/>
      </w:pPr>
      <w:r>
        <w:rPr>
          <w:color w:val="003366"/>
        </w:rPr>
        <w:t>4. SDS-Strategie per Stof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  <w:sz w:val="18"/>
              </w:rPr>
              <w:t>Stof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SDS-type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Verantwoordelijke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Status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Actie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H₂SO₄ 25-75%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Leverancier-SDS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Leverancier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Beschikbaar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Verifiëren USEs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NaOH 50%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Leverancier-SDS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Leverancier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Beschikbaar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Verifiëren USEs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Vanadium concentrate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Leverancier-SDS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Leverancier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Beschikbaar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Verifiëren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Vanadium-elektrolyt (V3.5+)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Eigen SDS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Phoenix Metals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Te ontwikkelen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CSR → SDS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V(IV) sulfaat oplossing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Eigen SDS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Phoenix Metals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Te ontwikkelen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CSR → SDS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Filtercake (residu)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Eigen SDS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Phoenix Metals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Te ontwikkelen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Samenstelling analyseren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Gips (CaSO₄)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Eventueel SDS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Phoenix Metals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Te beoordelen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Classificatie bepalen</w:t>
            </w:r>
          </w:p>
        </w:tc>
      </w:tr>
    </w:tbl>
    <w:p>
      <w:pPr>
        <w:pStyle w:val="Heading1"/>
      </w:pPr>
      <w:r>
        <w:rPr>
          <w:color w:val="003366"/>
        </w:rPr>
        <w:t>5. 16 SDS-Secties — Phoenix Metals Specifiek</w:t>
      </w:r>
    </w:p>
    <w:p>
      <w:r>
        <w:t>Voor de eigen SDS's (vanadium-elektrolyt, V(IV) sulfaat, filtercake) worden de 16 secties als volgt ingevuld, met specifieke aandacht voor onzuiverheden uit staalslakken:</w:t>
      </w:r>
    </w:p>
    <w:p>
      <w:r>
        <w:rPr>
          <w:b/>
        </w:rPr>
        <w:t xml:space="preserve">1. Identificatie van de stof/het mengsel: </w:t>
      </w:r>
      <w:r>
        <w:t>Productnaam: Vanadium-elektrolyt V3.5+ / V(IV) sulfaatoplossing. Producent: Phoenix Metals IJmuiden, Westerduinweg 3. Noodnummer: 112.</w:t>
      </w:r>
    </w:p>
    <w:p>
      <w:r>
        <w:rPr>
          <w:b/>
        </w:rPr>
        <w:t xml:space="preserve">2. Gevaarsidentificatie: </w:t>
      </w:r>
      <w:r>
        <w:t>CLP-classificatie op basis van toxicologische data van vanadiumverbindingen. Acute Tox. (oraal/inademing), H302/H331. Carc. 2, H351 (indien van toepassing op V2O5-gehalte).</w:t>
      </w:r>
    </w:p>
    <w:p>
      <w:r>
        <w:rPr>
          <w:b/>
        </w:rPr>
        <w:t xml:space="preserve">3. Samenstelling/informatie over bestanddelen: </w:t>
      </w:r>
      <w:r>
        <w:t>Hoofdbestanddeel: vanadium(IV) sulfaat in waterige oplossing. Onzuiverheden uit staalslak: Fe, Ca, Mg, Al, Si, Mn, Cr, Ni, Ti. Zie §6.</w:t>
      </w:r>
    </w:p>
    <w:p>
      <w:r>
        <w:rPr>
          <w:b/>
        </w:rPr>
        <w:t xml:space="preserve">4. Eerstehulpmaatregelen: </w:t>
      </w:r>
      <w:r>
        <w:t>Inademing: verplaatsen naar frisse lucht. Huidcontact: afspoelen met water (15 min). Oogcontact: uitspoelen met water (15 min). Inslikken: mond spoelen, niet laten braken, arts raadplegen.</w:t>
      </w:r>
    </w:p>
    <w:p>
      <w:r>
        <w:rPr>
          <w:b/>
        </w:rPr>
        <w:t xml:space="preserve">5. Brandbestrijdingsmaatregelen: </w:t>
      </w:r>
      <w:r>
        <w:t>Niet brandbaar. Bij brand: CO₂, droog chemisch of schuim. Geen waterstraal op containers (risico spatten).</w:t>
      </w:r>
    </w:p>
    <w:p>
      <w:r>
        <w:rPr>
          <w:b/>
        </w:rPr>
        <w:t xml:space="preserve">6. Maatregelen bij accidenteel vrijkomen: </w:t>
      </w:r>
      <w:r>
        <w:t>Dijken met zand/aarde. Droog opruimen (stofvrij). Afvoer naar afvalcontainer. Voorkom lozing in riolering/water.</w:t>
      </w:r>
    </w:p>
    <w:p>
      <w:r>
        <w:rPr>
          <w:b/>
        </w:rPr>
        <w:t xml:space="preserve">7. Hanteren en opslag: </w:t>
      </w:r>
      <w:r>
        <w:t>Hanteren in afgesloten systeem (reactoren, pompen). Opslag in goedgekeurde containers. Ventilatie. Scheiden van onverenigbare stoffen.</w:t>
      </w:r>
    </w:p>
    <w:p>
      <w:r>
        <w:rPr>
          <w:b/>
        </w:rPr>
        <w:t xml:space="preserve">8. Maatregelen ter beheersing van blootstelling/PBM: </w:t>
      </w:r>
      <w:r>
        <w:t>LEV (lokale afzuiging). PBM: veiligheidsbril, zuurbestendige handschoenen, beschermende kleding, adembescherming (P3) bij stof. Zie D2 §6.</w:t>
      </w:r>
    </w:p>
    <w:p>
      <w:r>
        <w:rPr>
          <w:b/>
        </w:rPr>
        <w:t xml:space="preserve">9. Fysiche en chemische eigenschappen: </w:t>
      </w:r>
      <w:r>
        <w:t>Vloeistof (waterige oplossing). pH: zuur (~1-3). Dichtheid: ~1,2-1,5 g/cm³. Kookpunt: ~100°C.</w:t>
      </w:r>
    </w:p>
    <w:p>
      <w:r>
        <w:rPr>
          <w:b/>
        </w:rPr>
        <w:t xml:space="preserve">10. Stabiliteit en reactiviteit: </w:t>
      </w:r>
      <w:r>
        <w:t>Stabiel onder normale omstandigheden. Reactie met basen (exotherm). Vermijd contact met metalen (waterstofontwikkeling).</w:t>
      </w:r>
    </w:p>
    <w:p>
      <w:r>
        <w:rPr>
          <w:b/>
        </w:rPr>
        <w:t xml:space="preserve">11. Toxicologische informatie: </w:t>
      </w:r>
      <w:r>
        <w:t>Gebruik consortium-data (Vanadium REACH Consortium). Read-across met VOS₃, V₂O₅. Acute toxiciteit, herhaalde blootstelling, carcinogeniteit, reproductietoxiciteit.</w:t>
      </w:r>
    </w:p>
    <w:p>
      <w:r>
        <w:rPr>
          <w:b/>
        </w:rPr>
        <w:t xml:space="preserve">12. Ecologische informatie: </w:t>
      </w:r>
      <w:r>
        <w:t>Toxisch voor aquatische organismen (vanadiumverbindingen). Niet biologisch afbreekbaar. Log Kow: laag (wateroplosbaar).</w:t>
      </w:r>
    </w:p>
    <w:p>
      <w:r>
        <w:rPr>
          <w:b/>
        </w:rPr>
        <w:t xml:space="preserve">13. Instructies voor verwijdering: </w:t>
      </w:r>
      <w:r>
        <w:t>Gevaarlijk afval (EURAL-code te bepalen). Afvoer via erkend afvalverwerker. Niet lozen in riolering.</w:t>
      </w:r>
    </w:p>
    <w:p>
      <w:r>
        <w:rPr>
          <w:b/>
        </w:rPr>
        <w:t xml:space="preserve">14. Informatie met betrekking tot vervoer: </w:t>
      </w:r>
      <w:r>
        <w:t>UN-nummer: afhankelijk van classificatie. ADR/IATA: indien relevant. Verpakkingsgroep: III (indicatief).</w:t>
      </w:r>
    </w:p>
    <w:p>
      <w:r>
        <w:rPr>
          <w:b/>
        </w:rPr>
        <w:t xml:space="preserve">15. Wettelijke informatie: </w:t>
      </w:r>
      <w:r>
        <w:t>REACH (EG 1907/2006), CLP (EG 1272/2008), Arbowet, Besluit activiteiten leefomgeving. SVHC-status controleren.</w:t>
      </w:r>
    </w:p>
    <w:p>
      <w:r>
        <w:rPr>
          <w:b/>
        </w:rPr>
        <w:t xml:space="preserve">16. Overige informatie: </w:t>
      </w:r>
      <w:r>
        <w:t>Abbreviaties, herzieningsgeschiedenis, disclaimer. Bron: Registration Chemicals MASTER v2.1.0.</w:t>
      </w:r>
    </w:p>
    <w:p>
      <w:pPr>
        <w:pStyle w:val="Heading1"/>
      </w:pPr>
      <w:r>
        <w:rPr>
          <w:color w:val="003366"/>
        </w:rPr>
        <w:t>6. Onzuiverheden uit Staalslak</w:t>
      </w:r>
    </w:p>
    <w:p>
      <w:r>
        <w:t>De staalslakken (en SARU-ash) bevatten diverse onzuiverheden die in de SDS-sectie 3 en het CSR moeten worden verwerkt. Gebaseerd op Fact sheet Ash 2025 (Bron 31) en de Registration Chemicals MASTER (Bron 13):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Element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Bron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Relevantie SDS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Gevaarsklasse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Vanadium (V)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Hoofdbestanddeel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Primair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Acuut toxisch, Carc. 2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IJzer (Fe)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Bijproduct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Secundair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Laag (Fe₂O₃)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Calcium (Ca)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Gipsproductie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Secundair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Laag (CaSO₄)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Magnesium (Mg)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Bijproduct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Secundair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Laag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Aluminium (Al)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Hulpstof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Secundair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Laag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Silicium (Si)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Onzuiverheid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Trace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Laag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Mangaan (Mn)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Onzuiverheid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Trace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Acuut toxisch (MnO₂)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Chroom (Cr)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Onzuiverheid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Trace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Carc. 1A (Cr VI)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Nikkel (Ni)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Onzuiverheid (SARU)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Trace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Carc. 2, Sensibiliserend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Titanium (Ti)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Onzuiverheid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Trace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Laag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Radionucliden (U-238)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SARU-ash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Specifiek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Stralingsrisico</w:t>
            </w:r>
          </w:p>
        </w:tc>
      </w:tr>
    </w:tbl>
    <w:p>
      <w:r>
        <w:t>Voor Cr(VI) en Ni gelden specifieke verplichtingen: monitoring bij blootstelling, eventuele SVHC-aanduiding. De gehalten in het eindproduct moeten worden geanalyseerd.</w:t>
      </w:r>
    </w:p>
    <w:p>
      <w:pPr>
        <w:pStyle w:val="Heading1"/>
      </w:pPr>
      <w:r>
        <w:rPr>
          <w:color w:val="003366"/>
        </w:rPr>
        <w:t>7. Chemical Registration Procedure</w:t>
      </w:r>
    </w:p>
    <w:p>
      <w:r>
        <w:t>Conform PE-240-01 V1 (Bron 18) is een procedure voor aanvraag, beoordeling en goedkeuring van gevaarlijke stoffen vastgelegd. De procedure omvat:</w:t>
      </w:r>
    </w:p>
    <w:p>
      <w:pPr>
        <w:pStyle w:val="ListBullet"/>
      </w:pPr>
      <w:r>
        <w:t>Stap 1: Identificatie product + CLP-classificatie via etiket en SDS.</w:t>
      </w:r>
    </w:p>
    <w:p>
      <w:pPr>
        <w:pStyle w:val="ListBullet"/>
      </w:pPr>
      <w:r>
        <w:t>Stap 2: Technische geschiktheid beoordeling.</w:t>
      </w:r>
    </w:p>
    <w:p>
      <w:pPr>
        <w:pStyle w:val="ListBullet"/>
      </w:pPr>
      <w:r>
        <w:t>Stap 3: Chemical Risk Assessment uitvoeren.</w:t>
      </w:r>
    </w:p>
    <w:p>
      <w:pPr>
        <w:pStyle w:val="ListBullet"/>
      </w:pPr>
      <w:r>
        <w:t>Stap 4: Beoordeling CMR, SVHC, PBT, vPvB-stoffen.</w:t>
      </w:r>
    </w:p>
    <w:p>
      <w:pPr>
        <w:pStyle w:val="ListBullet"/>
      </w:pPr>
      <w:r>
        <w:t>Stap 5: Goedkeuring door HSE Manager.</w:t>
      </w:r>
    </w:p>
    <w:p>
      <w:pPr>
        <w:pStyle w:val="ListBullet"/>
      </w:pPr>
      <w:r>
        <w:t>Stap 6: Registratie in chemicals register.</w:t>
      </w:r>
    </w:p>
    <w:p>
      <w:pPr>
        <w:pStyle w:val="ListBullet"/>
      </w:pPr>
      <w:r>
        <w:t>Stap 7: SDS-archivering en distributie.</w:t>
      </w:r>
    </w:p>
    <w:p>
      <w:r>
        <w:t>Phoenix Metals is downstream gebruiker (REACH art. 2(21)). Bij afwijkingen van de leverancier-USEs moet Phoenix Metals dit melden aan de leverancier (REACH art. 34).</w:t>
      </w:r>
    </w:p>
    <w:p>
      <w:pPr>
        <w:pStyle w:val="Heading1"/>
      </w:pPr>
      <w:r>
        <w:rPr>
          <w:color w:val="003366"/>
        </w:rPr>
        <w:t>8. SDS-Beheer &amp; Distributie</w:t>
      </w:r>
    </w:p>
    <w:p>
      <w:pPr>
        <w:pStyle w:val="ListBullet"/>
      </w:pPr>
      <w:r>
        <w:t>Archivering: Alle SDS's centraal beheerd door HSE Manager.</w:t>
      </w:r>
    </w:p>
    <w:p>
      <w:pPr>
        <w:pStyle w:val="ListBullet"/>
      </w:pPr>
      <w:r>
        <w:t>Distributie: SDS's beschikbaar op werkplek (digitaal + papier).</w:t>
      </w:r>
    </w:p>
    <w:p>
      <w:pPr>
        <w:pStyle w:val="ListBullet"/>
      </w:pPr>
      <w:r>
        <w:t>Actualisatie: Minimaal bij nieuwe classificatie, nieuwe H-zinnen, of wijziging samenstelling.</w:t>
      </w:r>
    </w:p>
    <w:p>
      <w:pPr>
        <w:pStyle w:val="ListBullet"/>
      </w:pPr>
      <w:r>
        <w:t>Taal: Nederlands (verplicht) + Engels (indien internationaal).</w:t>
      </w:r>
    </w:p>
    <w:p>
      <w:pPr>
        <w:pStyle w:val="ListBullet"/>
      </w:pPr>
      <w:r>
        <w:t>Bewaartermijn: Minimaal 10 jaar (REACH art. 36).</w:t>
      </w:r>
    </w:p>
    <w:p>
      <w:pPr>
        <w:pStyle w:val="Heading1"/>
      </w:pPr>
      <w:r>
        <w:rPr>
          <w:color w:val="003366"/>
        </w:rPr>
        <w:t>9. REACH-IT &amp; ECHA Interface</w:t>
      </w:r>
    </w:p>
    <w:p>
      <w:r>
        <w:t>Voor de toekomstige REACH-registratie (bij schaalvergroting &gt;1 ton/jaar) wordt een REACH-IT account aangemaakt bij ECHA. De indiening omvat:</w:t>
      </w:r>
    </w:p>
    <w:p>
      <w:pPr>
        <w:pStyle w:val="ListBullet"/>
      </w:pPr>
      <w:r>
        <w:t>IUCLID-dossier met alle toxicologische en fysisch-chemische data.</w:t>
      </w:r>
    </w:p>
    <w:p>
      <w:pPr>
        <w:pStyle w:val="ListBullet"/>
      </w:pPr>
      <w:r>
        <w:t>Chemical Safety Report (CSR) met blootstellingsscenario's.</w:t>
      </w:r>
    </w:p>
    <w:p>
      <w:pPr>
        <w:pStyle w:val="ListBullet"/>
      </w:pPr>
      <w:r>
        <w:t>Classificatie conform CLP.</w:t>
      </w:r>
    </w:p>
    <w:p>
      <w:pPr>
        <w:pStyle w:val="ListBullet"/>
      </w:pPr>
      <w:r>
        <w:t>Verwijzing naar consortium-data (Letter of Access).</w:t>
      </w:r>
    </w:p>
    <w:p/>
    <w:p>
      <w:pPr>
        <w:jc w:val="center"/>
      </w:pPr>
      <w:r>
        <w:rPr>
          <w:color w:val="808080"/>
          <w:sz w:val="16"/>
        </w:rPr>
        <w:t>JvG Consultancy — VIB/MSDS Strategie v2.0 — Phoenix Metals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blGrid>
      <w:gridCol w:w="3024"/>
      <w:gridCol w:w="3024"/>
      <w:gridCol w:w="3024"/>
    </w:tblGrid>
    <w:tr>
      <w:tc>
        <w:tcPr>
          <w:tcW w:type="dxa" w:w="3402"/>
          <w:shd w:fill="F8F9FA"/>
        </w:tcPr>
        <w:p>
          <w:pPr>
            <w:jc w:val="left"/>
          </w:pPr>
          <w:r>
            <w:rPr>
              <w:rFonts w:ascii="Calibri" w:hAnsi="Calibri"/>
              <w:color w:val="333333"/>
              <w:sz w:val="16"/>
            </w:rPr>
            <w:t>JvG Consultancy — Vertrouwelijk</w:t>
          </w:r>
        </w:p>
      </w:tc>
      <w:tc>
        <w:tcPr>
          <w:tcW w:type="dxa" w:w="2268"/>
          <w:shd w:fill="F8F9FA"/>
        </w:tcPr>
        <w:p>
          <w:pPr>
            <w:jc w:val="center"/>
          </w:pPr>
          <w:r>
            <w:rPr>
              <w:rFonts w:ascii="Calibri" w:hAnsi="Calibri"/>
              <w:sz w:val="16"/>
            </w:rPr>
            <w:fldChar w:fldCharType="begin"/>
          </w:r>
          <w:r>
            <w:rPr>
              <w:rFonts w:ascii="Calibri" w:hAnsi="Calibri"/>
              <w:sz w:val="16"/>
            </w:rPr>
            <w:instrText xml:space="preserve"> PAGE </w:instrText>
          </w:r>
          <w:r>
            <w:rPr>
              <w:rFonts w:ascii="Calibri" w:hAnsi="Calibri"/>
              <w:sz w:val="16"/>
            </w:rPr>
            <w:fldChar w:fldCharType="end"/>
          </w:r>
        </w:p>
      </w:tc>
      <w:tc>
        <w:tcPr>
          <w:tcW w:type="dxa" w:w="3402"/>
          <w:shd w:fill="F8F9FA"/>
        </w:tcPr>
        <w:p>
          <w:pPr>
            <w:jc w:val="right"/>
          </w:pPr>
          <w:r>
            <w:rPr>
              <w:rFonts w:ascii="Calibri" w:hAnsi="Calibri"/>
              <w:color w:val="333333"/>
              <w:sz w:val="16"/>
            </w:rPr>
            <w:t>Phoenix Metals — REACH Compliance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blGrid>
      <w:gridCol w:w="4535"/>
      <w:gridCol w:w="4535"/>
    </w:tblGrid>
    <w:tr>
      <w:tc>
        <w:tcPr>
          <w:tcW w:type="dxa" w:w="6803"/>
          <w:shd w:fill="003366"/>
        </w:tcPr>
        <w:p>
          <w:pPr>
            <w:jc w:val="left"/>
          </w:pPr>
          <w:r>
            <w:rPr>
              <w:rFonts w:ascii="Calibri" w:hAnsi="Calibri"/>
              <w:color w:val="FFFFFF"/>
              <w:sz w:val="18"/>
            </w:rPr>
            <w:t>JvG Consultancy | Safety • Governance • Advisory</w:t>
          </w:r>
        </w:p>
      </w:tc>
      <w:tc>
        <w:tcPr>
          <w:tcW w:type="dxa" w:w="2268"/>
          <w:shd w:fill="00336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720000" cy="64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jvg-logo-white-medium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64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