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spacing w:after="120"/>
        <w:jc w:val="center"/>
      </w:pPr>
      <w:r>
        <w:rPr>
          <w:b/>
          <w:i w:val="0"/>
          <w:sz w:val="48"/>
        </w:rPr>
        <w:t>BELEID VEILIGHEIDSINFORMATIEBLADEN</w:t>
      </w:r>
    </w:p>
    <w:p>
      <w:pPr>
        <w:spacing w:after="120"/>
        <w:jc w:val="center"/>
      </w:pPr>
      <w:r>
        <w:rPr>
          <w:b/>
          <w:i w:val="0"/>
          <w:sz w:val="40"/>
        </w:rPr>
        <w:t>MSDS / VIB STRATEGIE</w:t>
      </w:r>
    </w:p>
    <w:p/>
    <w:p>
      <w:pPr>
        <w:spacing w:after="120"/>
        <w:jc w:val="center"/>
      </w:pPr>
      <w:r>
        <w:rPr>
          <w:b/>
          <w:i w:val="0"/>
          <w:sz w:val="32"/>
        </w:rPr>
        <w:t>Phoenix Metals B.V.</w:t>
      </w:r>
    </w:p>
    <w:p>
      <w:pPr>
        <w:spacing w:after="120"/>
        <w:jc w:val="center"/>
      </w:pPr>
      <w:r>
        <w:rPr>
          <w:b w:val="0"/>
          <w:i w:val="0"/>
          <w:sz w:val="24"/>
        </w:rPr>
        <w:t>Vanadiumterugwinning uit Staalslakken — Halffabrikaat voor VRFB-Elektrolyt</w:t>
      </w:r>
    </w:p>
    <w:p/>
    <w:p>
      <w:pPr>
        <w:spacing w:after="120"/>
        <w:jc w:val="center"/>
      </w:pPr>
      <w:r>
        <w:rPr>
          <w:b w:val="0"/>
          <w:i w:val="0"/>
          <w:sz w:val="24"/>
        </w:rPr>
        <w:t>Deliverable 3 — REACH Compliance Programma</w:t>
      </w:r>
    </w:p>
    <w:p/>
    <w:p>
      <w:pPr>
        <w:spacing w:after="120"/>
        <w:jc w:val="center"/>
      </w:pPr>
      <w:r>
        <w:rPr>
          <w:b w:val="0"/>
          <w:i w:val="0"/>
          <w:sz w:val="20"/>
        </w:rPr>
        <w:t>Documentversie: 1.0 | Datum: 16 april 2026</w:t>
      </w:r>
    </w:p>
    <w:p>
      <w:pPr>
        <w:spacing w:after="120"/>
        <w:jc w:val="center"/>
      </w:pPr>
      <w:r>
        <w:rPr>
          <w:b w:val="0"/>
          <w:i w:val="0"/>
          <w:sz w:val="20"/>
        </w:rPr>
        <w:t>Classificatie: Vertrouwelijk — Intern beleidsdocument</w:t>
      </w:r>
    </w:p>
    <w:p>
      <w:pPr>
        <w:spacing w:after="120"/>
        <w:jc w:val="center"/>
      </w:pPr>
      <w:r>
        <w:rPr>
          <w:b w:val="0"/>
          <w:i w:val="0"/>
          <w:sz w:val="20"/>
        </w:rPr>
        <w:t>Referentie: ECHA-20-H-25-EN, ECHA-23-H-07-NL, REACH Bijlage II</w:t>
      </w:r>
    </w:p>
    <w:p>
      <w:r>
        <w:br w:type="page"/>
      </w:r>
    </w:p>
    <w:p>
      <w:pPr>
        <w:pStyle w:val="Heading1"/>
      </w:pPr>
      <w:r>
        <w:t>Inhoudsopgave</w:t>
      </w:r>
    </w:p>
    <w:p>
      <w:pPr>
        <w:spacing w:after="40"/>
      </w:pPr>
      <w:r>
        <w:t>1. Inleiding en kader</w:t>
      </w:r>
    </w:p>
    <w:p>
      <w:pPr>
        <w:spacing w:after="40"/>
      </w:pPr>
      <w:r>
        <w:t>2. Deel A — VIB Strategie: Stappenplan MSDS/e-VIB</w:t>
      </w:r>
    </w:p>
    <w:p>
      <w:pPr>
        <w:spacing w:after="40"/>
      </w:pPr>
      <w:r>
        <w:t xml:space="preserve">   2.1 Definitie en juridisch kader e-VIB versus papieren SDS</w:t>
      </w:r>
    </w:p>
    <w:p>
      <w:pPr>
        <w:spacing w:after="40"/>
      </w:pPr>
      <w:r>
        <w:t xml:space="preserve">   2.2 Wanneer is Phoenix Metals verplicht een SDS te leveren?</w:t>
      </w:r>
    </w:p>
    <w:p>
      <w:pPr>
        <w:spacing w:after="40"/>
      </w:pPr>
      <w:r>
        <w:t xml:space="preserve">   2.3 Procedure: opstellen, actualiseren en distribueren</w:t>
      </w:r>
    </w:p>
    <w:p>
      <w:pPr>
        <w:spacing w:after="40"/>
      </w:pPr>
      <w:r>
        <w:t xml:space="preserve">   2.4 Distributieketen en talen</w:t>
      </w:r>
    </w:p>
    <w:p>
      <w:pPr>
        <w:spacing w:after="40"/>
      </w:pPr>
      <w:r>
        <w:t xml:space="preserve">   2.5 Actualisatieverplichtingen</w:t>
      </w:r>
    </w:p>
    <w:p>
      <w:pPr>
        <w:spacing w:after="40"/>
      </w:pPr>
      <w:r>
        <w:t>3. Deel B — Specifieke VIB-inhoud: 16-secties invulling</w:t>
      </w:r>
    </w:p>
    <w:p>
      <w:pPr>
        <w:spacing w:after="40"/>
      </w:pPr>
      <w:r>
        <w:t>4. Deel C — UVCB-problematiek</w:t>
      </w:r>
    </w:p>
    <w:p>
      <w:pPr>
        <w:spacing w:after="40"/>
      </w:pPr>
      <w:r>
        <w:t xml:space="preserve">   4.1 Definitie en relevantie UVCB</w:t>
      </w:r>
    </w:p>
    <w:p>
      <w:pPr>
        <w:spacing w:after="40"/>
      </w:pPr>
      <w:r>
        <w:t xml:space="preserve">   4.2 Is het Phoenix Metals product een UVCB-stof?</w:t>
      </w:r>
    </w:p>
    <w:p>
      <w:pPr>
        <w:spacing w:after="40"/>
      </w:pPr>
      <w:r>
        <w:t xml:space="preserve">   4.3 UVCB-verwerking in de SDS</w:t>
      </w:r>
    </w:p>
    <w:p>
      <w:pPr>
        <w:spacing w:after="40"/>
      </w:pPr>
      <w:r>
        <w:t xml:space="preserve">   4.4 ECHA-eisen voor UVCB-stofidentiteit</w:t>
      </w:r>
    </w:p>
    <w:p>
      <w:pPr>
        <w:spacing w:after="40"/>
      </w:pPr>
      <w:r>
        <w:t>5. Referenties</w:t>
      </w:r>
    </w:p>
    <w:p>
      <w:r>
        <w:br w:type="page"/>
      </w:r>
    </w:p>
    <w:p>
      <w:pPr>
        <w:pStyle w:val="Heading1"/>
      </w:pPr>
      <w:r>
        <w:t>1. Inleiding en kader</w:t>
      </w:r>
    </w:p>
    <w:p>
      <w:r>
        <w:t>Dit document vormt Deliverable 3 binnen het REACH compliance programma van Phoenix Metals B.V. Het bouwt voort op de REACH-conclusies uit het Kennisdossier (D1) en betreft het beleid voor het opstellen, beheren en distribueren van Veiligheidsinformatiebladen (VIB/SDS) voor het vanadiumhalffabrikaat dat Phoenix Metals produceert uit staalslakken.</w:t>
      </w:r>
    </w:p>
    <w:p>
      <w:r>
        <w:t>Phoenix Metals hanteert het volgende ketenmodel: staalslak (afval) → thermische/chemische terugwinning → vanadiumhalffabrikaat (product) → elektrolytproducent (downstream user) → VRFB-elektrolyt (eindproduct). Phoenix Metals produceert geen elektrolyt. De SDS-verplichting rust op Phoenix Metals als fabrikant van de stof overeenkomstig REACH artikel 31 en Bijlage II.</w:t>
      </w:r>
    </w:p>
    <w:p>
      <w:r>
        <w:t>Dit document bestaat uit drie delen: (A) het strategische stappenplan voor MSDS/e-VIB beheer, (B) een gedetailleerde uitwerking van alle 16 SDS-secties specifiek voor het vanadiumhalffabrikaat, en (C) een analyse van de UVCB-problematiek die voortvloeit uit de variabele samenstelling van het product als gevolg van wisselende staalslak-samenstellingen.</w:t>
      </w:r>
    </w:p>
    <w:p>
      <w:pPr>
        <w:pStyle w:val="Heading1"/>
      </w:pPr>
      <w:r>
        <w:t>2. Deel A — VIB Strategie: Stappenplan MSDS/e-VIB</w:t>
      </w:r>
    </w:p>
    <w:p>
      <w:pPr>
        <w:pStyle w:val="Heading2"/>
      </w:pPr>
      <w:r>
        <w:t>2.1 Definitie en juridisch kader e-VIB versus papieren SDS</w:t>
      </w:r>
    </w:p>
    <w:p>
      <w:r>
        <w:t>Een Veiligheidsinformatieblad (VIB), in het Engels Safety Data Sheet (SDS), is het standaarddocument voor de communicatie van gevareninformatie en risicobeheersmaatregelen langs de toeleveringsketen. REACH artikel 31 en Bijlage II definiëren de verplichting en structuur.</w:t>
      </w:r>
    </w:p>
    <w:p>
      <w:pPr>
        <w:pStyle w:val="Heading3"/>
      </w:pPr>
      <w:r>
        <w:t>2.1.1 Wat is een e-VIB?</w:t>
      </w:r>
    </w:p>
    <w:p>
      <w:r>
        <w:t>Een e-VIB (elektronisch Veiligheidsinformatieblad) is een digitaal beschikbaar SDS dat voldoet aan dezelfde inhoudelijke eisen als het papieren equivalent. De REACH-verordening staat elektronische verstrekking expliciet toe, mits aan de volgende voorwaarden wordt voldaan:</w:t>
      </w:r>
    </w:p>
    <w:p>
      <w:pPr>
        <w:pStyle w:val="ListBullet"/>
        <w:ind w:left="720"/>
      </w:pPr>
      <w:r>
        <w:t>De ontvanger (downstream user) heeft uitdrukkelijk ingestemd met elektronische levering (art. 31(8)).</w:t>
      </w:r>
    </w:p>
    <w:p>
      <w:pPr>
        <w:pStyle w:val="ListBullet"/>
        <w:ind w:left="720"/>
      </w:pPr>
      <w:r>
        <w:t>Het e-VIB is te allen tijde raadpleegbaar en downloadbaar via een beveiligde digitale voorziening.</w:t>
      </w:r>
    </w:p>
    <w:p>
      <w:pPr>
        <w:pStyle w:val="ListBullet"/>
        <w:ind w:left="720"/>
      </w:pPr>
      <w:r>
        <w:t>De downstream user kan het document te allen tijde afdrukken of opslaan.</w:t>
      </w:r>
    </w:p>
    <w:p>
      <w:pPr>
        <w:pStyle w:val="ListBullet"/>
        <w:ind w:left="720"/>
      </w:pPr>
      <w:r>
        <w:t>Bij levering aan distributeurs en eindgebruikers moet het e-VIB ook in de officiële taal van de betreffende lidstaat beschikbaar zijn.</w:t>
      </w:r>
    </w:p>
    <w:p>
      <w:pPr>
        <w:pStyle w:val="Heading3"/>
      </w:pPr>
      <w:r>
        <w:t>2.1.2 Wanneer papieren SDS verplicht</w:t>
      </w:r>
    </w:p>
    <w:p>
      <w:r>
        <w:t>Een papieren SDS is verplicht in de volgende situaties:</w:t>
      </w:r>
    </w:p>
    <w:p>
      <w:pPr>
        <w:pStyle w:val="ListBullet"/>
        <w:ind w:left="720"/>
      </w:pPr>
      <w:r>
        <w:t>Wanneer de downstream user geen toegang heeft tot elektronische systemen of geen toestemming heeft gegeven voor elektronische levering.</w:t>
      </w:r>
    </w:p>
    <w:p>
      <w:pPr>
        <w:pStyle w:val="ListBullet"/>
        <w:ind w:left="720"/>
      </w:pPr>
      <w:r>
        <w:t>Bij eerste levering van een gevaarlijke stof aan een nieuwe klant — tot elektronische toestemming is vastgelegd.</w:t>
      </w:r>
    </w:p>
    <w:p>
      <w:pPr>
        <w:pStyle w:val="ListBullet"/>
        <w:ind w:left="720"/>
      </w:pPr>
      <w:r>
        <w:t>Indien de nationale autoriteiten of inspectiediensten een papieren versie eisen.</w:t>
      </w:r>
    </w:p>
    <w:p>
      <w:pPr>
        <w:pStyle w:val="ListBullet"/>
        <w:ind w:left="720"/>
      </w:pPr>
      <w:r>
        <w:t>Bij transport van gevaarlijke goederen conform ADR, waarbij het SDS in het voertuig aanwezig moet zijn.</w:t>
      </w:r>
    </w:p>
    <w:p>
      <w:pPr>
        <w:pStyle w:val="Heading2"/>
      </w:pPr>
      <w:r>
        <w:t>2.2 Wanneer moet Phoenix Metals een SDS leveren?</w:t>
      </w:r>
    </w:p>
    <w:p>
      <w:r>
        <w:t>Phoenix Metals is verplicht een SDS op te stellen en kosteloos te verstrekken aan alle downstream users wanneer aan één van de volgende voorwaarden is voldaan (REACH artikel 31, lid 1):</w:t>
      </w:r>
    </w:p>
    <w:p>
      <w:pPr>
        <w:pStyle w:val="ListBullet"/>
        <w:ind w:left="720"/>
      </w:pPr>
      <w:r>
        <w:t>De stof voldoet aan de classificatiecriteria als gevaarlijk volgens CLP (Verordening (EG) nr. 1272/2008).</w:t>
      </w:r>
    </w:p>
    <w:p>
      <w:pPr>
        <w:pStyle w:val="ListBullet"/>
        <w:ind w:left="720"/>
      </w:pPr>
      <w:r>
        <w:t>De stof is persistent, bioaccumulerend en toxisch (PBT) of zeer persistent en zeer bioaccumulerend (vPvB) volgens de criteria van REACH Bijlage XIII.</w:t>
      </w:r>
    </w:p>
    <w:p>
      <w:pPr>
        <w:pStyle w:val="ListBullet"/>
        <w:ind w:left="720"/>
      </w:pPr>
      <w:r>
        <w:t>De stof is opgenomen op de kandidatenlijst (SVHC) van artikel 59, lid 1.</w:t>
      </w:r>
    </w:p>
    <w:p>
      <w:pPr>
        <w:pStyle w:val="ListBullet"/>
        <w:ind w:left="720"/>
      </w:pPr>
      <w:r>
        <w:t>De productie of import bedraagt ≥1 ton per jaar en de stof is gevaarlijk, PBT of vPvB.</w:t>
      </w:r>
    </w:p>
    <w:p>
      <w:r>
        <w:t>Voor het vanadiumhalffabrikaat geldt met name het eerste criterium: vanadiumverbindingen (in het bijzonder V₂O₅) zijn ingedeeld als Acute Tox. 2 (oraal), Acute Tox. 3 (inhalatie), Carc. 1B, Mut. 2, Repr. 2, en STOT RE 1. Hiermee is het vanadiumhalffabrikaat ongetwijfeld een gevaarlijke stof in de zin van artikel 31, lid 1, onder a. De SDS-verplichting geldt derhalve ongeacht het tonnage.</w:t>
      </w:r>
    </w:p>
    <w:p>
      <w:pPr>
        <w:pStyle w:val="Heading2"/>
      </w:pPr>
      <w:r>
        <w:t>2.3 Procedure: opstellen, actualiseren en distribueren</w:t>
      </w:r>
    </w:p>
    <w:p>
      <w:pPr>
        <w:pStyle w:val="Heading3"/>
      </w:pPr>
      <w:r>
        <w:t>2.3.1 Wie stelt de SDS op?</w:t>
      </w:r>
    </w:p>
    <w:p>
      <w:r>
        <w:t>De verantwoordelijkheid voor het opstellen van het SDS berust bij de leverancier van de stof — in dit geval Phoenix Metals als fabrikant (art. 3(4) REACH). In de praktijk kan Phoenix Metals dit delegeren aan:</w:t>
      </w:r>
    </w:p>
    <w:p>
      <w:pPr>
        <w:pStyle w:val="ListBullet"/>
        <w:ind w:left="720"/>
      </w:pPr>
      <w:r>
        <w:t>Een gespecialiseerd consultantbureau (bijv. HSEQ-adviseur met REACH/CLP-expertise).</w:t>
      </w:r>
    </w:p>
    <w:p>
      <w:pPr>
        <w:pStyle w:val="ListBullet"/>
        <w:ind w:left="720"/>
      </w:pPr>
      <w:r>
        <w:t>Een toxicoloog of chemicus met ervaring in SDS-opstelling voor metalen en anorganische verbindingen.</w:t>
      </w:r>
    </w:p>
    <w:p>
      <w:pPr>
        <w:pStyle w:val="ListBullet"/>
        <w:ind w:left="720"/>
      </w:pPr>
      <w:r>
        <w:t>De eigen HSEQ-afdeling, mits voldoende competentie aanwezig is.</w:t>
      </w:r>
    </w:p>
    <w:p>
      <w:r>
        <w:t>Ongeacht wie het SDS opstelt: de juridische eindverantwoordelijkheid blijft altijd bij Phoenix Metals berusten. De SDS moet worden ondertekend (of goedgekeurd) door een bevoegd persoon binnen Phoenix Metals.</w:t>
      </w:r>
    </w:p>
    <w:p>
      <w:pPr>
        <w:pStyle w:val="Heading3"/>
      </w:pPr>
      <w:r>
        <w:t>2.3.2 Welke data is nodig?</w:t>
      </w:r>
    </w:p>
    <w:p>
      <w:r>
        <w:t>De volgende data is vereist voor een complete en conformiteitsvolle SDS:</w:t>
      </w:r>
    </w:p>
    <w:tbl>
      <w:tblPr>
        <w:tblStyle w:val="TableGrid"/>
        <w:tblW w:type="auto" w:w="0"/>
        <w:jc w:val="center"/>
        <w:tblLook w:firstColumn="1" w:firstRow="1" w:lastColumn="0" w:lastRow="0" w:noHBand="0" w:noVBand="1" w:val="04A0"/>
      </w:tblPr>
      <w:tblGrid>
        <w:gridCol w:w="4320"/>
        <w:gridCol w:w="4320"/>
      </w:tblGrid>
      <w:tr>
        <w:tc>
          <w:tcPr>
            <w:tcW w:type="dxa" w:w="4320"/>
            <w:shd w:fill="1B3A5C" w:val="clear"/>
          </w:tcPr>
          <w:p>
            <w:r/>
            <w:r>
              <w:rPr>
                <w:b/>
                <w:color w:val="FFFFFF"/>
                <w:sz w:val="20"/>
              </w:rPr>
              <w:t>Datacategorie</w:t>
            </w:r>
          </w:p>
        </w:tc>
        <w:tc>
          <w:tcPr>
            <w:tcW w:type="dxa" w:w="4320"/>
            <w:shd w:fill="1B3A5C" w:val="clear"/>
          </w:tcPr>
          <w:p>
            <w:r/>
            <w:r>
              <w:rPr>
                <w:b/>
                <w:color w:val="FFFFFF"/>
                <w:sz w:val="20"/>
              </w:rPr>
              <w:t>Vereiste informatie</w:t>
            </w:r>
          </w:p>
        </w:tc>
      </w:tr>
      <w:tr>
        <w:tc>
          <w:tcPr>
            <w:tcW w:type="dxa" w:w="4320"/>
          </w:tcPr>
          <w:p>
            <w:r/>
            <w:r>
              <w:rPr>
                <w:sz w:val="19"/>
              </w:rPr>
              <w:t>Stofidentiteit</w:t>
            </w:r>
          </w:p>
        </w:tc>
        <w:tc>
          <w:tcPr>
            <w:tcW w:type="dxa" w:w="4320"/>
          </w:tcPr>
          <w:p>
            <w:r/>
            <w:r>
              <w:rPr>
                <w:sz w:val="19"/>
              </w:rPr>
              <w:t>IUPAC-naam, CAS-nummer, EG-nummer, molecuulformule, structuurformule, zuiverheid, onzuiverhedenprofiel</w:t>
            </w:r>
          </w:p>
        </w:tc>
      </w:tr>
      <w:tr>
        <w:tc>
          <w:tcPr>
            <w:tcW w:type="dxa" w:w="4320"/>
            <w:shd w:fill="E8EEF4" w:val="clear"/>
          </w:tcPr>
          <w:p>
            <w:r/>
            <w:r>
              <w:rPr>
                <w:sz w:val="19"/>
              </w:rPr>
              <w:t>Fysisch-chemische data</w:t>
            </w:r>
          </w:p>
        </w:tc>
        <w:tc>
          <w:tcPr>
            <w:tcW w:type="dxa" w:w="4320"/>
            <w:shd w:fill="E8EEF4" w:val="clear"/>
          </w:tcPr>
          <w:p>
            <w:r/>
            <w:r>
              <w:rPr>
                <w:sz w:val="19"/>
              </w:rPr>
              <w:t>Aggregatietoestand, kleur, geur, dichtheid, smeltpunt, kookpunt, dampdruk, oplosbaarheid, pH, verdelingscoëfficiënt</w:t>
            </w:r>
          </w:p>
        </w:tc>
      </w:tr>
      <w:tr>
        <w:tc>
          <w:tcPr>
            <w:tcW w:type="dxa" w:w="4320"/>
          </w:tcPr>
          <w:p>
            <w:r/>
            <w:r>
              <w:rPr>
                <w:sz w:val="19"/>
              </w:rPr>
              <w:t>Toxicologische data</w:t>
            </w:r>
          </w:p>
        </w:tc>
        <w:tc>
          <w:tcPr>
            <w:tcW w:type="dxa" w:w="4320"/>
          </w:tcPr>
          <w:p>
            <w:r/>
            <w:r>
              <w:rPr>
                <w:sz w:val="19"/>
              </w:rPr>
              <w:t>Acute toxiciteit (oraal, dermaal, inhalatie), huid-/oogirritatie, sensibilisatie, genotoxiciteit, carcinogeniteit, reproductietoxiciteit, STOT</w:t>
            </w:r>
          </w:p>
        </w:tc>
      </w:tr>
      <w:tr>
        <w:tc>
          <w:tcPr>
            <w:tcW w:type="dxa" w:w="4320"/>
            <w:shd w:fill="E8EEF4" w:val="clear"/>
          </w:tcPr>
          <w:p>
            <w:r/>
            <w:r>
              <w:rPr>
                <w:sz w:val="19"/>
              </w:rPr>
              <w:t>Ecotoxicologische data</w:t>
            </w:r>
          </w:p>
        </w:tc>
        <w:tc>
          <w:tcPr>
            <w:tcW w:type="dxa" w:w="4320"/>
            <w:shd w:fill="E8EEF4" w:val="clear"/>
          </w:tcPr>
          <w:p>
            <w:r/>
            <w:r>
              <w:rPr>
                <w:sz w:val="19"/>
              </w:rPr>
              <w:t>Aquatische toxiciteit (alg, Daphnia, vis), afbreekbaarheid, bioaccumulatiepotentieel</w:t>
            </w:r>
          </w:p>
        </w:tc>
      </w:tr>
      <w:tr>
        <w:tc>
          <w:tcPr>
            <w:tcW w:type="dxa" w:w="4320"/>
          </w:tcPr>
          <w:p>
            <w:r/>
            <w:r>
              <w:rPr>
                <w:sz w:val="19"/>
              </w:rPr>
              <w:t>Hazardclassificatie</w:t>
            </w:r>
          </w:p>
        </w:tc>
        <w:tc>
          <w:tcPr>
            <w:tcW w:type="dxa" w:w="4320"/>
          </w:tcPr>
          <w:p>
            <w:r/>
            <w:r>
              <w:rPr>
                <w:sz w:val="19"/>
              </w:rPr>
              <w:t>CLP-classificatie met H/P-zinnen, gevarenpictogrammen, signalwoord, M-factor</w:t>
            </w:r>
          </w:p>
        </w:tc>
      </w:tr>
      <w:tr>
        <w:tc>
          <w:tcPr>
            <w:tcW w:type="dxa" w:w="4320"/>
            <w:shd w:fill="E8EEF4" w:val="clear"/>
          </w:tcPr>
          <w:p>
            <w:r/>
            <w:r>
              <w:rPr>
                <w:sz w:val="19"/>
              </w:rPr>
              <w:t>Blootstellingsdata</w:t>
            </w:r>
          </w:p>
        </w:tc>
        <w:tc>
          <w:tcPr>
            <w:tcW w:type="dxa" w:w="4320"/>
            <w:shd w:fill="E8EEF4" w:val="clear"/>
          </w:tcPr>
          <w:p>
            <w:r/>
            <w:r>
              <w:rPr>
                <w:sz w:val="19"/>
              </w:rPr>
              <w:t>OEL/grenswaarden, blootstellingsroutes, PBM-vereisten, ventilatie-eisen</w:t>
            </w:r>
          </w:p>
        </w:tc>
      </w:tr>
      <w:tr>
        <w:tc>
          <w:tcPr>
            <w:tcW w:type="dxa" w:w="4320"/>
          </w:tcPr>
          <w:p>
            <w:r/>
            <w:r>
              <w:rPr>
                <w:sz w:val="19"/>
              </w:rPr>
              <w:t>Transportclassificatie</w:t>
            </w:r>
          </w:p>
        </w:tc>
        <w:tc>
          <w:tcPr>
            <w:tcW w:type="dxa" w:w="4320"/>
          </w:tcPr>
          <w:p>
            <w:r/>
            <w:r>
              <w:rPr>
                <w:sz w:val="19"/>
              </w:rPr>
              <w:t>UN-nummer, gevarenklasse ADR/IMDG/IATA, verpakkingsgroep</w:t>
            </w:r>
          </w:p>
        </w:tc>
      </w:tr>
      <w:tr>
        <w:tc>
          <w:tcPr>
            <w:tcW w:type="dxa" w:w="4320"/>
            <w:shd w:fill="E8EEF4" w:val="clear"/>
          </w:tcPr>
          <w:p>
            <w:r/>
            <w:r>
              <w:rPr>
                <w:sz w:val="19"/>
              </w:rPr>
              <w:t>Afvalverwerking</w:t>
            </w:r>
          </w:p>
        </w:tc>
        <w:tc>
          <w:tcPr>
            <w:tcW w:type="dxa" w:w="4320"/>
            <w:shd w:fill="E8EEF4" w:val="clear"/>
          </w:tcPr>
          <w:p>
            <w:r/>
            <w:r>
              <w:rPr>
                <w:sz w:val="19"/>
              </w:rPr>
              <w:t>EURAL-codes, aanbevolen verwijderingsmethoden</w:t>
            </w:r>
          </w:p>
        </w:tc>
      </w:tr>
    </w:tbl>
    <w:p/>
    <w:p>
      <w:pPr>
        <w:pStyle w:val="Heading3"/>
      </w:pPr>
      <w:r>
        <w:t>2.3.3 Hoe vaak actualiseren?</w:t>
      </w:r>
    </w:p>
    <w:p>
      <w:r>
        <w:t>REACH artikel 31, lid 9, verplicht de leverancier om het SDS te actualiseren en de bijgewerkte versie kosteloos te verstrekken aan alle downstream users die de stof in de afgelopen 12 maanden hebben afgenomen. Actualisatie is verplicht bij:</w:t>
      </w:r>
    </w:p>
    <w:p>
      <w:pPr>
        <w:pStyle w:val="ListBullet"/>
        <w:ind w:left="720"/>
      </w:pPr>
      <w:r>
        <w:t>Nieuwe informatie over gevaren of risico's die de maatregelen in het SDS beïnvloedt.</w:t>
      </w:r>
    </w:p>
    <w:p>
      <w:pPr>
        <w:pStyle w:val="ListBullet"/>
        <w:ind w:left="720"/>
      </w:pPr>
      <w:r>
        <w:t>Wijziging in de classificatie van de stof (bijv. nieuwe CLP-harmonisatie).</w:t>
      </w:r>
    </w:p>
    <w:p>
      <w:pPr>
        <w:pStyle w:val="ListBullet"/>
        <w:ind w:left="720"/>
      </w:pPr>
      <w:r>
        <w:t>Wijziging in de samenstelling van het product (bijv. ander onzuiverhedenprofiel door andere slakbron).</w:t>
      </w:r>
    </w:p>
    <w:p>
      <w:pPr>
        <w:pStyle w:val="ListBullet"/>
        <w:ind w:left="720"/>
      </w:pPr>
      <w:r>
        <w:t>Herziening van de toegestane blootstellingslimieten (OEL/TLV).</w:t>
      </w:r>
    </w:p>
    <w:p>
      <w:pPr>
        <w:pStyle w:val="ListBullet"/>
        <w:ind w:left="720"/>
      </w:pPr>
      <w:r>
        <w:t>Wijziging in de regelgevende status (bijv. opneming op SVHC-kandidatenlijst).</w:t>
      </w:r>
    </w:p>
    <w:p>
      <w:pPr>
        <w:pStyle w:val="ListBullet"/>
        <w:ind w:left="720"/>
      </w:pPr>
      <w:r>
        <w:t>Periodieke herziening: minimaal elke 3 jaar een formele review, ook als er geen wijzigingen zijn (best practice volgens ECHA Guidance SDS, versie 4.0, paragraaf 1.3).</w:t>
      </w:r>
    </w:p>
    <w:p>
      <w:pPr>
        <w:pStyle w:val="Heading2"/>
      </w:pPr>
      <w:r>
        <w:t>2.4 Distributieketen en talen</w:t>
      </w:r>
    </w:p>
    <w:p>
      <w:pPr>
        <w:pStyle w:val="Heading3"/>
      </w:pPr>
      <w:r>
        <w:t>2.4.1 Distributie naar afnemers</w:t>
      </w:r>
    </w:p>
    <w:p>
      <w:r>
        <w:t>De distributie van het SDS verloopt via de volgende kanalen:</w:t>
      </w:r>
    </w:p>
    <w:p>
      <w:pPr>
        <w:pStyle w:val="ListBullet"/>
        <w:ind w:left="720"/>
      </w:pPr>
      <w:r>
        <w:t>Automatische levering bij eerste zending van het vanadiumhalffabrikaat aan een nieuwe downstream user (art. 31(1)).</w:t>
      </w:r>
    </w:p>
    <w:p>
      <w:pPr>
        <w:pStyle w:val="ListBullet"/>
        <w:ind w:left="720"/>
      </w:pPr>
      <w:r>
        <w:t>Levering bij elke significante update (art. 31(9)) aan alle afnemers die in de afgelopen 12 maanden hebben afgenomen.</w:t>
      </w:r>
    </w:p>
    <w:p>
      <w:pPr>
        <w:pStyle w:val="ListBullet"/>
        <w:ind w:left="720"/>
      </w:pPr>
      <w:r>
        <w:t>Op verzoek van een downstream user (art. 31(2)) — Phoenix Metals moet binnen redelijke termijn leveren.</w:t>
      </w:r>
    </w:p>
    <w:p>
      <w:pPr>
        <w:pStyle w:val="ListBullet"/>
        <w:ind w:left="720"/>
      </w:pPr>
      <w:r>
        <w:t>Elektronisch beschikbaar via een beveiligd portaal of per e-mail, na schriftelijke toestemming van de ontvanger.</w:t>
      </w:r>
    </w:p>
    <w:p>
      <w:pPr>
        <w:pStyle w:val="ListBullet"/>
        <w:ind w:left="720"/>
      </w:pPr>
      <w:r>
        <w:t>Voor de elektrolytproducent (primaire afnemer): het SDS wordt contractueel opgenomen in de leveringsvoorwaarden en kwaliteitsafspraak.</w:t>
      </w:r>
    </w:p>
    <w:p>
      <w:pPr>
        <w:pStyle w:val="Heading3"/>
      </w:pPr>
      <w:r>
        <w:t>2.4.2 Talen</w:t>
      </w:r>
    </w:p>
    <w:p>
      <w:r>
        <w:t>REACH artikel 31, lid 5, vereist dat het SDS wordt opgesteld in de officiële taal/talen van de lidstaat waarin de stof op de markt wordt gebracht. Voor Phoenix Metals geldt:</w:t>
      </w:r>
    </w:p>
    <w:p>
      <w:pPr>
        <w:pStyle w:val="ListBullet"/>
        <w:ind w:left="720"/>
      </w:pPr>
      <w:r>
        <w:t>Nederland: Nederlands (verplicht, primaire markt).</w:t>
      </w:r>
    </w:p>
    <w:p>
      <w:pPr>
        <w:pStyle w:val="ListBullet"/>
        <w:ind w:left="720"/>
      </w:pPr>
      <w:r>
        <w:t>Duitsland: Duits (indien afnemers in Duitsland gevestigd zijn).</w:t>
      </w:r>
    </w:p>
    <w:p>
      <w:pPr>
        <w:pStyle w:val="ListBullet"/>
        <w:ind w:left="720"/>
      </w:pPr>
      <w:r>
        <w:t>Engels: aanbevolen als lingua franca voor internationale communicatie en technische documentatie.</w:t>
      </w:r>
    </w:p>
    <w:p>
      <w:pPr>
        <w:pStyle w:val="ListBullet"/>
        <w:ind w:left="720"/>
      </w:pPr>
      <w:r>
        <w:t>Aanvullende talen: indien Phoenix Metals exporteert naar andere EU-lidstaten, moet het SDS in de betreffende nationale taal beschikbaar zijn.</w:t>
      </w:r>
    </w:p>
    <w:p>
      <w:r>
        <w:t>Strategisch advies: Phoenix Metals start met een Nederlands en Engels SDS. Bij uitbreiding naar Duitse of andere EU-afnemers worden aanvullende vertalingen opgesteld. Vertalingen moeten worden uitgevoerd door een bevoegd vertaler met chemische terminologie-expertise — niet door geautomatiseerde vertaalsoftware.</w:t>
      </w:r>
    </w:p>
    <w:p>
      <w:pPr>
        <w:pStyle w:val="Heading2"/>
      </w:pPr>
      <w:r>
        <w:t>2.5 Actualisatieverplichtingen — overzichtstabel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shd w:fill="1B3A5C" w:val="clear"/>
          </w:tcPr>
          <w:p>
            <w:r/>
            <w:r>
              <w:rPr>
                <w:b/>
                <w:color w:val="FFFFFF"/>
                <w:sz w:val="20"/>
              </w:rPr>
              <w:t>Trigger</w:t>
            </w:r>
          </w:p>
        </w:tc>
        <w:tc>
          <w:tcPr>
            <w:tcW w:type="dxa" w:w="2160"/>
            <w:shd w:fill="1B3A5C" w:val="clear"/>
          </w:tcPr>
          <w:p>
            <w:r/>
            <w:r>
              <w:rPr>
                <w:b/>
                <w:color w:val="FFFFFF"/>
                <w:sz w:val="20"/>
              </w:rPr>
              <w:t>Termijn</w:t>
            </w:r>
          </w:p>
        </w:tc>
        <w:tc>
          <w:tcPr>
            <w:tcW w:type="dxa" w:w="2160"/>
            <w:shd w:fill="1B3A5C" w:val="clear"/>
          </w:tcPr>
          <w:p>
            <w:r/>
            <w:r>
              <w:rPr>
                <w:b/>
                <w:color w:val="FFFFFF"/>
                <w:sz w:val="20"/>
              </w:rPr>
              <w:t>Juridische grondslag</w:t>
            </w:r>
          </w:p>
        </w:tc>
        <w:tc>
          <w:tcPr>
            <w:tcW w:type="dxa" w:w="2160"/>
            <w:shd w:fill="1B3A5C" w:val="clear"/>
          </w:tcPr>
          <w:p>
            <w:r/>
            <w:r>
              <w:rPr>
                <w:b/>
                <w:color w:val="FFFFFF"/>
                <w:sz w:val="20"/>
              </w:rPr>
              <w:t>Toelichting</w:t>
            </w:r>
          </w:p>
        </w:tc>
      </w:tr>
      <w:tr>
        <w:tc>
          <w:tcPr>
            <w:tcW w:type="dxa" w:w="2160"/>
          </w:tcPr>
          <w:p>
            <w:r/>
            <w:r>
              <w:rPr>
                <w:sz w:val="19"/>
              </w:rPr>
              <w:t>Nieuwe hazard-data</w:t>
            </w:r>
          </w:p>
        </w:tc>
        <w:tc>
          <w:tcPr>
            <w:tcW w:type="dxa" w:w="2160"/>
          </w:tcPr>
          <w:p>
            <w:r/>
            <w:r>
              <w:rPr>
                <w:sz w:val="19"/>
              </w:rPr>
              <w:t>Onmiddellijk</w:t>
            </w:r>
          </w:p>
        </w:tc>
        <w:tc>
          <w:tcPr>
            <w:tcW w:type="dxa" w:w="2160"/>
          </w:tcPr>
          <w:p>
            <w:r/>
            <w:r>
              <w:rPr>
                <w:sz w:val="19"/>
              </w:rPr>
              <w:t>Art. 31(9)</w:t>
            </w:r>
          </w:p>
        </w:tc>
        <w:tc>
          <w:tcPr>
            <w:tcW w:type="dxa" w:w="2160"/>
          </w:tcPr>
          <w:p>
            <w:r/>
            <w:r>
              <w:rPr>
                <w:sz w:val="19"/>
              </w:rPr>
              <w:t>Nieuwe toxicologische of ecotoxicologische studies die classificatie beïnvloeden</w:t>
            </w:r>
          </w:p>
        </w:tc>
      </w:tr>
      <w:tr>
        <w:tc>
          <w:tcPr>
            <w:tcW w:type="dxa" w:w="2160"/>
            <w:shd w:fill="E8EEF4" w:val="clear"/>
          </w:tcPr>
          <w:p>
            <w:r/>
            <w:r>
              <w:rPr>
                <w:sz w:val="19"/>
              </w:rPr>
              <w:t>Wijziging samenstelling</w:t>
            </w:r>
          </w:p>
        </w:tc>
        <w:tc>
          <w:tcPr>
            <w:tcW w:type="dxa" w:w="2160"/>
            <w:shd w:fill="E8EEF4" w:val="clear"/>
          </w:tcPr>
          <w:p>
            <w:r/>
            <w:r>
              <w:rPr>
                <w:sz w:val="19"/>
              </w:rPr>
              <w:t>Onmiddellijk</w:t>
            </w:r>
          </w:p>
        </w:tc>
        <w:tc>
          <w:tcPr>
            <w:tcW w:type="dxa" w:w="2160"/>
            <w:shd w:fill="E8EEF4" w:val="clear"/>
          </w:tcPr>
          <w:p>
            <w:r/>
            <w:r>
              <w:rPr>
                <w:sz w:val="19"/>
              </w:rPr>
              <w:t>Art. 31(9)</w:t>
            </w:r>
          </w:p>
        </w:tc>
        <w:tc>
          <w:tcPr>
            <w:tcW w:type="dxa" w:w="2160"/>
            <w:shd w:fill="E8EEF4" w:val="clear"/>
          </w:tcPr>
          <w:p>
            <w:r/>
            <w:r>
              <w:rPr>
                <w:sz w:val="19"/>
              </w:rPr>
              <w:t>Ander onzuiverhedenprofiel, nieuwe slakbron, proceswijziging</w:t>
            </w:r>
          </w:p>
        </w:tc>
      </w:tr>
      <w:tr>
        <w:tc>
          <w:tcPr>
            <w:tcW w:type="dxa" w:w="2160"/>
          </w:tcPr>
          <w:p>
            <w:r/>
            <w:r>
              <w:rPr>
                <w:sz w:val="19"/>
              </w:rPr>
              <w:t>Wijziging OEL/grenswaarden</w:t>
            </w:r>
          </w:p>
        </w:tc>
        <w:tc>
          <w:tcPr>
            <w:tcW w:type="dxa" w:w="2160"/>
          </w:tcPr>
          <w:p>
            <w:r/>
            <w:r>
              <w:rPr>
                <w:sz w:val="19"/>
              </w:rPr>
              <w:t>Binnen 6 maanden</w:t>
            </w:r>
          </w:p>
        </w:tc>
        <w:tc>
          <w:tcPr>
            <w:tcW w:type="dxa" w:w="2160"/>
          </w:tcPr>
          <w:p>
            <w:r/>
            <w:r>
              <w:rPr>
                <w:sz w:val="19"/>
              </w:rPr>
              <w:t>Art. 31(9)</w:t>
            </w:r>
          </w:p>
        </w:tc>
        <w:tc>
          <w:tcPr>
            <w:tcW w:type="dxa" w:w="2160"/>
          </w:tcPr>
          <w:p>
            <w:r/>
            <w:r>
              <w:rPr>
                <w:sz w:val="19"/>
              </w:rPr>
              <w:t>Nieuwe SER/SCOEL-adviezen, nationale grenswaarden</w:t>
            </w:r>
          </w:p>
        </w:tc>
      </w:tr>
      <w:tr>
        <w:tc>
          <w:tcPr>
            <w:tcW w:type="dxa" w:w="2160"/>
            <w:shd w:fill="E8EEF4" w:val="clear"/>
          </w:tcPr>
          <w:p>
            <w:r/>
            <w:r>
              <w:rPr>
                <w:sz w:val="19"/>
              </w:rPr>
              <w:t>SVHC-kandidatenlijst</w:t>
            </w:r>
          </w:p>
        </w:tc>
        <w:tc>
          <w:tcPr>
            <w:tcW w:type="dxa" w:w="2160"/>
            <w:shd w:fill="E8EEF4" w:val="clear"/>
          </w:tcPr>
          <w:p>
            <w:r/>
            <w:r>
              <w:rPr>
                <w:sz w:val="19"/>
              </w:rPr>
              <w:t>Onmiddellijk</w:t>
            </w:r>
          </w:p>
        </w:tc>
        <w:tc>
          <w:tcPr>
            <w:tcW w:type="dxa" w:w="2160"/>
            <w:shd w:fill="E8EEF4" w:val="clear"/>
          </w:tcPr>
          <w:p>
            <w:r/>
            <w:r>
              <w:rPr>
                <w:sz w:val="19"/>
              </w:rPr>
              <w:t>Art. 31(9)</w:t>
            </w:r>
          </w:p>
        </w:tc>
        <w:tc>
          <w:tcPr>
            <w:tcW w:type="dxa" w:w="2160"/>
            <w:shd w:fill="E8EEF4" w:val="clear"/>
          </w:tcPr>
          <w:p>
            <w:r/>
            <w:r>
              <w:rPr>
                <w:sz w:val="19"/>
              </w:rPr>
              <w:t>Opneming van vanadiumverbinding op ECHA-kandidatenlijst</w:t>
            </w:r>
          </w:p>
        </w:tc>
      </w:tr>
      <w:tr>
        <w:tc>
          <w:tcPr>
            <w:tcW w:type="dxa" w:w="2160"/>
          </w:tcPr>
          <w:p>
            <w:r/>
            <w:r>
              <w:rPr>
                <w:sz w:val="19"/>
              </w:rPr>
              <w:t>CLP-ATP wijziging</w:t>
            </w:r>
          </w:p>
        </w:tc>
        <w:tc>
          <w:tcPr>
            <w:tcW w:type="dxa" w:w="2160"/>
          </w:tcPr>
          <w:p>
            <w:r/>
            <w:r>
              <w:rPr>
                <w:sz w:val="19"/>
              </w:rPr>
              <w:t>Voor inwerkingtreding</w:t>
            </w:r>
          </w:p>
        </w:tc>
        <w:tc>
          <w:tcPr>
            <w:tcW w:type="dxa" w:w="2160"/>
          </w:tcPr>
          <w:p>
            <w:r/>
            <w:r>
              <w:rPr>
                <w:sz w:val="19"/>
              </w:rPr>
              <w:t>Art. 31(9)</w:t>
            </w:r>
          </w:p>
        </w:tc>
        <w:tc>
          <w:tcPr>
            <w:tcW w:type="dxa" w:w="2160"/>
          </w:tcPr>
          <w:p>
            <w:r/>
            <w:r>
              <w:rPr>
                <w:sz w:val="19"/>
              </w:rPr>
              <w:t>Nieuwe harmonisatieclassificatie via CLP-ATP</w:t>
            </w:r>
          </w:p>
        </w:tc>
      </w:tr>
      <w:tr>
        <w:tc>
          <w:tcPr>
            <w:tcW w:type="dxa" w:w="2160"/>
            <w:shd w:fill="E8EEF4" w:val="clear"/>
          </w:tcPr>
          <w:p>
            <w:r/>
            <w:r>
              <w:rPr>
                <w:sz w:val="19"/>
              </w:rPr>
              <w:t>Periodieke review</w:t>
            </w:r>
          </w:p>
        </w:tc>
        <w:tc>
          <w:tcPr>
            <w:tcW w:type="dxa" w:w="2160"/>
            <w:shd w:fill="E8EEF4" w:val="clear"/>
          </w:tcPr>
          <w:p>
            <w:r/>
            <w:r>
              <w:rPr>
                <w:sz w:val="19"/>
              </w:rPr>
              <w:t>Minimaal elke 3 jaar</w:t>
            </w:r>
          </w:p>
        </w:tc>
        <w:tc>
          <w:tcPr>
            <w:tcW w:type="dxa" w:w="2160"/>
            <w:shd w:fill="E8EEF4" w:val="clear"/>
          </w:tcPr>
          <w:p>
            <w:r/>
            <w:r>
              <w:rPr>
                <w:sz w:val="19"/>
              </w:rPr>
              <w:t>Best practice</w:t>
            </w:r>
          </w:p>
        </w:tc>
        <w:tc>
          <w:tcPr>
            <w:tcW w:type="dxa" w:w="2160"/>
            <w:shd w:fill="E8EEF4" w:val="clear"/>
          </w:tcPr>
          <w:p>
            <w:r/>
            <w:r>
              <w:rPr>
                <w:sz w:val="19"/>
              </w:rPr>
              <w:t>Formele review, ook bij afwezigheid van wijzigingen</w:t>
            </w:r>
          </w:p>
        </w:tc>
      </w:tr>
      <w:tr>
        <w:tc>
          <w:tcPr>
            <w:tcW w:type="dxa" w:w="2160"/>
          </w:tcPr>
          <w:p>
            <w:r/>
            <w:r>
              <w:rPr>
                <w:sz w:val="19"/>
              </w:rPr>
              <w:t>Klantverzoek</w:t>
            </w:r>
          </w:p>
        </w:tc>
        <w:tc>
          <w:tcPr>
            <w:tcW w:type="dxa" w:w="2160"/>
          </w:tcPr>
          <w:p>
            <w:r/>
            <w:r>
              <w:rPr>
                <w:sz w:val="19"/>
              </w:rPr>
              <w:t>Binnen redelijke termijn</w:t>
            </w:r>
          </w:p>
        </w:tc>
        <w:tc>
          <w:tcPr>
            <w:tcW w:type="dxa" w:w="2160"/>
          </w:tcPr>
          <w:p>
            <w:r/>
            <w:r>
              <w:rPr>
                <w:sz w:val="19"/>
              </w:rPr>
              <w:t>Art. 31(2)</w:t>
            </w:r>
          </w:p>
        </w:tc>
        <w:tc>
          <w:tcPr>
            <w:tcW w:type="dxa" w:w="2160"/>
          </w:tcPr>
          <w:p>
            <w:r/>
            <w:r>
              <w:rPr>
                <w:sz w:val="19"/>
              </w:rPr>
              <w:t>Downstream user verzoekt om bijgewerkt SDS</w:t>
            </w:r>
          </w:p>
        </w:tc>
      </w:tr>
    </w:tbl>
    <w:p/>
    <w:p>
      <w:r>
        <w:br w:type="page"/>
      </w:r>
    </w:p>
    <w:p>
      <w:pPr>
        <w:pStyle w:val="Heading1"/>
      </w:pPr>
      <w:r>
        <w:t>3. Deel B — Specifieke VIB-inhoud: 16-secties invulling</w:t>
      </w:r>
    </w:p>
    <w:p>
      <w:r>
        <w:t>Onderstaande tabel biedt een gedetailleerde, productspecifieke invulling van alle 16 SDS-secties conform REACH Bijlage II, zoals gewijzigd door Verordening (EU) 2020/878. De invulling is specifiek gericht op het vanadiumhalffabrikaat van Phoenix Metals, geproduceerd uit staalslakken via thermische/chemische terugwinning.</w:t>
      </w:r>
    </w:p>
    <w:p>
      <w:pPr>
        <w:pStyle w:val="Heading2"/>
      </w:pPr>
      <w:r>
        <w:t>1. Identificatie van de stof/het mengsel en van de vennootschap/onderneming</w:t>
      </w:r>
    </w:p>
    <w:p>
      <w:pPr>
        <w:pStyle w:val="ListBullet"/>
        <w:ind w:left="720"/>
      </w:pPr>
      <w:r>
        <w:t>Productidentificatie: "Vanadiumhalffabrikaat (uit staalslakken)" — met specifiek CAS-nummer en EG-nummer van de dominante vanadiumverbinding (bijv. V₂O₅ CAS 1314-62-1 / EG 215-239-8).</w:t>
      </w:r>
    </w:p>
    <w:p>
      <w:pPr>
        <w:pStyle w:val="ListBullet"/>
        <w:ind w:left="720"/>
      </w:pPr>
      <w:r>
        <w:t>Relevant geïdentificeerd gebruik: "Grondstof voor de productie van vanadium-redox-flowbatterij-elektrolyt" (ERC 1, PROC 1, 2, 3, 8b, 21).</w:t>
      </w:r>
    </w:p>
    <w:p>
      <w:pPr>
        <w:pStyle w:val="ListBullet"/>
        <w:ind w:left="720"/>
      </w:pPr>
      <w:r>
        <w:t>Leverancier: Phoenix Metals B.V., inclusief volledig adres, telefoonnummer en e-mail.</w:t>
      </w:r>
    </w:p>
    <w:p>
      <w:pPr>
        <w:pStyle w:val="ListBullet"/>
        <w:ind w:left="720"/>
      </w:pPr>
      <w:r>
        <w:t>Noodtelefoon: 24/7 bereikbaar gifinfolijn (bijv. NVIC +31 30 274 8888 of nationaal vergifnummer).</w:t>
      </w:r>
    </w:p>
    <w:p>
      <w:pPr>
        <w:pStyle w:val="ListBullet"/>
        <w:ind w:left="720"/>
      </w:pPr>
      <w:r>
        <w:t>Opmerking: vermeld dat het product een teruggewonnen stof betreft uit staalslakken, conform REACH art. 2(7)(d) indien van toepassing.</w:t>
      </w:r>
    </w:p>
    <w:p>
      <w:pPr>
        <w:pStyle w:val="Heading2"/>
      </w:pPr>
      <w:r>
        <w:t>2. Identificatie van de gevaren</w:t>
      </w:r>
    </w:p>
    <w:p>
      <w:pPr>
        <w:pStyle w:val="ListBullet"/>
        <w:ind w:left="720"/>
      </w:pPr>
      <w:r>
        <w:t>CLP-classificatie (op basis van V₂O₅ als hoofdbestanddeel):</w:t>
      </w:r>
    </w:p>
    <w:p>
      <w:pPr>
        <w:pStyle w:val="ListBullet"/>
        <w:ind w:left="1077"/>
      </w:pPr>
      <w:r>
        <w:t>Acute Tox. 3 (H331: Giftig bij inademing)</w:t>
      </w:r>
    </w:p>
    <w:p>
      <w:pPr>
        <w:pStyle w:val="ListBullet"/>
        <w:ind w:left="1077"/>
      </w:pPr>
      <w:r>
        <w:t>Acute Tox. 2 (H300: Dodelijk bij inslikken) indien V₂O₅ &gt; concentratiegrens</w:t>
      </w:r>
    </w:p>
    <w:p>
      <w:pPr>
        <w:pStyle w:val="ListBullet"/>
        <w:ind w:left="1077"/>
      </w:pPr>
      <w:r>
        <w:t>Carc. 1B (H350i: Kan kanker veroorzaken bij inademing)</w:t>
      </w:r>
    </w:p>
    <w:p>
      <w:pPr>
        <w:pStyle w:val="ListBullet"/>
        <w:ind w:left="1077"/>
      </w:pPr>
      <w:r>
        <w:t>Mut. 2 (H341: Vermoedelijk genetisch veranderlijk)</w:t>
      </w:r>
    </w:p>
    <w:p>
      <w:pPr>
        <w:pStyle w:val="ListBullet"/>
        <w:ind w:left="1077"/>
      </w:pPr>
      <w:r>
        <w:t>Repr. 2 (H361fd: Vermoedelijk schadelijk voor de vruchtbaarheid; vermoedelijk schadelijk voor het ongeboren kind)</w:t>
      </w:r>
    </w:p>
    <w:p>
      <w:pPr>
        <w:pStyle w:val="ListBullet"/>
        <w:ind w:left="1077"/>
      </w:pPr>
      <w:r>
        <w:t>STOT RE 1 (H372: Veroorzaakt schade aan organen bij langdurige of herhaalde blootstelling)</w:t>
      </w:r>
    </w:p>
    <w:p>
      <w:pPr>
        <w:pStyle w:val="ListBullet"/>
        <w:ind w:left="1077"/>
      </w:pPr>
      <w:r>
        <w:t>Skin Irrit. 2 (H315: Veroorzaakt huidirritatie)</w:t>
      </w:r>
    </w:p>
    <w:p>
      <w:pPr>
        <w:pStyle w:val="ListBullet"/>
        <w:ind w:left="1077"/>
      </w:pPr>
      <w:r>
        <w:t>Eye Dam. 1 (H318: Veroorzaakt ernstig oogletsel)</w:t>
      </w:r>
    </w:p>
    <w:p>
      <w:pPr>
        <w:pStyle w:val="ListBullet"/>
        <w:ind w:left="720"/>
      </w:pPr>
      <w:r>
        <w:t>Signalwoord: GEVAAR</w:t>
      </w:r>
    </w:p>
    <w:p>
      <w:pPr>
        <w:pStyle w:val="ListBullet"/>
        <w:ind w:left="720"/>
      </w:pPr>
      <w:r>
        <w:t>Gevarenpictogrammen: GHS06 (dodenkop), GHS08 (gezondheidsgevaar), GHS05 (corrosie)</w:t>
      </w:r>
    </w:p>
    <w:p>
      <w:pPr>
        <w:pStyle w:val="ListBullet"/>
        <w:ind w:left="720"/>
      </w:pPr>
      <w:r>
        <w:t>Specifieke concentratiegrenzen toepassen op basis van daadwerkelijke V₂O₅-gehalte in het halffabrikaat</w:t>
      </w:r>
    </w:p>
    <w:p>
      <w:pPr>
        <w:pStyle w:val="ListBullet"/>
        <w:ind w:left="720"/>
      </w:pPr>
      <w:r>
        <w:t>Verwante gevaren van onzuiverheden (Cr, Mn) afzonderlijk beoordelen indien ≥1%</w:t>
      </w:r>
    </w:p>
    <w:p>
      <w:pPr>
        <w:pStyle w:val="Heading2"/>
      </w:pPr>
      <w:r>
        <w:t>3. Samenstelling en informatie over de bestanddelen</w:t>
      </w:r>
    </w:p>
    <w:p>
      <w:pPr>
        <w:pStyle w:val="ListBullet"/>
        <w:ind w:left="720"/>
      </w:pPr>
      <w:r>
        <w:t>Hoofdbestanddeel: Vanadiumverbinding (V₂O₅ of andere dominante vorm) — concentratiebereik in gewichtsprocenten</w:t>
      </w:r>
    </w:p>
    <w:p>
      <w:pPr>
        <w:pStyle w:val="ListBullet"/>
        <w:ind w:left="720"/>
      </w:pPr>
      <w:r>
        <w:t>Onzuiverheden afkomstig uit staalslakken (range-concentraties wegens UVCB-karakter):</w:t>
      </w:r>
    </w:p>
    <w:p>
      <w:pPr>
        <w:pStyle w:val="ListBullet"/>
        <w:ind w:left="1077"/>
      </w:pPr>
      <w:r>
        <w:t>Chroom (Cr/Cr³⁺/Cr⁶⁺): CAS 7440-47-3 — concentratiebereik op basis van analyseresultaten</w:t>
      </w:r>
    </w:p>
    <w:p>
      <w:pPr>
        <w:pStyle w:val="ListBullet"/>
        <w:ind w:left="1077"/>
      </w:pPr>
      <w:r>
        <w:t>Mangaan (Mn): CAS 7439-96-5 — concentratiebereik</w:t>
      </w:r>
    </w:p>
    <w:p>
      <w:pPr>
        <w:pStyle w:val="ListBullet"/>
        <w:ind w:left="1077"/>
      </w:pPr>
      <w:r>
        <w:t>Silicium (Si/SiO₂): CAS 7440-21-3 — concentratiebereik</w:t>
      </w:r>
    </w:p>
    <w:p>
      <w:pPr>
        <w:pStyle w:val="ListBullet"/>
        <w:ind w:left="1077"/>
      </w:pPr>
      <w:r>
        <w:t>IJzer (Fe/Fe₂O₃): CAS 7439-89-6 — concentratiebereik</w:t>
      </w:r>
    </w:p>
    <w:p>
      <w:pPr>
        <w:pStyle w:val="ListBullet"/>
        <w:ind w:left="1077"/>
      </w:pPr>
      <w:r>
        <w:t>Calcium (Ca/CaO): CAS 7440-70-2 — concentratiebereik</w:t>
      </w:r>
    </w:p>
    <w:p>
      <w:pPr>
        <w:pStyle w:val="ListBullet"/>
        <w:ind w:left="1077"/>
      </w:pPr>
      <w:r>
        <w:t>Magnesium (Mg/MgO): CAS 7435-50-9 — concentratiebereik</w:t>
      </w:r>
    </w:p>
    <w:p>
      <w:pPr>
        <w:pStyle w:val="ListBullet"/>
        <w:ind w:left="720"/>
      </w:pPr>
      <w:r>
        <w:t>Voor elke onzuiverheid ≥1%: CLP-classificatie en H/P-zinnen vermelden</w:t>
      </w:r>
    </w:p>
    <w:p>
      <w:pPr>
        <w:pStyle w:val="ListBullet"/>
        <w:ind w:left="720"/>
      </w:pPr>
      <w:r>
        <w:t>Voor onzuiverheden &lt;1% met CMR- of PBT-eigenschappen: afzonderlijk vermelden</w:t>
      </w:r>
    </w:p>
    <w:p>
      <w:pPr>
        <w:pStyle w:val="ListBullet"/>
        <w:ind w:left="720"/>
      </w:pPr>
      <w:r>
        <w:t>UVCB-vermelding: "De samenstelling kan variëren afhankelijk van de herkomst van de staalslakken"</w:t>
      </w:r>
    </w:p>
    <w:p>
      <w:pPr>
        <w:pStyle w:val="ListBullet"/>
        <w:ind w:left="720"/>
      </w:pPr>
      <w:r>
        <w:t>Indien mengsel: vermeld "mengsel" met UFI-code (Unique Formula Identifier)</w:t>
      </w:r>
    </w:p>
    <w:p>
      <w:pPr>
        <w:pStyle w:val="Heading2"/>
      </w:pPr>
      <w:r>
        <w:t>4. Eerstehulpmaatregelen</w:t>
      </w:r>
    </w:p>
    <w:p>
      <w:pPr>
        <w:pStyle w:val="ListBullet"/>
        <w:ind w:left="720"/>
      </w:pPr>
      <w:r>
        <w:t>Algemeen: onmiddellijk medische hulp inschakelen bij blootstelling. SDS tonen aan behandelend arts.</w:t>
      </w:r>
    </w:p>
    <w:p>
      <w:pPr>
        <w:pStyle w:val="ListBullet"/>
        <w:ind w:left="720"/>
      </w:pPr>
      <w:r>
        <w:t>Inhalatie: slachtoffer naar frisse lucht brengen. Bij aanhoudende klachten: arts raadplegen. Vanadiumverbindingen veroorzaken irritatie van luchtwegen, hoesten, benauwdheid.</w:t>
      </w:r>
    </w:p>
    <w:p>
      <w:pPr>
        <w:pStyle w:val="ListBullet"/>
        <w:ind w:left="720"/>
      </w:pPr>
      <w:r>
        <w:t>Huidcontact: verontreinigde kleding uittrekken. Huid grondig wassen met water en zeep. Bij aanhoudende irritatie: arts raadplegen. Vanadiumzouten kunnen huidirritatie en eczeem veroorzaken.</w:t>
      </w:r>
    </w:p>
    <w:p>
      <w:pPr>
        <w:pStyle w:val="ListBullet"/>
        <w:ind w:left="720"/>
      </w:pPr>
      <w:r>
        <w:t>Oogcontact: ogen onmiddellijk 15 minuten spoelen met overvloedig water (lenzen verwijderen). Direct oogarts raadplegen. V₂O₅ veroorzaakt ernstig oogletsel.</w:t>
      </w:r>
    </w:p>
    <w:p>
      <w:pPr>
        <w:pStyle w:val="ListBullet"/>
        <w:ind w:left="720"/>
      </w:pPr>
      <w:r>
        <w:t>Inslikken: mond spoelen met water. NIET braken opwekken. Onmiddellijk arts raadplegen. Vanadiumverbindingen zijn acuut toxisch bij orale blootstelling.</w:t>
      </w:r>
    </w:p>
    <w:p>
      <w:pPr>
        <w:pStyle w:val="ListBullet"/>
        <w:ind w:left="720"/>
      </w:pPr>
      <w:r>
        <w:t>Specifieke symptomen van vanadiumblootstelling: groene verkleuring van de tong, hoesten, piepende ademhaling, misselijkheid, buikkrampen.</w:t>
      </w:r>
    </w:p>
    <w:p>
      <w:pPr>
        <w:pStyle w:val="ListBullet"/>
        <w:ind w:left="720"/>
      </w:pPr>
      <w:r>
        <w:t>Specifiek antidotum: geen algemeen aanvaard antidotum; symptomatische behandeling.</w:t>
      </w:r>
    </w:p>
    <w:p>
      <w:pPr>
        <w:pStyle w:val="Heading2"/>
      </w:pPr>
      <w:r>
        <w:t>5. Brandbestrijdingsmaatregelen</w:t>
      </w:r>
    </w:p>
    <w:p>
      <w:pPr>
        <w:pStyle w:val="ListBullet"/>
        <w:ind w:left="720"/>
      </w:pPr>
      <w:r>
        <w:t>Brandklasse: het vanadiumhalffabrikaat is niet brandbaar (anorganische verbinding). Geen specifieke brandklasse.</w:t>
      </w:r>
    </w:p>
    <w:p>
      <w:pPr>
        <w:pStyle w:val="ListBullet"/>
        <w:ind w:left="720"/>
      </w:pPr>
      <w:r>
        <w:t>Geschikte blusmiddelen: aanpassen aan omgevingsbrand. Waternevel, schuim, droge poederblusser of CO₂.</w:t>
      </w:r>
    </w:p>
    <w:p>
      <w:pPr>
        <w:pStyle w:val="ListBullet"/>
        <w:ind w:left="720"/>
      </w:pPr>
      <w:r>
        <w:t>Ongeschikte blusmiddelen: krachtige waterstraal (kan stofwolk veroorzaken en verspreiding van vanadiumdeeltjes).</w:t>
      </w:r>
    </w:p>
    <w:p>
      <w:pPr>
        <w:pStyle w:val="ListBullet"/>
        <w:ind w:left="720"/>
      </w:pPr>
      <w:r>
        <w:t>Specifieke gevaren bij brand: bij verhitting boven 690°C (smeltpunt V₂O₅) ontstaat gesmolten vanadiumpentoxide — corrosief en toxisch. Ontledingsproducten: V₂O₅-dampen en -aerosolen (zeer toxisch bij inademing).</w:t>
      </w:r>
    </w:p>
    <w:p>
      <w:pPr>
        <w:pStyle w:val="ListBullet"/>
        <w:ind w:left="720"/>
      </w:pPr>
      <w:r>
        <w:t>Beschermingsmiddelen brandweer: zelfstandig ademappaaratuur (SCBA), volledige beschermende kleding. Vermijd inademing van verbrandingsgassen.</w:t>
      </w:r>
    </w:p>
    <w:p>
      <w:pPr>
        <w:pStyle w:val="ListBullet"/>
        <w:ind w:left="720"/>
      </w:pPr>
      <w:r>
        <w:t>Milieuvoorzorgsmaatregelen: bluswater niet in riolering of oppervlaktewater laten stromen — bluswater opvangen.</w:t>
      </w:r>
    </w:p>
    <w:p>
      <w:pPr>
        <w:pStyle w:val="Heading2"/>
      </w:pPr>
      <w:r>
        <w:t>6. Maatregelen bij het vrijkomen per ongeluk</w:t>
      </w:r>
    </w:p>
    <w:p>
      <w:pPr>
        <w:pStyle w:val="ListBullet"/>
        <w:ind w:left="720"/>
      </w:pPr>
      <w:r>
        <w:t>Persoonlijke voorzorgsmaatregelen: adequaat PBM dragen (FFP3-masker, veiligheidsbril, beschermhandschoenen nitril, beschermkleding). Stofvorming voorkomen. Onbevoegden op afstand houden.</w:t>
      </w:r>
    </w:p>
    <w:p>
      <w:pPr>
        <w:pStyle w:val="ListBullet"/>
        <w:ind w:left="720"/>
      </w:pPr>
      <w:r>
        <w:t>Milieuvoorzorgsmaatregelen: niet in riolering, oppervlaktewater of bodem laten terechtkomen. Spill opvangen — vanadium is toxisch voor waterorganismen.</w:t>
      </w:r>
    </w:p>
    <w:p>
      <w:pPr>
        <w:pStyle w:val="ListBullet"/>
        <w:ind w:left="720"/>
      </w:pPr>
      <w:r>
        <w:t>Opschoonprocedure: vochtig maken om stofvorming te voorkomen. Voorzichtig opscheppen in geschikt, gesloten en gelabeld afvalvat. Stofzuigen alleen met HEPA-filterstofzuiger (géén conventionele stofzuiger).</w:t>
      </w:r>
    </w:p>
    <w:p>
      <w:pPr>
        <w:pStyle w:val="ListBullet"/>
        <w:ind w:left="720"/>
      </w:pPr>
      <w:r>
        <w:t>PBM bij lekkage: minimaal FFP3-partikelmasker (P3-filter), chemiebestendige handschoenen (nitril, dikte ≥0,11 mm), veiligheidsbril met zijbescherming, beschermende overall.</w:t>
      </w:r>
    </w:p>
    <w:p>
      <w:pPr>
        <w:pStyle w:val="ListBullet"/>
        <w:ind w:left="720"/>
      </w:pPr>
      <w:r>
        <w:t>Melden: incident intern registreren en indien significant: melden aan bevoegde autoriteit (omgevingsdienst) conform BRZO/meldplicht.</w:t>
      </w:r>
    </w:p>
    <w:p>
      <w:pPr>
        <w:pStyle w:val="Heading2"/>
      </w:pPr>
      <w:r>
        <w:t>7. Hantering en opslag</w:t>
      </w:r>
    </w:p>
    <w:p>
      <w:pPr>
        <w:pStyle w:val="ListBullet"/>
        <w:ind w:left="720"/>
      </w:pPr>
      <w:r>
        <w:t>Hantering: stofvorming minimaliseren. Werken in goed geventileerde ruimte (lokale afzuiging bij bron). Niet eten, drinken of roken tijdens hantering. Handen wassen na gebruik. Contact met huid, ogen en kleding vermijden.</w:t>
      </w:r>
    </w:p>
    <w:p>
      <w:pPr>
        <w:pStyle w:val="ListBullet"/>
        <w:ind w:left="720"/>
      </w:pPr>
      <w:r>
        <w:t>Compatibele materialen: HDPE, PP, roestvast staal (316L). Incompatibel: aluminium, zink (corrosierisico bij contact met zure vanadiumverbindingen).</w:t>
      </w:r>
    </w:p>
    <w:p>
      <w:pPr>
        <w:pStyle w:val="ListBullet"/>
        <w:ind w:left="720"/>
      </w:pPr>
      <w:r>
        <w:t>Opslagcondities: droog, koel, goed geventileerd. Verwijderd van voedsel en drinkwater. In oorspronkelijke verpakking of geschikt alternatief (HDPE/PP). Opslag conform PGS 15 richtlijn.</w:t>
      </w:r>
    </w:p>
    <w:p>
      <w:pPr>
        <w:pStyle w:val="ListBullet"/>
        <w:ind w:left="720"/>
      </w:pPr>
      <w:r>
        <w:t>Opslagtemperatuur: bij voorkeur &lt;30°C. Vermijd blootstelling aan vocht (kan klivering veroorzaken).</w:t>
      </w:r>
    </w:p>
    <w:p>
      <w:pPr>
        <w:pStyle w:val="ListBullet"/>
        <w:ind w:left="720"/>
      </w:pPr>
      <w:r>
        <w:t>Specifieke einden: verzegelde verpakking, droge opslag, gescheiden van incompatibele stoffen (zuren, sterke oxidatoren, aluminium, zink).</w:t>
      </w:r>
    </w:p>
    <w:p>
      <w:pPr>
        <w:pStyle w:val="ListBullet"/>
        <w:ind w:left="720"/>
      </w:pPr>
      <w:r>
        <w:t>PGS 15: bij opslag van &gt;400 kg gevaarlijke stoffen is een opslagvergunning conform PGS 15 vereist.</w:t>
      </w:r>
    </w:p>
    <w:p>
      <w:pPr>
        <w:pStyle w:val="Heading2"/>
      </w:pPr>
      <w:r>
        <w:t>8. Maatregelen ter beheersing van blootstelling / persoonlijke bescherming</w:t>
      </w:r>
    </w:p>
    <w:p>
      <w:pPr>
        <w:pStyle w:val="ListBullet"/>
        <w:ind w:left="720"/>
      </w:pPr>
      <w:r>
        <w:t>Grenswaarden:</w:t>
      </w:r>
    </w:p>
    <w:p>
      <w:pPr>
        <w:pStyle w:val="ListBullet"/>
        <w:ind w:left="1077"/>
      </w:pPr>
      <w:r>
        <w:t>Vanadiumpentoxide (V₂O₅), inhalabele fractie: OEL = 0,05 mg/m³ (8-uur TWA) — SER Nederland, bindend.</w:t>
      </w:r>
    </w:p>
    <w:p>
      <w:pPr>
        <w:pStyle w:val="ListBullet"/>
        <w:ind w:left="1077"/>
      </w:pPr>
      <w:r>
        <w:t>Vanadium, respirabele fractie: 0,04 mg/m³ (TWA) — AGW Duitsland (indien export).</w:t>
      </w:r>
    </w:p>
    <w:p>
      <w:pPr>
        <w:pStyle w:val="ListBullet"/>
        <w:ind w:left="1077"/>
      </w:pPr>
      <w:r>
        <w:t>Chroom (Cr⁶⁺, indien aanwezig als onzuiverheid): OEL = 0,025 mg/m³ (individuele grenswade).</w:t>
      </w:r>
    </w:p>
    <w:p>
      <w:pPr>
        <w:pStyle w:val="ListBullet"/>
        <w:ind w:left="1077"/>
      </w:pPr>
      <w:r>
        <w:t>Mangaan (Mn, indien aanwezig): OEL = 0,2 mg/m³ (inhalabeer fractie).</w:t>
      </w:r>
    </w:p>
    <w:p>
      <w:pPr>
        <w:pStyle w:val="ListBullet"/>
        <w:ind w:left="720"/>
      </w:pPr>
      <w:r>
        <w:t>Technische maatregelen: lokale afzuiging (LEV) bij alle werkzaamheden met stofvorming. Gesloten systeem waar mogelijk. Ventilatie: minimaal 10 luchtverversingen per uur in werkruimte.</w:t>
      </w:r>
    </w:p>
    <w:p>
      <w:pPr>
        <w:pStyle w:val="ListBullet"/>
        <w:ind w:left="720"/>
      </w:pPr>
      <w:r>
        <w:t>PBM per taak:</w:t>
      </w:r>
    </w:p>
    <w:p>
      <w:pPr>
        <w:pStyle w:val="ListBullet"/>
        <w:ind w:left="1077"/>
      </w:pPr>
      <w:r>
        <w:t>Hantering/overladen: FFP3-masker, nitril handschoenen, veiligheidsbril</w:t>
      </w:r>
    </w:p>
    <w:p>
      <w:pPr>
        <w:pStyle w:val="ListBullet"/>
        <w:ind w:left="1077"/>
      </w:pPr>
      <w:r>
        <w:t>Monstername/analyse: FFP3-masker, nitril handschoenen, laboratoriumjas</w:t>
      </w:r>
    </w:p>
    <w:p>
      <w:pPr>
        <w:pStyle w:val="ListBullet"/>
        <w:ind w:left="1077"/>
      </w:pPr>
      <w:r>
        <w:t>Onderhoud/schoonmaak: volledige beschermkleding + FFP3 + gezichtsscherm</w:t>
      </w:r>
    </w:p>
    <w:p>
      <w:pPr>
        <w:pStyle w:val="ListBullet"/>
        <w:ind w:left="1077"/>
      </w:pPr>
      <w:r>
        <w:t>Noodsituatie: SCBA + volledige chemiepak</w:t>
      </w:r>
    </w:p>
    <w:p>
      <w:pPr>
        <w:pStyle w:val="ListBullet"/>
        <w:ind w:left="720"/>
      </w:pPr>
      <w:r>
        <w:t>Blootstellingsmonitoring: periodieke meting van V₂O₅-concentratie in werkomgeving (persoonlijke bemonstering). Medisch toezicht: periodiek arbeidsgezondheidskundig onderzoek (PAGO) voor werknemers met structurele blootstelling.</w:t>
      </w:r>
    </w:p>
    <w:p>
      <w:pPr>
        <w:pStyle w:val="ListBullet"/>
        <w:ind w:left="720"/>
      </w:pPr>
      <w:r>
        <w:t>Overige: hygiënemaatregelen — geen kleding met stofverontreiniging meenemen naar leefruimten. Separate wasvoorziening voor werkkleding.</w:t>
      </w:r>
    </w:p>
    <w:p>
      <w:pPr>
        <w:pStyle w:val="Heading2"/>
      </w:pPr>
      <w:r>
        <w:t>9. Fysische en chemische eigenschappen</w:t>
      </w:r>
    </w:p>
    <w:p>
      <w:pPr>
        <w:pStyle w:val="ListBullet"/>
        <w:ind w:left="720"/>
      </w:pPr>
      <w:r>
        <w:t>Aggregatietoestand: vast (poeder, korrels of cake, afhankelijk van het terugwinningsproces)</w:t>
      </w:r>
    </w:p>
    <w:p>
      <w:pPr>
        <w:pStyle w:val="ListBullet"/>
        <w:ind w:left="720"/>
      </w:pPr>
      <w:r>
        <w:t>Kleur: oranje-geel tot roodbruin (afhankelijk van V₂O₅-gehalte en oxidatietoestand)</w:t>
      </w:r>
    </w:p>
    <w:p>
      <w:pPr>
        <w:pStyle w:val="ListBullet"/>
        <w:ind w:left="720"/>
      </w:pPr>
      <w:r>
        <w:t>Geur: reukloos</w:t>
      </w:r>
    </w:p>
    <w:p>
      <w:pPr>
        <w:pStyle w:val="ListBullet"/>
        <w:ind w:left="720"/>
      </w:pPr>
      <w:r>
        <w:t>Smeltpunt: ~690°C (V₂O₅) — smelt met decompositie</w:t>
      </w:r>
    </w:p>
    <w:p>
      <w:pPr>
        <w:pStyle w:val="ListBullet"/>
        <w:ind w:left="720"/>
      </w:pPr>
      <w:r>
        <w:t>Kookpunt: decompositie boven 1750°C</w:t>
      </w:r>
    </w:p>
    <w:p>
      <w:pPr>
        <w:pStyle w:val="ListBullet"/>
        <w:ind w:left="720"/>
      </w:pPr>
      <w:r>
        <w:t>Dichtheid: ~3,36 g/cm³ (V₂O₅ bij 20°C)</w:t>
      </w:r>
    </w:p>
    <w:p>
      <w:pPr>
        <w:pStyle w:val="ListBullet"/>
        <w:ind w:left="720"/>
      </w:pPr>
      <w:r>
        <w:t>Oplosbaarheid in water: licht oplosbaar (ca. 0,8 g/L bij 20°C voor V₂O₅); oplosbaar in zuur en base</w:t>
      </w:r>
    </w:p>
    <w:p>
      <w:pPr>
        <w:pStyle w:val="ListBullet"/>
        <w:ind w:left="720"/>
      </w:pPr>
      <w:r>
        <w:t>pH: zuur in waterige oplossing (pH ~3-4 voor verzadigde oplossing)</w:t>
      </w:r>
    </w:p>
    <w:p>
      <w:pPr>
        <w:pStyle w:val="ListBullet"/>
        <w:ind w:left="720"/>
      </w:pPr>
      <w:r>
        <w:t>Verdelingscoëfficiënt (n-octanol/water): niet direct toepasbaar (anorganische verbinding); log Kow vermeld als "niet van toepassing"</w:t>
      </w:r>
    </w:p>
    <w:p>
      <w:pPr>
        <w:pStyle w:val="ListBullet"/>
        <w:ind w:left="720"/>
      </w:pPr>
      <w:r>
        <w:t>Dampdruk: verwaarloosbaar bij kamertemperatuur (&lt;0,001 Pa bij 20°C)</w:t>
      </w:r>
    </w:p>
    <w:p>
      <w:pPr>
        <w:pStyle w:val="ListBullet"/>
        <w:ind w:left="720"/>
      </w:pPr>
      <w:r>
        <w:t>Ontvlambaarheid: niet brandbaar</w:t>
      </w:r>
    </w:p>
    <w:p>
      <w:pPr>
        <w:pStyle w:val="ListBullet"/>
        <w:ind w:left="720"/>
      </w:pPr>
      <w:r>
        <w:t>Explosie-eigenschappen: niet explosief</w:t>
      </w:r>
    </w:p>
    <w:p>
      <w:pPr>
        <w:pStyle w:val="ListBullet"/>
        <w:ind w:left="720"/>
      </w:pPr>
      <w:r>
        <w:t>Zelfontbrandingstemperatuur: niet van toepassing</w:t>
      </w:r>
    </w:p>
    <w:p>
      <w:pPr>
        <w:pStyle w:val="ListBullet"/>
        <w:ind w:left="720"/>
      </w:pPr>
      <w:r>
        <w:t>Viscositeit: niet van toepassing (vaste stof)</w:t>
      </w:r>
    </w:p>
    <w:p>
      <w:pPr>
        <w:pStyle w:val="ListBullet"/>
        <w:ind w:left="720"/>
      </w:pPr>
      <w:r>
        <w:t>Opmerking: bovenstaande waarden zijn indicatief voor V₂O₅. Exacte waarden per productiebatch vaststellen via analyse.</w:t>
      </w:r>
    </w:p>
    <w:p>
      <w:pPr>
        <w:pStyle w:val="Heading2"/>
      </w:pPr>
      <w:r>
        <w:t>10. Stabiliteit en reactiviteit</w:t>
      </w:r>
    </w:p>
    <w:p>
      <w:pPr>
        <w:pStyle w:val="ListBullet"/>
        <w:ind w:left="720"/>
      </w:pPr>
      <w:r>
        <w:t>Stabiliteit: stabiel onder normale opslag- en hanteringscondities. Geen gevaarlijke reacties bij standaardgebruik.</w:t>
      </w:r>
    </w:p>
    <w:p>
      <w:pPr>
        <w:pStyle w:val="ListBullet"/>
        <w:ind w:left="720"/>
      </w:pPr>
      <w:r>
        <w:t>Incompatibele stoffen:</w:t>
      </w:r>
    </w:p>
    <w:p>
      <w:pPr>
        <w:pStyle w:val="ListBullet"/>
        <w:ind w:left="1077"/>
      </w:pPr>
      <w:r>
        <w:t>Sterke zuren (gevaar voor corrosieve dampen)</w:t>
      </w:r>
    </w:p>
    <w:p>
      <w:pPr>
        <w:pStyle w:val="ListBullet"/>
        <w:ind w:left="1077"/>
      </w:pPr>
      <w:r>
        <w:t>Sterke basen (vorming van oplosbare vanadaten)</w:t>
      </w:r>
    </w:p>
    <w:p>
      <w:pPr>
        <w:pStyle w:val="ListBullet"/>
        <w:ind w:left="1077"/>
      </w:pPr>
      <w:r>
        <w:t>Sterke oxidatoren (verhoogd reactierisico)</w:t>
      </w:r>
    </w:p>
    <w:p>
      <w:pPr>
        <w:pStyle w:val="ListBullet"/>
        <w:ind w:left="1077"/>
      </w:pPr>
      <w:r>
        <w:t>Chloor, fluor, lithium, calcium (exotherme reacties mogelijk)</w:t>
      </w:r>
    </w:p>
    <w:p>
      <w:pPr>
        <w:pStyle w:val="ListBullet"/>
        <w:ind w:left="1077"/>
      </w:pPr>
      <w:r>
        <w:t>Aluminium en zink bij verhoogde temperatuur (thermiet-achtige reacties)</w:t>
      </w:r>
    </w:p>
    <w:p>
      <w:pPr>
        <w:pStyle w:val="ListBullet"/>
        <w:ind w:left="720"/>
      </w:pPr>
      <w:r>
        <w:t>Ontledingsproducten: bij verhitting boven 690°C — V₂O₅-dampen en aerosolen (zeer toxisch). Bij reactie met zuren — corrosieve dampen.</w:t>
      </w:r>
    </w:p>
    <w:p>
      <w:pPr>
        <w:pStyle w:val="ListBullet"/>
        <w:ind w:left="720"/>
      </w:pPr>
      <w:r>
        <w:t>Gevaarlijke polymerisatie: niet van toepassing.</w:t>
      </w:r>
    </w:p>
    <w:p>
      <w:pPr>
        <w:pStyle w:val="ListBullet"/>
        <w:ind w:left="720"/>
      </w:pPr>
      <w:r>
        <w:t>Condities te vermijden: hoge temperaturen (&gt;690°C), vocht, contact met incompatibele stoffen.</w:t>
      </w:r>
    </w:p>
    <w:p>
      <w:pPr>
        <w:pStyle w:val="Heading2"/>
      </w:pPr>
      <w:r>
        <w:t>11. Toxicologische informatie</w:t>
      </w:r>
    </w:p>
    <w:p>
      <w:pPr>
        <w:pStyle w:val="ListBullet"/>
        <w:ind w:left="720"/>
      </w:pPr>
      <w:r>
        <w:t>Acute toxiciteit:</w:t>
      </w:r>
    </w:p>
    <w:p>
      <w:pPr>
        <w:pStyle w:val="ListBullet"/>
        <w:ind w:left="1077"/>
      </w:pPr>
      <w:r>
        <w:t>Oraal: LD₅₀ (rat) = 98-350 mg/kg (V₂O₅) → Acute Tox. 2 of 3 afhankelijk van concentratie</w:t>
      </w:r>
    </w:p>
    <w:p>
      <w:pPr>
        <w:pStyle w:val="ListBullet"/>
        <w:ind w:left="1077"/>
      </w:pPr>
      <w:r>
        <w:t>Inhalatie: LC₅₀ (rat, 4h) = 0,345 mg/L (V₂O₅, stof/aerosol) → Acute Tox. 3</w:t>
      </w:r>
    </w:p>
    <w:p>
      <w:pPr>
        <w:pStyle w:val="ListBullet"/>
        <w:ind w:left="1077"/>
      </w:pPr>
      <w:r>
        <w:t>Dermanl: lage acute toxiciteit (LD₅₀ &gt; 2000 mg/kg) — geen classificatie</w:t>
      </w:r>
    </w:p>
    <w:p>
      <w:pPr>
        <w:pStyle w:val="ListBullet"/>
        <w:ind w:left="720"/>
      </w:pPr>
      <w:r>
        <w:t>Huidirritatie: irritant (Skin Irrit. 2, H315)</w:t>
      </w:r>
    </w:p>
    <w:p>
      <w:pPr>
        <w:pStyle w:val="ListBullet"/>
        <w:ind w:left="720"/>
      </w:pPr>
      <w:r>
        <w:t>Oogirritatie: ernstig oogletsel (Eye Dam. 1, H318)</w:t>
      </w:r>
    </w:p>
    <w:p>
      <w:pPr>
        <w:pStyle w:val="ListBullet"/>
        <w:ind w:left="720"/>
      </w:pPr>
      <w:r>
        <w:t>Sensibilisatie: geen data die duiden op huid- of respiratoire sensibilisatie</w:t>
      </w:r>
    </w:p>
    <w:p>
      <w:pPr>
        <w:pStyle w:val="ListBullet"/>
        <w:ind w:left="720"/>
      </w:pPr>
      <w:r>
        <w:t>Carcinogeniteit: Carc. 1B (H350i) — IARC Groep 2B, ECHA harmonisatieclassificatie voor V₂O₅</w:t>
      </w:r>
    </w:p>
    <w:p>
      <w:pPr>
        <w:pStyle w:val="ListBullet"/>
        <w:ind w:left="720"/>
      </w:pPr>
      <w:r>
        <w:t>Mutageniteit: Mut. 2 (H341) — positieve resultaten in in-vitro en in-vivo genotoxiciteitstests</w:t>
      </w:r>
    </w:p>
    <w:p>
      <w:pPr>
        <w:pStyle w:val="ListBullet"/>
        <w:ind w:left="720"/>
      </w:pPr>
      <w:r>
        <w:t>Reproductietoxiciteit: Repr. 2 (H361fd) — dierstudies tonen effecten op vruchtbaarheid en ontwikkeling</w:t>
      </w:r>
    </w:p>
    <w:p>
      <w:pPr>
        <w:pStyle w:val="ListBullet"/>
        <w:ind w:left="720"/>
      </w:pPr>
      <w:r>
        <w:t>STOT herhaalde blootstelling: STOT RE 1 (H372: longen, luchtwegen) — longontsteking, bronchitis bij chronische blootstelling</w:t>
      </w:r>
    </w:p>
    <w:p>
      <w:pPr>
        <w:pStyle w:val="ListBullet"/>
        <w:ind w:left="720"/>
      </w:pPr>
      <w:r>
        <w:t>CMR-classificatie: Carc. 1B + Mut. 2 + Repr. 2</w:t>
      </w:r>
    </w:p>
    <w:p>
      <w:pPr>
        <w:pStyle w:val="ListBullet"/>
        <w:ind w:left="720"/>
      </w:pPr>
      <w:r>
        <w:t>NOAEL/LOAEL: beschikbaar in ECHA geregistreerde dossiers voor V₂O₅</w:t>
      </w:r>
    </w:p>
    <w:p>
      <w:pPr>
        <w:pStyle w:val="ListBullet"/>
        <w:ind w:left="720"/>
      </w:pPr>
      <w:r>
        <w:t>Specifiek voor onzuiverheden: Cr⁶⁺ (indien aanwezig) is Carc. 1A, Mut. 1B — separaat beoordelen.</w:t>
      </w:r>
    </w:p>
    <w:p>
      <w:pPr>
        <w:pStyle w:val="Heading2"/>
      </w:pPr>
      <w:r>
        <w:t>12. Ecologische informatie</w:t>
      </w:r>
    </w:p>
    <w:p>
      <w:pPr>
        <w:pStyle w:val="ListBullet"/>
        <w:ind w:left="720"/>
      </w:pPr>
      <w:r>
        <w:t>Toxiciteit:</w:t>
      </w:r>
    </w:p>
    <w:p>
      <w:pPr>
        <w:pStyle w:val="ListBullet"/>
        <w:ind w:left="1077"/>
      </w:pPr>
      <w:r>
        <w:t>Aquatisch: V₂O₅ is toxisch voor waterorganismen</w:t>
      </w:r>
    </w:p>
    <w:p>
      <w:r>
        <w:t>· Daphnia magna EC₅₀ (48h): ~1,4 mg/L</w:t>
      </w:r>
    </w:p>
    <w:p>
      <w:r>
        <w:t>· Algen EC₅₀ (72h): ~0,4 mg V₂O₅/L</w:t>
      </w:r>
    </w:p>
    <w:p>
      <w:r>
        <w:t>· Vis LC₅₀ (96h, Pimephales promelas): ~2,2 mg/L</w:t>
      </w:r>
    </w:p>
    <w:p>
      <w:pPr>
        <w:pStyle w:val="ListBullet"/>
        <w:ind w:left="1077"/>
      </w:pPr>
      <w:r>
        <w:t>Classificatie: Aquatic Chronic 2 (H411: Giftig voor in het water levende organismen, met langdurige gevolgen)</w:t>
      </w:r>
    </w:p>
    <w:p>
      <w:pPr>
        <w:pStyle w:val="ListBullet"/>
        <w:ind w:left="720"/>
      </w:pPr>
      <w:r>
        <w:t>Persistentie en afbreekbaarheid: anorganische verbinding — niet afbreekbaar. Geen BOD/COD van toepassing.</w:t>
      </w:r>
    </w:p>
    <w:p>
      <w:pPr>
        <w:pStyle w:val="ListBullet"/>
        <w:ind w:left="720"/>
      </w:pPr>
      <w:r>
        <w:t>Bioaccumulatiepotentieel: laag. Vanadium bioaccumuleert niet significant in voedselketen (BCF &lt;100).</w:t>
      </w:r>
    </w:p>
    <w:p>
      <w:pPr>
        <w:pStyle w:val="ListBullet"/>
        <w:ind w:left="720"/>
      </w:pPr>
      <w:r>
        <w:t>Mobiliteit in bodem: vanadiumverbindingen adsorberen aan bodemdeeltjes (hoge Kd). Mobiliteit is laag bij neutrale tot basische pH; hoger in zure bodems.</w:t>
      </w:r>
    </w:p>
    <w:p>
      <w:pPr>
        <w:pStyle w:val="ListBullet"/>
        <w:ind w:left="720"/>
      </w:pPr>
      <w:r>
        <w:t>Resultaten PBT/vPvB-beoordeling: V₂O₅ is geen PBT of vPvB-stof (anorganisch, niet persistent in de CLP-definitie, lage bioaccumulatie).</w:t>
      </w:r>
    </w:p>
    <w:p>
      <w:pPr>
        <w:pStyle w:val="ListBullet"/>
        <w:ind w:left="720"/>
      </w:pPr>
      <w:r>
        <w:t>Overige nadelige effecten: vermindering van biodiversiteit in waterige ecosystemen bij chronische blootstelling.</w:t>
      </w:r>
    </w:p>
    <w:p>
      <w:pPr>
        <w:pStyle w:val="Heading2"/>
      </w:pPr>
      <w:r>
        <w:t>13. Instructies voor verwijdering</w:t>
      </w:r>
    </w:p>
    <w:p>
      <w:pPr>
        <w:pStyle w:val="ListBullet"/>
        <w:ind w:left="720"/>
      </w:pPr>
      <w:r>
        <w:t>Afvalbeheermethode: chemisch afval — niet in huishoudelijk afval deponeren. Verwerking via erkend afvalverwerkingsbedrijf.</w:t>
      </w:r>
    </w:p>
    <w:p>
      <w:pPr>
        <w:pStyle w:val="ListBullet"/>
        <w:ind w:left="720"/>
      </w:pPr>
      <w:r>
        <w:t>EURAL-code: 06 05 03* (andere afvalstoffen bevattende gevaarlijke stoffen uit thermische metaalverwerking) of 11 02 02* (slib en vaste afvalstoffen van oppervlaktebehandeling van metalen bevattende gevaarlijke stoffen) — exacte code afhankelijk van productfase.</w:t>
      </w:r>
    </w:p>
    <w:p>
      <w:pPr>
        <w:pStyle w:val="ListBullet"/>
        <w:ind w:left="720"/>
      </w:pPr>
      <w:r>
        <w:t>Verpakkingsafval: verontreinigde verpakkingen (HDPE/PP vaten) als gevaarlijk afval behandelen. EURAL 15 01 10*.</w:t>
      </w:r>
    </w:p>
    <w:p>
      <w:pPr>
        <w:pStyle w:val="ListBullet"/>
        <w:ind w:left="720"/>
      </w:pPr>
      <w:r>
        <w:t>Afvalbehandeling: thermische verwerking (slakvorming), stabilisatie/solidificatie, of terugwinning van vanadium uit afvalstroom.</w:t>
      </w:r>
    </w:p>
    <w:p>
      <w:pPr>
        <w:pStyle w:val="ListBullet"/>
        <w:ind w:left="720"/>
      </w:pPr>
      <w:r>
        <w:t>EU-richtlijn: Afvalkaderichtlijn 2008/98/EG — afvalhiërarchie volgen: preventie → hergebruik → recycling → verwerking → storting.</w:t>
      </w:r>
    </w:p>
    <w:p>
      <w:pPr>
        <w:pStyle w:val="ListBullet"/>
        <w:ind w:left="720"/>
      </w:pPr>
      <w:r>
        <w:t>Specifieke bepalingen: milieuvergunning Phoenix Metals bevat voorwaarden voor afvalbeheer. Afvalstoffenovereenkomst met erkend inzamelaar verplicht.</w:t>
      </w:r>
    </w:p>
    <w:p>
      <w:pPr>
        <w:pStyle w:val="Heading2"/>
      </w:pPr>
      <w:r>
        <w:t>14. Informatie met betrekking tot het vervoer</w:t>
      </w:r>
    </w:p>
    <w:p>
      <w:pPr>
        <w:pStyle w:val="ListBullet"/>
        <w:ind w:left="720"/>
      </w:pPr>
      <w:r>
        <w:t>ADR (wegvervoer):</w:t>
      </w:r>
    </w:p>
    <w:p>
      <w:pPr>
        <w:pStyle w:val="ListBullet"/>
        <w:ind w:left="1077"/>
      </w:pPr>
      <w:r>
        <w:t>UN-nummer: UN 2862 (VANADIUMPENTOXIDE)</w:t>
      </w:r>
    </w:p>
    <w:p>
      <w:pPr>
        <w:pStyle w:val="ListBullet"/>
        <w:ind w:left="1077"/>
      </w:pPr>
      <w:r>
        <w:t>Gevarenklasse: 6.1 (Toxische stoffen)</w:t>
      </w:r>
    </w:p>
    <w:p>
      <w:pPr>
        <w:pStyle w:val="ListBullet"/>
        <w:ind w:left="1077"/>
      </w:pPr>
      <w:r>
        <w:t>Verpakkingsgroep: II (indien V₂O₅-gehalte classificatie vereist)</w:t>
      </w:r>
    </w:p>
    <w:p>
      <w:pPr>
        <w:pStyle w:val="ListBullet"/>
        <w:ind w:left="1077"/>
      </w:pPr>
      <w:r>
        <w:t>Tunnelcode: D/E (afhankelijk vanhoeveelheid)</w:t>
      </w:r>
    </w:p>
    <w:p>
      <w:pPr>
        <w:pStyle w:val="ListBullet"/>
        <w:ind w:left="720"/>
      </w:pPr>
      <w:r>
        <w:t>IMDG (zeevervoer):</w:t>
      </w:r>
    </w:p>
    <w:p>
      <w:pPr>
        <w:pStyle w:val="ListBullet"/>
        <w:ind w:left="1077"/>
      </w:pPr>
      <w:r>
        <w:t>UN 2862, Klasse 6.1, PG II</w:t>
      </w:r>
    </w:p>
    <w:p>
      <w:pPr>
        <w:pStyle w:val="ListBullet"/>
        <w:ind w:left="1077"/>
      </w:pPr>
      <w:r>
        <w:t>Marine pollutant: ja (vanadiumverbindingen)</w:t>
      </w:r>
    </w:p>
    <w:p>
      <w:pPr>
        <w:pStyle w:val="ListBullet"/>
        <w:ind w:left="720"/>
      </w:pPr>
      <w:r>
        <w:t>IATA (luchtvervoer):</w:t>
      </w:r>
    </w:p>
    <w:p>
      <w:pPr>
        <w:pStyle w:val="ListBullet"/>
        <w:ind w:left="1077"/>
      </w:pPr>
      <w:r>
        <w:t>UN 2862, Klasse 6.1, PG II</w:t>
      </w:r>
    </w:p>
    <w:p>
      <w:pPr>
        <w:pStyle w:val="ListBullet"/>
        <w:ind w:left="1077"/>
      </w:pPr>
      <w:r>
        <w:t>Alleen vrachtvervoer (Cargo Aircraft Only) indien boven bepaalde hoeveelheid</w:t>
      </w:r>
    </w:p>
    <w:p>
      <w:pPr>
        <w:pStyle w:val="ListBullet"/>
        <w:ind w:left="720"/>
      </w:pPr>
      <w:r>
        <w:t>Vervoer in beperkte hoeveelheden (LQ): mogelijk conform ADR 3.4</w:t>
      </w:r>
    </w:p>
    <w:p>
      <w:pPr>
        <w:pStyle w:val="ListBullet"/>
        <w:ind w:left="720"/>
      </w:pPr>
      <w:r>
        <w:t>Opmerking: exacte classificatie hangt af van de chemische vorm en concentratie van vanadium in het halffabrikaat. Bij twijfel: classificeren als UN 2862.</w:t>
      </w:r>
    </w:p>
    <w:p>
      <w:pPr>
        <w:pStyle w:val="ListBullet"/>
        <w:ind w:left="720"/>
      </w:pPr>
      <w:r>
        <w:t>Indien het product een ander vanadiumverbinding betreft (bijv. V₂O₃): UN-nummer en classificatie herbekijken.</w:t>
      </w:r>
    </w:p>
    <w:p>
      <w:pPr>
        <w:pStyle w:val="Heading2"/>
      </w:pPr>
      <w:r>
        <w:t>15. Wettelijk verplichte informatie</w:t>
      </w:r>
    </w:p>
    <w:p>
      <w:pPr>
        <w:pStyle w:val="ListBullet"/>
        <w:ind w:left="720"/>
      </w:pPr>
      <w:r>
        <w:t>REACH: artikel 31 en Bijlage II — SDS-verplichting van toepassing. Artikel 2(7)(d) teruggewonnen-stof vrijstelling van toepassing indien aan voorwaarden voldaan.</w:t>
      </w:r>
    </w:p>
    <w:p>
      <w:pPr>
        <w:pStyle w:val="ListBullet"/>
        <w:ind w:left="720"/>
      </w:pPr>
      <w:r>
        <w:t>CLP (Verordening (EG) nr. 1272/2008): classificatie-, etiketterings- en verpakkingsverplichtingen van toepassing.</w:t>
      </w:r>
    </w:p>
    <w:p>
      <w:pPr>
        <w:pStyle w:val="ListBullet"/>
        <w:ind w:left="720"/>
      </w:pPr>
      <w:r>
        <w:t>ADR 2025: vervoer over de weg van gevaarlijke goederen van toepassing.</w:t>
      </w:r>
    </w:p>
    <w:p>
      <w:pPr>
        <w:pStyle w:val="ListBullet"/>
        <w:ind w:left="720"/>
      </w:pPr>
      <w:r>
        <w:t>Seveso-III / BRZO 2015: van toepassing indien opgeslagen hoeveelheid V₂O₅ (of equivalente verbinding) &gt;5 ton (lage drempel) of &gt;20 ton (hoge drempel).</w:t>
      </w:r>
    </w:p>
    <w:p>
      <w:pPr>
        <w:pStyle w:val="ListBullet"/>
        <w:ind w:left="720"/>
      </w:pPr>
      <w:r>
        <w:t>Arbowetgeving: grenswaarden en PBM-eisen conform Arbobesluit en SER-advies.</w:t>
      </w:r>
    </w:p>
    <w:p>
      <w:pPr>
        <w:pStyle w:val="ListBullet"/>
        <w:ind w:left="720"/>
      </w:pPr>
      <w:r>
        <w:t>Wet milieubeheer / Omgevingswet: milieuvergunning voor de inrichting.</w:t>
      </w:r>
    </w:p>
    <w:p>
      <w:pPr>
        <w:pStyle w:val="ListBullet"/>
        <w:ind w:left="720"/>
      </w:pPr>
      <w:r>
        <w:t>Kaderrichtlijn Afval: van toepassing op afvalstromen en End-of-Waste status.</w:t>
      </w:r>
    </w:p>
    <w:p>
      <w:pPr>
        <w:pStyle w:val="ListBullet"/>
        <w:ind w:left="720"/>
      </w:pPr>
      <w:r>
        <w:t>SVHC-status: V₂O₅ niet op kandidatenlijst (controle per update — status kan wijzigen).</w:t>
      </w:r>
    </w:p>
    <w:p>
      <w:pPr>
        <w:pStyle w:val="ListBullet"/>
        <w:ind w:left="720"/>
      </w:pPr>
      <w:r>
        <w:t>REACH Bijlage XVII beperkingen: controleer of vanadiumverbindingen specifieke beperkingen hebben.</w:t>
      </w:r>
    </w:p>
    <w:p>
      <w:pPr>
        <w:pStyle w:val="ListBullet"/>
        <w:ind w:left="720"/>
      </w:pPr>
      <w:r>
        <w:t>Nationale wetgeving: Arbobesluit art. 4.1c (inventarisatie gevaarlijke stoffen), Wet milieubeheer, WMKG.</w:t>
      </w:r>
    </w:p>
    <w:p>
      <w:pPr>
        <w:pStyle w:val="Heading2"/>
      </w:pPr>
      <w:r>
        <w:t>16. Overige informatie</w:t>
      </w:r>
    </w:p>
    <w:p>
      <w:pPr>
        <w:pStyle w:val="ListBullet"/>
        <w:ind w:left="720"/>
      </w:pPr>
      <w:r>
        <w:t>Trainingseisen:</w:t>
      </w:r>
    </w:p>
    <w:p>
      <w:pPr>
        <w:pStyle w:val="ListBullet"/>
        <w:ind w:left="1077"/>
      </w:pPr>
      <w:r>
        <w:t>Alle medewerkers die werken met het vanadiumhalffabrikaat moeten zijn getraind in het lezen en begrijpen van het SDS.</w:t>
      </w:r>
    </w:p>
    <w:p>
      <w:pPr>
        <w:pStyle w:val="ListBullet"/>
        <w:ind w:left="1077"/>
      </w:pPr>
      <w:r>
        <w:t>Specifieke training: hantering gevaarlijke stoffen, PBM-gebruik, noodprocedures, eerste hulp.</w:t>
      </w:r>
    </w:p>
    <w:p>
      <w:pPr>
        <w:pStyle w:val="ListBullet"/>
        <w:ind w:left="1077"/>
      </w:pPr>
      <w:r>
        <w:t>Herhalingstraining: minimaal jaarlijks.</w:t>
      </w:r>
    </w:p>
    <w:p>
      <w:pPr>
        <w:pStyle w:val="ListBullet"/>
        <w:ind w:left="1077"/>
      </w:pPr>
      <w:r>
        <w:t>Documentatie: trainingsregister met handtekeningen van deelnemers.</w:t>
      </w:r>
    </w:p>
    <w:p>
      <w:pPr>
        <w:pStyle w:val="ListBullet"/>
        <w:ind w:left="720"/>
      </w:pPr>
      <w:r>
        <w:t>Revisie-informatie:</w:t>
      </w:r>
    </w:p>
    <w:p>
      <w:pPr>
        <w:pStyle w:val="ListBullet"/>
        <w:ind w:left="1077"/>
      </w:pPr>
      <w:r>
        <w:t>Revisienummer: 1.0</w:t>
      </w:r>
    </w:p>
    <w:p>
      <w:pPr>
        <w:pStyle w:val="ListBullet"/>
        <w:ind w:left="1077"/>
      </w:pPr>
      <w:r>
        <w:t>Revisiedatum: [datum van uitgave]</w:t>
      </w:r>
    </w:p>
    <w:p>
      <w:pPr>
        <w:pStyle w:val="ListBullet"/>
        <w:ind w:left="1077"/>
      </w:pPr>
      <w:r>
        <w:t>Volgende geplande review: 3 jaar na uitgiftedatum</w:t>
      </w:r>
    </w:p>
    <w:p>
      <w:pPr>
        <w:pStyle w:val="ListBullet"/>
        <w:ind w:left="1077"/>
      </w:pPr>
      <w:r>
        <w:t>Wijzigingen ten opzichte van vorige versie: "Eerste uitgave"</w:t>
      </w:r>
    </w:p>
    <w:p>
      <w:pPr>
        <w:pStyle w:val="ListBullet"/>
        <w:ind w:left="720"/>
      </w:pPr>
      <w:r>
        <w:t>Literatuur:</w:t>
      </w:r>
    </w:p>
    <w:p>
      <w:pPr>
        <w:pStyle w:val="ListBullet"/>
        <w:ind w:left="1077"/>
      </w:pPr>
      <w:r>
        <w:t>ECHA (2020), Richtsnoer voor het samenstellen van veiligheidsinformatiebladen, v4.0</w:t>
      </w:r>
    </w:p>
    <w:p>
      <w:pPr>
        <w:pStyle w:val="ListBullet"/>
        <w:ind w:left="1077"/>
      </w:pPr>
      <w:r>
        <w:t>ECHA (2023), Richtsnoer voor identificatie en naamgeving van stoffen, v3.0</w:t>
      </w:r>
    </w:p>
    <w:p>
      <w:pPr>
        <w:pStyle w:val="ListBullet"/>
        <w:ind w:left="1077"/>
      </w:pPr>
      <w:r>
        <w:t>IARC Monographs on the Evaluation of Carcinogenic Risks to Humans, Vol. 86</w:t>
      </w:r>
    </w:p>
    <w:p>
      <w:pPr>
        <w:pStyle w:val="ListBullet"/>
        <w:ind w:left="1077"/>
      </w:pPr>
      <w:r>
        <w:t>SCOEL/REC/406 Vanadium pentoxide and other inorganic vanadium compounds</w:t>
      </w:r>
    </w:p>
    <w:p>
      <w:pPr>
        <w:pStyle w:val="ListBullet"/>
        <w:ind w:left="1077"/>
      </w:pPr>
      <w:r>
        <w:t>REACH-verordening (EG) 1907/2006, Bijlage II, zoals gewijzigd door (EU) 2020/878</w:t>
      </w:r>
    </w:p>
    <w:p>
      <w:pPr>
        <w:pStyle w:val="ListBullet"/>
        <w:ind w:left="1077"/>
      </w:pPr>
      <w:r>
        <w:t>CLP-verordening (EG) 1272/2008, Bijlagen I-VIII</w:t>
      </w:r>
    </w:p>
    <w:p>
      <w:pPr>
        <w:pStyle w:val="ListBullet"/>
        <w:ind w:left="1077"/>
      </w:pPr>
      <w:r>
        <w:t>ADR 2025, Deel 2 — Classificatie</w:t>
      </w:r>
    </w:p>
    <w:p>
      <w:pPr>
        <w:pStyle w:val="ListBullet"/>
        <w:ind w:left="720"/>
      </w:pPr>
      <w:r>
        <w:t>Volledige tekst H/P-zinnen: weergeven in volledige tekst (niet alleen de code).</w:t>
      </w:r>
    </w:p>
    <w:p>
      <w:pPr>
        <w:pStyle w:val="ListBullet"/>
        <w:ind w:left="720"/>
      </w:pPr>
      <w:r>
        <w:t>Disclaimer: het SDS is opgesteld met de beschikbare informatie op de datum van uitgave. Phoenix Metals kan niet aansprakelijk worden gesteld voor schade voortvloeiend uit het gebruik van het product op een wijze die afwijkt van het beschreven gebruik.</w:t>
      </w:r>
    </w:p>
    <w:p>
      <w:r>
        <w:br w:type="page"/>
      </w:r>
    </w:p>
    <w:p>
      <w:pPr>
        <w:pStyle w:val="Heading1"/>
      </w:pPr>
      <w:r>
        <w:t>4. Deel C — UVCB-problematiek</w:t>
      </w:r>
    </w:p>
    <w:p>
      <w:pPr>
        <w:pStyle w:val="Heading2"/>
      </w:pPr>
      <w:r>
        <w:t>4.1 Definitie en relevantie UVCB</w:t>
      </w:r>
    </w:p>
    <w:p>
      <w:r>
        <w:t>UVCB staat voor "Unknown or Variable composition, Complex reaction products, or Biological materials". Dit is een categorie van stoffen die door de ECHA wordt erkend in het Richtsnoer voor identificatie en naamgeving van stoffen (versie 3.0, december 2023, referentie ECHA-23-H-07-NL). UVCB-stoffen worden gekarakteriseerd door een samenstelling die:</w:t>
      </w:r>
    </w:p>
    <w:p>
      <w:pPr>
        <w:pStyle w:val="ListBullet"/>
        <w:ind w:left="720"/>
      </w:pPr>
      <w:r>
        <w:t>Niet volledig identificeerbaar is (Unknown).</w:t>
      </w:r>
    </w:p>
    <w:p>
      <w:pPr>
        <w:pStyle w:val="ListBullet"/>
        <w:ind w:left="720"/>
      </w:pPr>
      <w:r>
        <w:t>Variabel is tussen productiebatches (Variable).</w:t>
      </w:r>
    </w:p>
    <w:p>
      <w:pPr>
        <w:pStyle w:val="ListBullet"/>
        <w:ind w:left="720"/>
      </w:pPr>
      <w:r>
        <w:t>Het resultaat is van een complex reactieproces (Complex reaction products).</w:t>
      </w:r>
    </w:p>
    <w:p>
      <w:pPr>
        <w:pStyle w:val="ListBullet"/>
        <w:ind w:left="720"/>
      </w:pPr>
      <w:r>
        <w:t>Van biologische oorsprong is (Biological materials).</w:t>
      </w:r>
    </w:p>
    <w:p>
      <w:r>
        <w:t>Voor UVCB-stoffen gelden specifieke eisen voor stofidentificatie, omdat de standaardmethoden (enkelvoudige molecuulformule en CAS-nummer) niet toereikend zijn. De ECHA vereist een beschrijving van de bron, het productieproces en de resulterende samenstelling in termen van concentratiebereiken.</w:t>
      </w:r>
    </w:p>
    <w:p>
      <w:pPr>
        <w:pStyle w:val="Heading2"/>
      </w:pPr>
      <w:r>
        <w:t>4.2 Is het Phoenix Metals product een UVCB-stof?</w:t>
      </w:r>
    </w:p>
    <w:p>
      <w:r>
        <w:t>Het vanadiumhalffabrikaat van Phoenix Metals vertoont kenmerken die consistent zijn met de UVCB-categorie, om de volgende redenen:</w:t>
      </w:r>
    </w:p>
    <w:tbl>
      <w:tblPr>
        <w:tblStyle w:val="TableGrid"/>
        <w:tblW w:type="auto" w:w="0"/>
        <w:jc w:val="center"/>
        <w:tblLook w:firstColumn="1" w:firstRow="1" w:lastColumn="0" w:lastRow="0" w:noHBand="0" w:noVBand="1" w:val="04A0"/>
      </w:tblPr>
      <w:tblGrid>
        <w:gridCol w:w="4320"/>
        <w:gridCol w:w="4320"/>
      </w:tblGrid>
      <w:tr>
        <w:tc>
          <w:tcPr>
            <w:tcW w:type="dxa" w:w="4320"/>
            <w:shd w:fill="1B3A5C" w:val="clear"/>
          </w:tcPr>
          <w:p>
            <w:r/>
            <w:r>
              <w:rPr>
                <w:b/>
                <w:color w:val="FFFFFF"/>
                <w:sz w:val="20"/>
              </w:rPr>
              <w:t>Kenmerk</w:t>
            </w:r>
          </w:p>
        </w:tc>
        <w:tc>
          <w:tcPr>
            <w:tcW w:type="dxa" w:w="4320"/>
            <w:shd w:fill="1B3A5C" w:val="clear"/>
          </w:tcPr>
          <w:p>
            <w:r/>
            <w:r>
              <w:rPr>
                <w:b/>
                <w:color w:val="FFFFFF"/>
                <w:sz w:val="20"/>
              </w:rPr>
              <w:t>Toelichting</w:t>
            </w:r>
          </w:p>
        </w:tc>
      </w:tr>
      <w:tr>
        <w:tc>
          <w:tcPr>
            <w:tcW w:type="dxa" w:w="4320"/>
          </w:tcPr>
          <w:p>
            <w:r/>
            <w:r>
              <w:rPr>
                <w:sz w:val="19"/>
              </w:rPr>
              <w:t>Variabele samenstelling</w:t>
            </w:r>
          </w:p>
        </w:tc>
        <w:tc>
          <w:tcPr>
            <w:tcW w:type="dxa" w:w="4320"/>
          </w:tcPr>
          <w:p>
            <w:r/>
            <w:r>
              <w:rPr>
                <w:sz w:val="19"/>
              </w:rPr>
              <w:t>De chemische samenstelling van het halffabrikaat varieert afhankelijk van de herkomst en samenstelling van de input-staalslakken. Verschillende staalfabrieken produceren slakken met wisselende gehaltes aan vanadium, chroom, mangaan, silicium en andere elementen.</w:t>
            </w:r>
          </w:p>
        </w:tc>
      </w:tr>
      <w:tr>
        <w:tc>
          <w:tcPr>
            <w:tcW w:type="dxa" w:w="4320"/>
            <w:shd w:fill="E8EEF4" w:val="clear"/>
          </w:tcPr>
          <w:p>
            <w:r/>
            <w:r>
              <w:rPr>
                <w:sz w:val="19"/>
              </w:rPr>
              <w:t>Complexe matrix</w:t>
            </w:r>
          </w:p>
        </w:tc>
        <w:tc>
          <w:tcPr>
            <w:tcW w:type="dxa" w:w="4320"/>
            <w:shd w:fill="E8EEF4" w:val="clear"/>
          </w:tcPr>
          <w:p>
            <w:r/>
            <w:r>
              <w:rPr>
                <w:sz w:val="19"/>
              </w:rPr>
              <w:t>Het terugwinningsproces extraheert niet alleen vanadium, maar ook sporenelementen uit de slakmatrix. Het resulterende product bevat een spectrum van elementen in wisselende verhoudingen.</w:t>
            </w:r>
          </w:p>
        </w:tc>
      </w:tr>
      <w:tr>
        <w:tc>
          <w:tcPr>
            <w:tcW w:type="dxa" w:w="4320"/>
          </w:tcPr>
          <w:p>
            <w:r/>
            <w:r>
              <w:rPr>
                <w:sz w:val="19"/>
              </w:rPr>
              <w:t>Geen welbepaalde stoichiometrie</w:t>
            </w:r>
          </w:p>
        </w:tc>
        <w:tc>
          <w:tcPr>
            <w:tcW w:type="dxa" w:w="4320"/>
          </w:tcPr>
          <w:p>
            <w:r/>
            <w:r>
              <w:rPr>
                <w:sz w:val="19"/>
              </w:rPr>
              <w:t>In tegenstelling tot een zuivere stof zoals V₂O₅ heeft het halffabrikaat geen vaste stoichiometrie. Het is een mengsel van vanadiumverbindingen met variërende onzuiverheden.</w:t>
            </w:r>
          </w:p>
        </w:tc>
      </w:tr>
      <w:tr>
        <w:tc>
          <w:tcPr>
            <w:tcW w:type="dxa" w:w="4320"/>
            <w:shd w:fill="E8EEF4" w:val="clear"/>
          </w:tcPr>
          <w:p>
            <w:r/>
            <w:r>
              <w:rPr>
                <w:sz w:val="19"/>
              </w:rPr>
              <w:t>Bron-afhankelijkheid</w:t>
            </w:r>
          </w:p>
        </w:tc>
        <w:tc>
          <w:tcPr>
            <w:tcW w:type="dxa" w:w="4320"/>
            <w:shd w:fill="E8EEF4" w:val="clear"/>
          </w:tcPr>
          <w:p>
            <w:r/>
            <w:r>
              <w:rPr>
                <w:sz w:val="19"/>
              </w:rPr>
              <w:t>De identiteit van de stof is deels bepaald door de bron (staalslak) en het productieproces, niet door een chemische formule alleen. Dit is kenmerkend voor UVCB-stoffen.</w:t>
            </w:r>
          </w:p>
        </w:tc>
      </w:tr>
    </w:tbl>
    <w:p/>
    <w:p>
      <w:r>
        <w:t>Conclusie: Ja — het vanadiumhalffabrikaat van Phoenix Metals kwalificeert hoogstwaarschijnlijk als een UVCB-stof in de categorie "Variable composition" en mogelijk "Complex reaction products". Dit is van invloed op de stofidentificatie, de SDS-opstelling en de REACH-registratiestrategie.</w:t>
      </w:r>
    </w:p>
    <w:p>
      <w:r>
        <w:t>Indien Phoenix Metals echter een zuiver V₂O₅-product levert met een consistent onzuiverhedenprofiel (≤1% totaalaandeel onzuiverheden), kan het product mogelijk als een "well-defined substance" worden beschouwd met gespecificeerde onzuiverheden. De feitelijke samenstelling van meerdere productiebatches moet dit bevestigen.</w:t>
      </w:r>
    </w:p>
    <w:p>
      <w:pPr>
        <w:pStyle w:val="Heading2"/>
      </w:pPr>
      <w:r>
        <w:t>4.3 UVCB-verwerking in de SDS</w:t>
      </w:r>
    </w:p>
    <w:p>
      <w:r>
        <w:t>De verwerking van UVCB-stoffen in het SDS vereist specifieke aandacht voor de volgende aspecten:</w:t>
      </w:r>
    </w:p>
    <w:p>
      <w:pPr>
        <w:pStyle w:val="Heading3"/>
      </w:pPr>
      <w:r>
        <w:t>4.3.1 Range-concentraties</w:t>
      </w:r>
    </w:p>
    <w:p>
      <w:r>
        <w:t>In plaats van exacte concentraties worden concentratiebereiken (ranges) vermeld voor elk bestanddeel. Dit is conform REACH Bijlage II, punt 3.1, en het ECHA-richtsnoer SDS v4.0. Voorbeeld:</w:t>
      </w:r>
    </w:p>
    <w:p>
      <w:pPr>
        <w:pStyle w:val="ListBullet"/>
        <w:ind w:left="720"/>
      </w:pPr>
      <w:r>
        <w:t>Vanadium (als V₂O₅): 75-95 gewichtsprocent</w:t>
      </w:r>
    </w:p>
    <w:p>
      <w:pPr>
        <w:pStyle w:val="ListBullet"/>
        <w:ind w:left="720"/>
      </w:pPr>
      <w:r>
        <w:t>Chroom (als Cr₂O₃): 0,1-3 gewichtsprocent</w:t>
      </w:r>
    </w:p>
    <w:p>
      <w:pPr>
        <w:pStyle w:val="ListBullet"/>
        <w:ind w:left="720"/>
      </w:pPr>
      <w:r>
        <w:t>Mangaan (als MnO₂): 0,1-2 gewichtsprocent</w:t>
      </w:r>
    </w:p>
    <w:p>
      <w:pPr>
        <w:pStyle w:val="ListBullet"/>
        <w:ind w:left="720"/>
      </w:pPr>
      <w:r>
        <w:t>Silicium (als SiO₂): 0,5-5 gewichtsprocent</w:t>
      </w:r>
    </w:p>
    <w:p>
      <w:pPr>
        <w:pStyle w:val="ListBullet"/>
        <w:ind w:left="720"/>
      </w:pPr>
      <w:r>
        <w:t>Overige: restpercentage</w:t>
      </w:r>
    </w:p>
    <w:p>
      <w:r>
        <w:t>De ranges moeten worden gebaseerd op statistische analyse van representatieve monsters over meerdere productiebatches en verschillende slakbronnen. Een minimum van 5-10 batches uit verschillende bronnen wordt aanbevolen voor een betrouwbare range-bepaling.</w:t>
      </w:r>
    </w:p>
    <w:p>
      <w:pPr>
        <w:pStyle w:val="Heading3"/>
      </w:pPr>
      <w:r>
        <w:t>4.3.2 Representatieve monsters</w:t>
      </w:r>
    </w:p>
    <w:p>
      <w:r>
        <w:t>Phoenix Metals moet een systeem opzetten voor representatieve monstername en analyse:</w:t>
      </w:r>
    </w:p>
    <w:p>
      <w:pPr>
        <w:pStyle w:val="ListBullet"/>
        <w:ind w:left="720"/>
      </w:pPr>
      <w:r>
        <w:t>Monsternameprotocol: gestandaardiseerde bemonsteringsprocedure per productiebatch.</w:t>
      </w:r>
    </w:p>
    <w:p>
      <w:pPr>
        <w:pStyle w:val="ListBullet"/>
        <w:ind w:left="720"/>
      </w:pPr>
      <w:r>
        <w:t>Analysemethoden: ICP-OES of ICP-MS voor elementaire samenstelling; XRD voor fase-identificatie; XRF voor snelle screening.</w:t>
      </w:r>
    </w:p>
    <w:p>
      <w:pPr>
        <w:pStyle w:val="ListBullet"/>
        <w:ind w:left="720"/>
      </w:pPr>
      <w:r>
        <w:t>Frequentie: elke productiebatch analyseren; minimaal 5 batches per kwartaal statistisch evalueren.</w:t>
      </w:r>
    </w:p>
    <w:p>
      <w:pPr>
        <w:pStyle w:val="ListBullet"/>
        <w:ind w:left="720"/>
      </w:pPr>
      <w:r>
        <w:t>Documentatie: analysecertificaten bewaren en opnemen in het quality management systeem.</w:t>
      </w:r>
    </w:p>
    <w:p>
      <w:pPr>
        <w:pStyle w:val="ListBullet"/>
        <w:ind w:left="720"/>
      </w:pPr>
      <w:r>
        <w:t>Referentiemonsters: per batch een retentiemonster bewaren (minimaal 2 jaar) voor heranalyse bij geschillen of actualisatie.</w:t>
      </w:r>
    </w:p>
    <w:p>
      <w:pPr>
        <w:pStyle w:val="Heading3"/>
      </w:pPr>
      <w:r>
        <w:t>4.3.3 SDS-aanpassingen voor UVCB</w:t>
      </w:r>
    </w:p>
    <w:p>
      <w:r>
        <w:t>Naast range-concentraties in sectie 3, vereist een UVCB-SDS de volgende aanpassingen:</w:t>
      </w:r>
    </w:p>
    <w:p>
      <w:pPr>
        <w:pStyle w:val="ListBullet"/>
        <w:ind w:left="720"/>
      </w:pPr>
      <w:r>
        <w:t>Sectie 1: expliciete vermelding "UVCB-stof" en beschrijving van bron en productieproces.</w:t>
      </w:r>
    </w:p>
    <w:p>
      <w:pPr>
        <w:pStyle w:val="ListBullet"/>
        <w:ind w:left="720"/>
      </w:pPr>
      <w:r>
        <w:t>Sectie 3: concentratiebereiken in plaats van exacte waarden; vermelding van representatieve samenstelling.</w:t>
      </w:r>
    </w:p>
    <w:p>
      <w:pPr>
        <w:pStyle w:val="ListBullet"/>
        <w:ind w:left="720"/>
      </w:pPr>
      <w:r>
        <w:t>Sectie 9: fysisch-chemische eigenschappen als bereik (bijv. dichtheid 3,0-3,5 g/cm³) in plaats van enkelvoudige waarden.</w:t>
      </w:r>
    </w:p>
    <w:p>
      <w:pPr>
        <w:pStyle w:val="ListBullet"/>
        <w:ind w:left="720"/>
      </w:pPr>
      <w:r>
        <w:t>Sectie 11 en 12: toxicologische en ecotoxicologische data voor het "worst-case scenario" (conservatieve aanname op basis van hoogste gevarenclassificatie).</w:t>
      </w:r>
    </w:p>
    <w:p>
      <w:pPr>
        <w:pStyle w:val="ListBullet"/>
        <w:ind w:left="720"/>
      </w:pPr>
      <w:r>
        <w:t>Sectie 2: classificatie op basis van de meest conservatieve samenstelling binnen het bereik.</w:t>
      </w:r>
    </w:p>
    <w:p>
      <w:pPr>
        <w:pStyle w:val="Heading3"/>
      </w:pPr>
      <w:r>
        <w:t>4.3.4 Worst-case benadering</w:t>
      </w:r>
    </w:p>
    <w:p>
      <w:r>
        <w:t>Voor UVCB-stoffen hanteert de ECHA een "worst-case" benadering voor hazard-classificatie. Dit betekent dat Phoenix Metals het vanadiumhalffabrikaat moet classificeren op basis van de samenstelling met het hoogste gehalte aan gevaarlijke bestanddelen. Concreet: als het V₂O₅-gehalte varieert tussen 75-95%, wordt de classificatie gebaseerd op 95% V₂O₅. Indien onzuiverheden zoals Cr⁶⁺ variëren tussen 0,01-0,5%, wordt beoordeeld of het hoogste niveau een aanvullende classificatie vereist. Deze benadering garandeert dat het SDS altijd bescherming biedt, ongeacht de batch-specifieke samenstelling.</w:t>
      </w:r>
    </w:p>
    <w:p>
      <w:pPr>
        <w:pStyle w:val="Heading2"/>
      </w:pPr>
      <w:r>
        <w:t>4.4 ECHA-eisen voor UVCB-stofidentiteit</w:t>
      </w:r>
    </w:p>
    <w:p>
      <w:r>
        <w:t>De ECHA stelt de volgende aanvullende eisen aan de stofidentiteit van UVCB-stoffen (ECHA-23-H-07-NL, hoofdstuk 4 en 5):</w:t>
      </w:r>
    </w:p>
    <w:tbl>
      <w:tblPr>
        <w:tblStyle w:val="TableGrid"/>
        <w:tblW w:type="auto" w:w="0"/>
        <w:jc w:val="center"/>
        <w:tblLook w:firstColumn="1" w:firstRow="1" w:lastColumn="0" w:lastRow="0" w:noHBand="0" w:noVBand="1" w:val="04A0"/>
      </w:tblPr>
      <w:tblGrid>
        <w:gridCol w:w="4320"/>
        <w:gridCol w:w="4320"/>
      </w:tblGrid>
      <w:tr>
        <w:tc>
          <w:tcPr>
            <w:tcW w:type="dxa" w:w="4320"/>
            <w:shd w:fill="1B3A5C" w:val="clear"/>
          </w:tcPr>
          <w:p>
            <w:r/>
            <w:r>
              <w:rPr>
                <w:b/>
                <w:color w:val="FFFFFF"/>
                <w:sz w:val="20"/>
              </w:rPr>
              <w:t>Eis</w:t>
            </w:r>
          </w:p>
        </w:tc>
        <w:tc>
          <w:tcPr>
            <w:tcW w:type="dxa" w:w="4320"/>
            <w:shd w:fill="1B3A5C" w:val="clear"/>
          </w:tcPr>
          <w:p>
            <w:r/>
            <w:r>
              <w:rPr>
                <w:b/>
                <w:color w:val="FFFFFF"/>
                <w:sz w:val="20"/>
              </w:rPr>
              <w:t>Beschrijving</w:t>
            </w:r>
          </w:p>
        </w:tc>
      </w:tr>
      <w:tr>
        <w:tc>
          <w:tcPr>
            <w:tcW w:type="dxa" w:w="4320"/>
          </w:tcPr>
          <w:p>
            <w:r/>
            <w:r>
              <w:rPr>
                <w:sz w:val="19"/>
              </w:rPr>
              <w:t>Bronbeschrijving</w:t>
            </w:r>
          </w:p>
        </w:tc>
        <w:tc>
          <w:tcPr>
            <w:tcW w:type="dxa" w:w="4320"/>
          </w:tcPr>
          <w:p>
            <w:r/>
            <w:r>
              <w:rPr>
                <w:sz w:val="19"/>
              </w:rPr>
              <w:t>Volledige beschrijving van de bronmaterialen (staalslakken): herkomst, type staalproces, verwachte basissamenstelling.</w:t>
            </w:r>
          </w:p>
        </w:tc>
      </w:tr>
      <w:tr>
        <w:tc>
          <w:tcPr>
            <w:tcW w:type="dxa" w:w="4320"/>
            <w:shd w:fill="E8EEF4" w:val="clear"/>
          </w:tcPr>
          <w:p>
            <w:r/>
            <w:r>
              <w:rPr>
                <w:sz w:val="19"/>
              </w:rPr>
              <w:t>Procesbeschrijving</w:t>
            </w:r>
          </w:p>
        </w:tc>
        <w:tc>
          <w:tcPr>
            <w:tcW w:type="dxa" w:w="4320"/>
            <w:shd w:fill="E8EEF4" w:val="clear"/>
          </w:tcPr>
          <w:p>
            <w:r/>
            <w:r>
              <w:rPr>
                <w:sz w:val="19"/>
              </w:rPr>
              <w:t>Beschrijving van het terugwinningsproces: thermisch/chemisch, reactoromstandigheden, scheidingsstappen, zuiveringsstadia.</w:t>
            </w:r>
          </w:p>
        </w:tc>
      </w:tr>
      <w:tr>
        <w:tc>
          <w:tcPr>
            <w:tcW w:type="dxa" w:w="4320"/>
          </w:tcPr>
          <w:p>
            <w:r/>
            <w:r>
              <w:rPr>
                <w:sz w:val="19"/>
              </w:rPr>
              <w:t>Compositie-ranges</w:t>
            </w:r>
          </w:p>
        </w:tc>
        <w:tc>
          <w:tcPr>
            <w:tcW w:type="dxa" w:w="4320"/>
          </w:tcPr>
          <w:p>
            <w:r/>
            <w:r>
              <w:rPr>
                <w:sz w:val="19"/>
              </w:rPr>
              <w:t>Concentratiebereiken voor alle bestanddelen ≥1% en alle bekende gevaarlijke onzuiverheden, gebaseerd op statistisch significante dataset.</w:t>
            </w:r>
          </w:p>
        </w:tc>
      </w:tr>
      <w:tr>
        <w:tc>
          <w:tcPr>
            <w:tcW w:type="dxa" w:w="4320"/>
            <w:shd w:fill="E8EEF4" w:val="clear"/>
          </w:tcPr>
          <w:p>
            <w:r/>
            <w:r>
              <w:rPr>
                <w:sz w:val="19"/>
              </w:rPr>
              <w:t>Analytische data</w:t>
            </w:r>
          </w:p>
        </w:tc>
        <w:tc>
          <w:tcPr>
            <w:tcW w:type="dxa" w:w="4320"/>
            <w:shd w:fill="E8EEF4" w:val="clear"/>
          </w:tcPr>
          <w:p>
            <w:r/>
            <w:r>
              <w:rPr>
                <w:sz w:val="19"/>
              </w:rPr>
              <w:t>ICP-OES/MS, XRD, XRF-data van representatieve monsters. Analytische methoden en validatiedata moeten beschikbaar zijn.</w:t>
            </w:r>
          </w:p>
        </w:tc>
      </w:tr>
      <w:tr>
        <w:tc>
          <w:tcPr>
            <w:tcW w:type="dxa" w:w="4320"/>
          </w:tcPr>
          <w:p>
            <w:r/>
            <w:r>
              <w:rPr>
                <w:sz w:val="19"/>
              </w:rPr>
              <w:t>Naamgevingsconventie</w:t>
            </w:r>
          </w:p>
        </w:tc>
        <w:tc>
          <w:tcPr>
            <w:tcW w:type="dxa" w:w="4320"/>
          </w:tcPr>
          <w:p>
            <w:r/>
            <w:r>
              <w:rPr>
                <w:sz w:val="19"/>
              </w:rPr>
              <w:t>UVCB-stoffen worden benoemd volgens de ECHA-richtsnoer naamgeving: bron + proces + dominante bestanddeel (bijv. "Vanadiumverbindingen, verkregen door thermische terugwinning uit staalslakken").</w:t>
            </w:r>
          </w:p>
        </w:tc>
      </w:tr>
      <w:tr>
        <w:tc>
          <w:tcPr>
            <w:tcW w:type="dxa" w:w="4320"/>
            <w:shd w:fill="E8EEF4" w:val="clear"/>
          </w:tcPr>
          <w:p>
            <w:r/>
            <w:r>
              <w:rPr>
                <w:sz w:val="19"/>
              </w:rPr>
              <w:t>Stofidentificatieprofiel (SIP)</w:t>
            </w:r>
          </w:p>
        </w:tc>
        <w:tc>
          <w:tcPr>
            <w:tcW w:type="dxa" w:w="4320"/>
            <w:shd w:fill="E8EEF4" w:val="clear"/>
          </w:tcPr>
          <w:p>
            <w:r/>
            <w:r>
              <w:rPr>
                <w:sz w:val="19"/>
              </w:rPr>
              <w:t>Een volledig SIP conform ECHA Practical Guide, inclusief alle bovengenoemde elementen. Het SIP is onderdeel van het REACH-registratiedossier.</w:t>
            </w:r>
          </w:p>
        </w:tc>
      </w:tr>
      <w:tr>
        <w:tc>
          <w:tcPr>
            <w:tcW w:type="dxa" w:w="4320"/>
          </w:tcPr>
          <w:p>
            <w:r/>
            <w:r>
              <w:rPr>
                <w:sz w:val="19"/>
              </w:rPr>
              <w:t>Samenhang met EoW</w:t>
            </w:r>
          </w:p>
        </w:tc>
        <w:tc>
          <w:tcPr>
            <w:tcW w:type="dxa" w:w="4320"/>
          </w:tcPr>
          <w:p>
            <w:r/>
            <w:r>
              <w:rPr>
                <w:sz w:val="19"/>
              </w:rPr>
              <w:t>De UVCB-stofidentiteit moet consistent zijn met de End-of-Waste documentatie: dezelfde monsterdata en analyseresultaten.</w:t>
            </w:r>
          </w:p>
        </w:tc>
      </w:tr>
    </w:tbl>
    <w:p/>
    <w:p>
      <w:pPr>
        <w:pStyle w:val="Heading3"/>
      </w:pPr>
      <w:r>
        <w:t>4.4.1 Strategisch advies</w:t>
      </w:r>
    </w:p>
    <w:p>
      <w:r>
        <w:t>Phoenix Metals dient de volgende stappen te zetten om aan de UVCB-eisen te voldoen:</w:t>
      </w:r>
    </w:p>
    <w:p>
      <w:pPr>
        <w:pStyle w:val="ListBullet"/>
        <w:ind w:left="720"/>
      </w:pPr>
      <w:r>
        <w:t>Stap 1: Verzamel analytische data van ten minste 10 productiebatches uit minimaal 3 verschillende slakbronnen.</w:t>
      </w:r>
    </w:p>
    <w:p>
      <w:pPr>
        <w:pStyle w:val="ListBullet"/>
        <w:ind w:left="720"/>
      </w:pPr>
      <w:r>
        <w:t>Stap 2: Laat een toxicoloog de hazard-classificatie vaststellen op basis van de worst-case samenstelling.</w:t>
      </w:r>
    </w:p>
    <w:p>
      <w:pPr>
        <w:pStyle w:val="ListBullet"/>
        <w:ind w:left="720"/>
      </w:pPr>
      <w:r>
        <w:t>Stap 3: Stel het SIP op conform ECHA-richtsnoer, inclusief bron- en procesbeschrijving.</w:t>
      </w:r>
    </w:p>
    <w:p>
      <w:pPr>
        <w:pStyle w:val="ListBullet"/>
        <w:ind w:left="720"/>
      </w:pPr>
      <w:r>
        <w:t>Stap 4: Laat de UVCB-stofidentiteit toetsen door een REACH-consultant voordat het registratiedossier (of de vrijstellingsnotificatie) wordt ingediend.</w:t>
      </w:r>
    </w:p>
    <w:p>
      <w:pPr>
        <w:pStyle w:val="ListBullet"/>
        <w:ind w:left="720"/>
      </w:pPr>
      <w:r>
        <w:t>Stap 5: Implementeer een kwaliteitsmanagementsysteem (QMS) voor continue monitoring van de samenstelling en actualisatie van het SDS.</w:t>
      </w:r>
    </w:p>
    <w:p>
      <w:r>
        <w:br w:type="page"/>
      </w:r>
    </w:p>
    <w:p>
      <w:pPr>
        <w:pStyle w:val="Heading1"/>
      </w:pPr>
      <w:r>
        <w:t>5. Referenties</w:t>
      </w:r>
    </w:p>
    <w:p>
      <w:pPr>
        <w:spacing w:after="60"/>
      </w:pPr>
      <w:r>
        <w:t>[1] REACH-verordening (Verordening (EG) nr. 1907/2006), artikelen 2(7)(d), 5, 6, 14, 31, 32, 34, 35, 37; Bijlagen I-X, Bijlage II zoals gewijzigd door Verordening (EU) 2020/878.</w:t>
      </w:r>
    </w:p>
    <w:p>
      <w:pPr>
        <w:spacing w:after="60"/>
      </w:pPr>
      <w:r>
        <w:t>[2] CLP-verordening (Verordening (EG) nr. 1272/2008), artikelen 4, 13, 14, 18, 31, 45; Bijlagen I-VIII.</w:t>
      </w:r>
    </w:p>
    <w:p>
      <w:pPr>
        <w:spacing w:after="60"/>
      </w:pPr>
      <w:r>
        <w:t>[3] ECHA (2020), Richtsnoer voor het samenstellen van veiligheidsinformatiebladen, versie 4.0, december 2020. Referentie: ECHA-20-H-25-EN.</w:t>
      </w:r>
    </w:p>
    <w:p>
      <w:pPr>
        <w:spacing w:after="60"/>
      </w:pPr>
      <w:r>
        <w:t>[4] ECHA (2023), Richtsnoer voor identificatie en naamgeving van stoffen volgens REACH en CLP, versie 3.0, december 2023. Referentie: ECHA-23-H-07-NL.</w:t>
      </w:r>
    </w:p>
    <w:p>
      <w:pPr>
        <w:spacing w:after="60"/>
      </w:pPr>
      <w:r>
        <w:t>[5] ECHA (2021), Guidance on labelling and packaging in accordance with Regulation (EC) No 1272/2008, versie 4.2, maart 2021. Referentie: ECHA-21-G-02-EN.</w:t>
      </w:r>
    </w:p>
    <w:p>
      <w:pPr>
        <w:spacing w:after="60"/>
      </w:pPr>
      <w:r>
        <w:t>[6] ECHA (2021), Richtsnoer voor registratie, versie 4.0, augustus 2021. Referentie: ECHA-21-G-07-NL.</w:t>
      </w:r>
    </w:p>
    <w:p>
      <w:pPr>
        <w:spacing w:after="60"/>
      </w:pPr>
      <w:r>
        <w:t>[7] ECHA, Guidance on waste and recovered substances. Beschikbaar via: https://echa.europa.eu/guidance-documents/guidance-on-reach</w:t>
      </w:r>
    </w:p>
    <w:p>
      <w:pPr>
        <w:spacing w:after="60"/>
      </w:pPr>
      <w:r>
        <w:t>[8] ECHA, Practical Guide: How to develop and prepare a Substance Identity Profile (SIP).</w:t>
      </w:r>
    </w:p>
    <w:p>
      <w:pPr>
        <w:spacing w:after="60"/>
      </w:pPr>
      <w:r>
        <w:t>[9] Verordening (EU) 2020/878 tot wijziging van Bijlage II bij REACH (SDS-formaat update).</w:t>
      </w:r>
    </w:p>
    <w:p>
      <w:pPr>
        <w:spacing w:after="60"/>
      </w:pPr>
      <w:r>
        <w:t>[10] Kaderrichtlijn Afval (Richtlijn 2008/98/EG), artikel 6.</w:t>
      </w:r>
    </w:p>
    <w:p>
      <w:pPr>
        <w:spacing w:after="60"/>
      </w:pPr>
      <w:r>
        <w:t>[11] Seveso-III richtlijn (Richtlijn 2012/18/EU) / BRZO 2015.</w:t>
      </w:r>
    </w:p>
    <w:p>
      <w:pPr>
        <w:spacing w:after="60"/>
      </w:pPr>
      <w:r>
        <w:t>[12] IARC Monographs on the Evaluation of Carcinogenic Risks to Humans, Volume 86: Vanadium pentoxide.</w:t>
      </w:r>
    </w:p>
    <w:p>
      <w:pPr>
        <w:spacing w:after="60"/>
      </w:pPr>
      <w:r>
        <w:t>[13] SCOEL/REC/406: Vanadium pentoxide and other inorganic vanadium compounds. SCOEL Recommendation.</w:t>
      </w:r>
    </w:p>
    <w:p>
      <w:pPr>
        <w:spacing w:after="60"/>
      </w:pPr>
      <w:r>
        <w:t>[14] ADR 2025, Deel 2: Classificatie — UN 2862.</w:t>
      </w:r>
    </w:p>
    <w:p>
      <w:pPr>
        <w:spacing w:after="60"/>
      </w:pPr>
      <w:r>
        <w:t>[15] PGS 15: Publicatiereeks Gevaarlijke Stoffen — Opslag van gevaarlijke stoffen.</w:t>
      </w:r>
    </w:p>
    <w:p>
      <w:pPr>
        <w:spacing w:after="60"/>
      </w:pPr>
      <w:r>
        <w:t>[16] SER-advies grenswaarden vanadiumpentoxide ( Nederlandse Occupational Exposure Limit).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D2D2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B3A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B3A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B3A5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