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jc w:val="center"/>
      </w:pPr>
      <w:r>
        <w:rPr>
          <w:b/>
          <w:color w:val="003366"/>
          <w:sz w:val="56"/>
        </w:rPr>
        <w:t>Master SOP</w:t>
        <w:br/>
        <w:t>REACH-Compliance &amp; HSE-Beheer</w:t>
      </w:r>
    </w:p>
    <w:p>
      <w:pPr>
        <w:jc w:val="center"/>
      </w:pPr>
      <w:r>
        <w:rPr>
          <w:color w:val="505050"/>
          <w:sz w:val="32"/>
        </w:rPr>
        <w:t>Phoenix Metals IJmuiden</w:t>
        <w:br/>
        <w:t>Standard Operating Procedure</w:t>
      </w:r>
    </w:p>
    <w:p/>
    <w:p>
      <w:pPr>
        <w:jc w:val="center"/>
      </w:pPr>
      <w:r>
        <w:rPr>
          <w:b/>
        </w:rPr>
        <w:t>Versie: 2.0</w:t>
        <w:br/>
      </w:r>
      <w:r>
        <w:t>Datum: 16 april 2026</w:t>
        <w:br/>
        <w:t>Eigenaar: HSE Manager (J. van Gemert)</w:t>
        <w:br/>
        <w:t>Goedgekeurd: Stijn van Zelst, Managing Director</w:t>
      </w:r>
    </w:p>
    <w:p>
      <w:r>
        <w:br w:type="page"/>
      </w:r>
    </w:p>
    <w:p>
      <w:pPr>
        <w:pStyle w:val="Heading1"/>
      </w:pPr>
      <w:r>
        <w:rPr>
          <w:color w:val="003366"/>
        </w:rPr>
        <w:t>Document Control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Versie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Auteur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Maart 2026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Initiële versie (generiek)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2.0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16 april 2026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Volledige upgrade met Phoenix Metals data</w:t>
            </w:r>
          </w:p>
        </w:tc>
      </w:tr>
    </w:tbl>
    <w:p/>
    <w:p>
      <w:pPr>
        <w:pStyle w:val="Heading2"/>
      </w:pPr>
      <w:r>
        <w:rPr>
          <w:color w:val="003366"/>
        </w:rPr>
        <w:t>Wijzigingenbeheer</w:t>
      </w:r>
    </w:p>
    <w:p>
      <w:r>
        <w:t>Wijzigingen worden beheerd conform PE-202-01 V1 Management of Change (Bron 34). Elke wijziging wordt beoordeeld door de HSE Manager en goedgekeurd door de Managing Director.</w:t>
      </w:r>
    </w:p>
    <w:p>
      <w:r>
        <w:t>1. Doel &amp; Toepassingsgebied</w:t>
      </w:r>
    </w:p>
    <w:p>
      <w:r>
        <w:t>2. Organisatiestructuur &amp; Verantwoordelijkheden</w:t>
      </w:r>
    </w:p>
    <w:p>
      <w:r>
        <w:t>3. Document Control</w:t>
      </w:r>
    </w:p>
    <w:p>
      <w:r>
        <w:t>4. Management of Change</w:t>
      </w:r>
    </w:p>
    <w:p>
      <w:r>
        <w:t>5. REACH-Compliance Procedure</w:t>
      </w:r>
    </w:p>
    <w:p>
      <w:r>
        <w:t>6. Gevaarlijke Stoffen Procedure</w:t>
      </w:r>
    </w:p>
    <w:p>
      <w:r>
        <w:t>7. HSE Policy Implementatie</w:t>
      </w:r>
    </w:p>
    <w:p>
      <w:r>
        <w:t>8. PBM-Beleid Uitvoering</w:t>
      </w:r>
    </w:p>
    <w:p>
      <w:r>
        <w:t>9. Bedrijfsnoodplan</w:t>
      </w:r>
    </w:p>
    <w:p>
      <w:r>
        <w:t>10. RI&amp;E &amp; Actieopvolging</w:t>
      </w:r>
    </w:p>
    <w:p>
      <w:r>
        <w:t>11. Training &amp; Competentie</w:t>
      </w:r>
    </w:p>
    <w:p>
      <w:r>
        <w:t>12. Kwaliteitscontrole (QC)</w:t>
      </w:r>
    </w:p>
    <w:p>
      <w:r>
        <w:t>13. Gekoppelde Documenten</w:t>
      </w:r>
    </w:p>
    <w:p>
      <w:r>
        <w:t>Bijlage A: Referenties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 &amp; Toepassingsgebied</w:t>
      </w:r>
    </w:p>
    <w:p>
      <w:r>
        <w:t>Deze Master SOP beschrijft de operationele procedures voor REACH-compliance en HSE-beheer bij Phoenix Metals IJmuiden. Het is van toepassing op alle medewerkers, aannemers en bezoekers die werkzaamheden uitvoeren op de locatie Westerduinweg 3, IJmuiden.</w:t>
      </w:r>
    </w:p>
    <w:p>
      <w:pPr>
        <w:pStyle w:val="Heading1"/>
      </w:pPr>
      <w:r>
        <w:rPr>
          <w:color w:val="003366"/>
        </w:rPr>
        <w:t>2. Organisatiestructuur &amp; Verantwoordelijkheden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Functie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Naam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Verantwoordelijkheden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Managing Director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Stijn van Zelst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Eindverantwoordelijkheid HSE, goedkeuring beleid, budgetallocatie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Jorick van Gemert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HSE-beleid, RI&amp;E, REACH-compliance, training, audits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Vergunningadviseur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Arcadis (Gijs Jacobs)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Vergunningsaanvraag, milieuregelgeving, bestemmingsplan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Operatiepersoneel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TBD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Uitvoering procedures, incidentmelding, PBM-gebruik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BHV'er(s)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TBD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Eerste hulp, ontruiming, brandbestrijding</w:t>
            </w:r>
          </w:p>
        </w:tc>
      </w:tr>
    </w:tbl>
    <w:p>
      <w:pPr>
        <w:pStyle w:val="Heading2"/>
      </w:pPr>
      <w:r>
        <w:rPr>
          <w:color w:val="003366"/>
        </w:rPr>
        <w:t>2.1 RACI-Matrix — HSE Processen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Proces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MD (Van Zelst)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HSE Manager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Operatie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Arcadis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HSE Policy vaststellen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RI&amp;E uitvoeren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Vergunningsaanvraag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REACH-registratie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MoC-beoordeling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BNP-updates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PBM-distributie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Responsible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SDS-beheer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Accountable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Informed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Consulted</w:t>
            </w:r>
          </w:p>
        </w:tc>
      </w:tr>
    </w:tbl>
    <w:p>
      <w:pPr>
        <w:pStyle w:val="Heading1"/>
      </w:pPr>
      <w:r>
        <w:rPr>
          <w:color w:val="003366"/>
        </w:rPr>
        <w:t>3. Document Control</w:t>
      </w:r>
    </w:p>
    <w:p>
      <w:r>
        <w:t>Alle documenten zijn genummerd conform de Phoenix Metals boomstructuur. Document control omvat:</w:t>
      </w:r>
    </w:p>
    <w:p>
      <w:pPr>
        <w:pStyle w:val="ListBullet"/>
      </w:pPr>
      <w:r>
        <w:t>Unieke documentnummering (PE-xxx-xx, HS-xxx-xx, etc.)</w:t>
      </w:r>
    </w:p>
    <w:p>
      <w:pPr>
        <w:pStyle w:val="ListBullet"/>
      </w:pPr>
      <w:r>
        <w:t>Versiebeheer: wijzigingenbeheertabel in elk document.</w:t>
      </w:r>
    </w:p>
    <w:p>
      <w:pPr>
        <w:pStyle w:val="ListBullet"/>
      </w:pPr>
      <w:r>
        <w:t>Goedkeuringsworkflow: HSE Manager → Managing Director.</w:t>
      </w:r>
    </w:p>
    <w:p>
      <w:pPr>
        <w:pStyle w:val="ListBullet"/>
      </w:pPr>
      <w:r>
        <w:t>Archivering: oude versies bewaren, nooit overschrijven.</w:t>
      </w:r>
    </w:p>
    <w:p>
      <w:pPr>
        <w:pStyle w:val="ListBullet"/>
      </w:pPr>
      <w:r>
        <w:t>Distributie: gecontroleerde distributie via documentbeheersysteem.</w:t>
      </w:r>
    </w:p>
    <w:p>
      <w:pPr>
        <w:pStyle w:val="ListBullet"/>
      </w:pPr>
      <w:r>
        <w:t>Referentie: Bron 33 — overzicht BRZO-elementen en VBS.</w:t>
      </w:r>
    </w:p>
    <w:p>
      <w:pPr>
        <w:pStyle w:val="Heading1"/>
      </w:pPr>
      <w:r>
        <w:rPr>
          <w:color w:val="003366"/>
        </w:rPr>
        <w:t>4. Management of Change (MoC)</w:t>
      </w:r>
    </w:p>
    <w:p>
      <w:r>
        <w:t>Conform PE-202-01 V1 Management of Change (Bron 34):</w:t>
      </w:r>
    </w:p>
    <w:p>
      <w:pPr>
        <w:pStyle w:val="Heading2"/>
      </w:pPr>
      <w:r>
        <w:rPr>
          <w:color w:val="003366"/>
        </w:rPr>
        <w:t>4.1 Wijzigingstypen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Type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Voorbeeld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Beoordeling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Organisatorisch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Nieuwe medewerkers, gewijzigde bevoegdheden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Installaties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Nieuwe reactor, gewijzigd leidingwerk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 + technisch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Procedures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Gewijzigde werkprocedure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Tijdelijk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Proefdraaien nieuwe parameter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MoC-formulier verplicht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Noodvervangend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Tijdelijk ander materiaal/apparaat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 akkoord + termijn</w:t>
            </w:r>
          </w:p>
        </w:tc>
      </w:tr>
    </w:tbl>
    <w:p>
      <w:pPr>
        <w:pStyle w:val="Heading2"/>
      </w:pPr>
      <w:r>
        <w:rPr>
          <w:color w:val="003366"/>
        </w:rPr>
        <w:t>4.2 MoC-Proces</w:t>
      </w:r>
    </w:p>
    <w:p>
      <w:r>
        <w:t>1. Identificatie wijziging door initiatiefnemer.</w:t>
      </w:r>
    </w:p>
    <w:p>
      <w:r>
        <w:t>2. MoC-formulier invullen (beschrijving, reden, risico's).</w:t>
      </w:r>
    </w:p>
    <w:p>
      <w:r>
        <w:t>3. Risicobeoordeling door HSE Manager.</w:t>
      </w:r>
    </w:p>
    <w:p>
      <w:r>
        <w:t>4. Goedkeuring door Managing Director (indien impact &gt; laag).</w:t>
      </w:r>
    </w:p>
    <w:p>
      <w:r>
        <w:t>5. Implementatie + communicatie naar betrokkenen.</w:t>
      </w:r>
    </w:p>
    <w:p>
      <w:r>
        <w:t>6. Evaluatie na implementatie (na 30 dagen).</w:t>
      </w:r>
    </w:p>
    <w:p>
      <w:pPr>
        <w:pStyle w:val="Heading1"/>
      </w:pPr>
      <w:r>
        <w:rPr>
          <w:color w:val="003366"/>
        </w:rPr>
        <w:t>5. REACH-Compliance Procedure</w:t>
      </w:r>
    </w:p>
    <w:p>
      <w:r>
        <w:t>De REACH-compliance procedure volgt het projectplan uit Bron 12 (REACH registratie). In de pilot fase (&lt;1 ton/jaar) is registratie mogelijk niet verplicht, maar worden voorbereidingen getroffen voor commerciële schaalvergroting.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Fase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Activiteit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Verantwoordelijke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Deliverable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Voorbereiding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Stoffeninventarisatie, consortiumonderzoek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Stoffenlijst + CAS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Data-verzameling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SIEF-deelname, LoA verkrijgen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Dataset per stof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Risicobeoordeling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CSR opstellen, blootstellingsscenario's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Toxicoloog + HSE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Indiening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REACH-IT dossier indienen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ECHA-nummer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Implementatie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SDS, training, labeling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Complete SDS-set</w:t>
            </w:r>
          </w:p>
        </w:tc>
      </w:tr>
    </w:tbl>
    <w:p>
      <w:pPr>
        <w:pStyle w:val="Heading1"/>
      </w:pPr>
      <w:r>
        <w:rPr>
          <w:color w:val="003366"/>
        </w:rPr>
        <w:t>6. Gevaarlijke Stoffen Procedure</w:t>
      </w:r>
    </w:p>
    <w:p>
      <w:r>
        <w:t>Conform PE-240-01 V1 Aanvraag, beoordeling en goedkeuring van gevaarlijke stoffen (Bron 18):</w:t>
      </w:r>
    </w:p>
    <w:p>
      <w:pPr>
        <w:pStyle w:val="ListBullet"/>
      </w:pPr>
      <w:r>
        <w:t>Voorafgaand aan ingebruikname: Chemical Risk Assessment verplicht.</w:t>
      </w:r>
    </w:p>
    <w:p>
      <w:pPr>
        <w:pStyle w:val="ListBullet"/>
      </w:pPr>
      <w:r>
        <w:t>SDS-raadpleging: H-zinnen, P-zinnen, blootstellingslimieten.</w:t>
      </w:r>
    </w:p>
    <w:p>
      <w:pPr>
        <w:pStyle w:val="ListBullet"/>
      </w:pPr>
      <w:r>
        <w:t>CMR/SVHC/PBT/vPvB: bijzondere beoordeling en goedkeuring door MD.</w:t>
      </w:r>
    </w:p>
    <w:p>
      <w:pPr>
        <w:pStyle w:val="ListBullet"/>
      </w:pPr>
      <w:r>
        <w:t>Registratie in chemicals register (Registration Chemicals MASTER, Bron 13).</w:t>
      </w:r>
    </w:p>
    <w:p>
      <w:pPr>
        <w:pStyle w:val="ListBullet"/>
      </w:pPr>
      <w:r>
        <w:t>Opslag: gescheiden opslag zuren/basen, brandwerende kasten, ventilatie.</w:t>
      </w:r>
    </w:p>
    <w:p>
      <w:pPr>
        <w:pStyle w:val="Heading1"/>
      </w:pPr>
      <w:r>
        <w:rPr>
          <w:color w:val="003366"/>
        </w:rPr>
        <w:t>7. HSE Policy Implementatie</w:t>
      </w:r>
    </w:p>
    <w:p>
      <w:r>
        <w:t>Conform HSE Policy-V1 (Bron 22):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Paragraaf Policy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Implementatie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Verantwoordelijke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§1 Commitment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als vast agendapunt teamoverleg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MD + 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§2 Compliance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Jaarlijkse compliance-audit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§3 Objectives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Jaarlijkse HSE-doelen (SMART)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MD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§4 Implementatie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Risicobeoordelingen, procedures, training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§5 Monitoring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Inspecties, audits, KPI's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§6 Review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Jaarlijkse management review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MD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§7 Improvement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Correctieve acties, lessons learned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</w:tbl>
    <w:p>
      <w:pPr>
        <w:pStyle w:val="Heading1"/>
      </w:pPr>
      <w:r>
        <w:rPr>
          <w:color w:val="003366"/>
        </w:rPr>
        <w:t>8. PBM-Beleid Uitvoering</w:t>
      </w:r>
    </w:p>
    <w:p>
      <w:r>
        <w:t>Conform PS-201-NL V1.0 PBM beleid (Bron 25) en PBM matrix draft (Bron 24):</w:t>
      </w:r>
    </w:p>
    <w:p>
      <w:pPr>
        <w:pStyle w:val="ListBullet"/>
      </w:pPr>
      <w:r>
        <w:t>Selectie: op basis van RI&amp;E en arbeidshygiënische strategie (bron → collectief → individueel → PBM).</w:t>
      </w:r>
    </w:p>
    <w:p>
      <w:pPr>
        <w:pStyle w:val="ListBullet"/>
      </w:pPr>
      <w:r>
        <w:t>Aanschaf: gecertificeerde PBM's (CE-markering, normering per type).</w:t>
      </w:r>
    </w:p>
    <w:p>
      <w:pPr>
        <w:pStyle w:val="ListBullet"/>
      </w:pPr>
      <w:r>
        <w:t>Distributie: persoonlijk toegewezen PBM's bij indiensttreding.</w:t>
      </w:r>
    </w:p>
    <w:p>
      <w:pPr>
        <w:pStyle w:val="ListBullet"/>
      </w:pPr>
      <w:r>
        <w:t>Training: instructie juist gebruik bij indiensttreding + jaarlijks.</w:t>
      </w:r>
    </w:p>
    <w:p>
      <w:pPr>
        <w:pStyle w:val="ListBullet"/>
      </w:pPr>
      <w:r>
        <w:t>Onderhoud: inspectie + vervanging volgens schema.</w:t>
      </w:r>
    </w:p>
    <w:p>
      <w:pPr>
        <w:pStyle w:val="ListBullet"/>
      </w:pPr>
      <w:r>
        <w:t>Registratie: uitgifte geregistreerd per medewerker.</w:t>
      </w:r>
    </w:p>
    <w:p>
      <w:pPr>
        <w:pStyle w:val="Heading1"/>
      </w:pPr>
      <w:r>
        <w:rPr>
          <w:color w:val="003366"/>
        </w:rPr>
        <w:t>9. Bedrijfsnoodplan (BNP)</w:t>
      </w:r>
    </w:p>
    <w:p>
      <w:r>
        <w:t>Conform BNP-V1 (Bron 23). Het BNP is van toepassing op de Phoenix Metals locatie en is aansluitend op het noodplan van Plant One Rotterdam (bij demo-locatie) respectievelijk het noodplan van de IJmuiden-locatie (pilot plant).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Actie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Verantwoordelijke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Brand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Alarm → BHV → 112 → evacuatie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BHV'er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Chemische lekkage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Isolatie → neutralisatie → ventilatie → 112 indien nodig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Persoonlijk ongeval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EHBO → 112 indien nodig → incidentmelding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BHV'er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Evacuatie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Verzamelpunt → telling → BHV coördinatie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Ontruimingsleider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Radioactief incident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Evacuatie → ANVS-notificatie → afbakening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HSE Manager</w:t>
            </w:r>
          </w:p>
        </w:tc>
      </w:tr>
    </w:tbl>
    <w:p>
      <w:pPr>
        <w:pStyle w:val="Heading1"/>
      </w:pPr>
      <w:r>
        <w:rPr>
          <w:color w:val="003366"/>
        </w:rPr>
        <w:t>10. RI&amp;E &amp; Actieopvolging</w:t>
      </w:r>
    </w:p>
    <w:p>
      <w:r>
        <w:t>De RI&amp;E is uitgevoerd conform de instrumenten (Bronnen 26-27). Openstaande acties zijn geregistreerd in het RI&amp;E Action Plan (Bron 28). Beheer:</w:t>
      </w:r>
    </w:p>
    <w:p>
      <w:pPr>
        <w:pStyle w:val="ListBullet"/>
      </w:pPr>
      <w:r>
        <w:t>Jaarlijkse herbeoordeling RI&amp;E.</w:t>
      </w:r>
    </w:p>
    <w:p>
      <w:pPr>
        <w:pStyle w:val="ListBullet"/>
      </w:pPr>
      <w:r>
        <w:t>Actieopvolging: statusregistratie, verantwoordelijke, deadline.</w:t>
      </w:r>
    </w:p>
    <w:p>
      <w:pPr>
        <w:pStyle w:val="ListBullet"/>
      </w:pPr>
      <w:r>
        <w:t>Maandelijks overzicht openstaande acties aan MD.</w:t>
      </w:r>
    </w:p>
    <w:p>
      <w:pPr>
        <w:pStyle w:val="ListBullet"/>
      </w:pPr>
      <w:r>
        <w:t>Integratie met MoC bij wijzigingen die RI&amp;E beïnvloeden.</w:t>
      </w:r>
    </w:p>
    <w:p>
      <w:pPr>
        <w:pStyle w:val="Heading1"/>
      </w:pPr>
      <w:r>
        <w:rPr>
          <w:color w:val="003366"/>
        </w:rPr>
        <w:t>11. Training &amp; Competentie</w:t>
      </w:r>
    </w:p>
    <w:p>
      <w:r>
        <w:t>Trainingen conform de opleidingsmatrix (Bron: trainingen/) en Draft PvA (Bron 3):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Training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Doelgroep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Frequentie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Document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Basisveiligheid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Alle medewerkers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Indiensttreding + 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Policy-V1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Gevaarlijke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Operatie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Indiensttreding + 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PE-240-01 V1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PBM-gebruik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Alle medewerkers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Indiensttreding + 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PS-201-NL V1.0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BHV/EHBO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Benoemde BHV'ers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BNP-V1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MoC-procedure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+ leidinggevenden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PE-202-01 V1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REACH-awareness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Alle medewerkers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REACH registratie doc</w:t>
            </w:r>
          </w:p>
        </w:tc>
      </w:tr>
    </w:tbl>
    <w:p>
      <w:pPr>
        <w:pStyle w:val="Heading1"/>
      </w:pPr>
      <w:r>
        <w:rPr>
          <w:color w:val="003366"/>
        </w:rPr>
        <w:t>12. Kwaliteitscontrole (QC)</w:t>
      </w:r>
    </w:p>
    <w:p>
      <w:pPr>
        <w:pStyle w:val="ListBullet"/>
      </w:pPr>
      <w:r>
        <w:t>Documentreview: alle HSE-documenten jaarlijks reviewed.</w:t>
      </w:r>
    </w:p>
    <w:p>
      <w:pPr>
        <w:pStyle w:val="ListBullet"/>
      </w:pPr>
      <w:r>
        <w:t>Procedure-audits: halfjaarlijks interne audit op SOP-naleving.</w:t>
      </w:r>
    </w:p>
    <w:p>
      <w:pPr>
        <w:pStyle w:val="ListBullet"/>
      </w:pPr>
      <w:r>
        <w:t>Inspecties: wekelijkse HSE-inspectie werkplek.</w:t>
      </w:r>
    </w:p>
    <w:p>
      <w:pPr>
        <w:pStyle w:val="ListBullet"/>
      </w:pPr>
      <w:r>
        <w:t>Incidentenanalyse: root cause analysis bij elk incident.</w:t>
      </w:r>
    </w:p>
    <w:p>
      <w:pPr>
        <w:pStyle w:val="ListBullet"/>
      </w:pPr>
      <w:r>
        <w:t>Correctieve acties: registratie, opvolging, verifiëren effectiviteit.</w:t>
      </w:r>
    </w:p>
    <w:p>
      <w:pPr>
        <w:pStyle w:val="ListBullet"/>
      </w:pPr>
      <w:r>
        <w:t>Management Review: jaarlijkse beoordeling volledig HSE-systeem.</w:t>
      </w:r>
    </w:p>
    <w:p>
      <w:pPr>
        <w:pStyle w:val="Heading1"/>
      </w:pPr>
      <w:r>
        <w:rPr>
          <w:color w:val="003366"/>
        </w:rPr>
        <w:t>13. Gekoppelde Documenten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Nummer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Versie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Relatie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HSE Policy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Kaderstellend beleid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BNP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Noodprocedures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PBM-beleid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PS-201-NL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PBM-selectie en -gebruik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Management of Change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PE-202-01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Wijzigingenbeheer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Gevaarlijke stoffen procedure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PE-240-01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Chemical management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RI&amp;E-instrument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Actueel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Risico-inventarisatie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REACH-registratie projectplan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Actueel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REACH-compliance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Haalbaarheidsstudie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V04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Locatie-ontwikkeling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Vergunningsdocumenten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Divers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Vergunningen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Registration Chemicals MASTER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v2.1.0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Chemicals register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Fact sheet Ash 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SARU-ash eigenschappen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Draft PvA opstart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Actueel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Opstart R&amp;D-fase</w:t>
            </w:r>
          </w:p>
        </w:tc>
      </w:tr>
    </w:tbl>
    <w:p/>
    <w:p>
      <w:pPr>
        <w:jc w:val="center"/>
      </w:pPr>
      <w:r>
        <w:rPr>
          <w:color w:val="808080"/>
          <w:sz w:val="16"/>
        </w:rPr>
        <w:t>JvG Consultancy — Master SOP v2.0 — Phoenix Metals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3024"/>
      <w:gridCol w:w="3024"/>
      <w:gridCol w:w="3024"/>
    </w:tblGrid>
    <w:tr>
      <w:tc>
        <w:tcPr>
          <w:tcW w:type="dxa" w:w="3402"/>
          <w:shd w:fill="F8F9FA"/>
        </w:tcPr>
        <w:p>
          <w:pPr>
            <w:jc w:val="left"/>
          </w:pPr>
          <w:r>
            <w:rPr>
              <w:rFonts w:ascii="Calibri" w:hAnsi="Calibri"/>
              <w:color w:val="333333"/>
              <w:sz w:val="16"/>
            </w:rPr>
            <w:t>JvG Consultancy — Vertrouwelijk</w:t>
          </w:r>
        </w:p>
      </w:tc>
      <w:tc>
        <w:tcPr>
          <w:tcW w:type="dxa" w:w="2268"/>
          <w:shd w:fill="F8F9FA"/>
        </w:tcPr>
        <w:p>
          <w:pPr>
            <w:jc w:val="center"/>
          </w:pPr>
          <w:r>
            <w:rPr>
              <w:rFonts w:ascii="Calibri" w:hAnsi="Calibri"/>
              <w:sz w:val="16"/>
            </w:rPr>
            <w:fldChar w:fldCharType="begin"/>
          </w:r>
          <w:r>
            <w:rPr>
              <w:rFonts w:ascii="Calibri" w:hAnsi="Calibri"/>
              <w:sz w:val="16"/>
            </w:rPr>
            <w:instrText xml:space="preserve"> PAGE </w:instrText>
          </w:r>
          <w:r>
            <w:rPr>
              <w:rFonts w:ascii="Calibri" w:hAnsi="Calibri"/>
              <w:sz w:val="16"/>
            </w:rPr>
            <w:fldChar w:fldCharType="end"/>
          </w:r>
        </w:p>
      </w:tc>
      <w:tc>
        <w:tcPr>
          <w:tcW w:type="dxa" w:w="3402"/>
          <w:shd w:fill="F8F9FA"/>
        </w:tcPr>
        <w:p>
          <w:pPr>
            <w:jc w:val="right"/>
          </w:pPr>
          <w:r>
            <w:rPr>
              <w:rFonts w:ascii="Calibri" w:hAnsi="Calibri"/>
              <w:color w:val="333333"/>
              <w:sz w:val="16"/>
            </w:rPr>
            <w:t>Phoenix Metals — REACH Compliance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4535"/>
      <w:gridCol w:w="4535"/>
    </w:tblGrid>
    <w:tr>
      <w:tc>
        <w:tcPr>
          <w:tcW w:type="dxa" w:w="6803"/>
          <w:shd w:fill="003366"/>
        </w:tcPr>
        <w:p>
          <w:pPr>
            <w:jc w:val="left"/>
          </w:pPr>
          <w:r>
            <w:rPr>
              <w:rFonts w:ascii="Calibri" w:hAnsi="Calibri"/>
              <w:color w:val="FFFFFF"/>
              <w:sz w:val="18"/>
            </w:rPr>
            <w:t>JvG Consultancy | Safety • Governance • Advisory</w:t>
          </w:r>
        </w:p>
      </w:tc>
      <w:tc>
        <w:tcPr>
          <w:tcW w:type="dxa" w:w="2268"/>
          <w:shd w:fill="00336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20000" cy="64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jvg-logo-white-mediu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4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