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drawing>
          <wp:inline xmlns:a="http://schemas.openxmlformats.org/drawingml/2006/main" xmlns:pic="http://schemas.openxmlformats.org/drawingml/2006/picture">
            <wp:extent cx="1260000" cy="1129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consultancy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129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B3A5C"/>
          <w:sz w:val="44"/>
        </w:rPr>
        <w:t>Management Samenvatting</w:t>
        <w:br/>
        <w:t>REACH Compliance</w:t>
      </w:r>
    </w:p>
    <w:p>
      <w:r>
        <w:rPr>
          <w:i/>
          <w:color w:val="2E5A88"/>
          <w:sz w:val="24"/>
        </w:rPr>
        <w:t>Phoenix Metals B.V. — Pilot Plant IJmuiden</w:t>
      </w:r>
    </w:p>
    <w:p>
      <w:r>
        <w:rPr>
          <w:color w:val="888888"/>
          <w:sz w:val="18"/>
        </w:rPr>
        <w:t>Vertrouwelijk — Directieteam</w:t>
        <w:br/>
        <w:t>April 2026</w:t>
      </w:r>
    </w:p>
    <w:p>
      <w:pPr>
        <w:spacing w:before="40" w:after="160"/>
      </w:pPr>
      <w:r>
        <w:rPr>
          <w:color w:val="CCCCCC"/>
          <w:sz w:val="12"/>
        </w:rPr>
        <w:t>━━━━━━━━━━━━━━━━━━━━━━━━━━━━━━━━━━━━━━━━━━━━━━━━━━━━━━━━━━━━</w:t>
      </w:r>
    </w:p>
    <w:p>
      <w:pPr>
        <w:pStyle w:val="Heading2"/>
      </w:pPr>
      <w:r>
        <w:t>1. Context</w:t>
      </w:r>
    </w:p>
    <w:p>
      <w:r>
        <w:rPr>
          <w:sz w:val="21"/>
        </w:rPr>
        <w:t>Phoenix Metals B.V. bereidt een pilot plant voor in IJmuiden (3.000L batch, 7.200 kg/jaar staalslakken) voor de extractie van vanadium uit twee afvalstromen: staalslakken (Tata Steel) en SARU ash (Shell). Het doel is TRL6 bereiken, FOAK-voorbereiding en JTF-subsidieverantwoording.</w:t>
      </w:r>
    </w:p>
    <w:p>
      <w:pPr>
        <w:pStyle w:val="Heading2"/>
      </w:pPr>
      <w:r>
        <w:t>2. Conclusie</w:t>
      </w:r>
    </w:p>
    <w:p>
      <w:r>
        <w:rPr>
          <w:b/>
        </w:rPr>
        <w:t xml:space="preserve">De pilotfase is REACH-compliant haalbaar met minimale inspanning. </w:t>
      </w:r>
      <w:r>
        <w:t>De SR&amp;D-uitsluiting geldt automatisch voor stoffen &lt; 1 ton/jaar. PPORD-notificatie bij ECHA is nodig zodra de vanadium-productie ≥ 1 ton/jaar nadert. Het Vanadium Consortium biedt een kostenbesparende meelift-optie via een Letter of Access (LoA). Volledige REACH-registratie is pas vereist bij FOAK-schaal (geschat €120K–€290K).</w:t>
      </w:r>
    </w:p>
    <w:p>
      <w:pPr>
        <w:pStyle w:val="Heading2"/>
      </w:pPr>
      <w:r>
        <w:t>3. Statusoverzicht per stroom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551"/>
            <w:shd w:fill="1B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Stroom</w:t>
            </w:r>
          </w:p>
        </w:tc>
        <w:tc>
          <w:tcPr>
            <w:tcW w:type="dxa" w:w="2268"/>
            <w:shd w:fill="1B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REACH-status</w:t>
            </w:r>
          </w:p>
        </w:tc>
        <w:tc>
          <w:tcPr>
            <w:tcW w:type="dxa" w:w="2551"/>
            <w:shd w:fill="1B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Actie nodig</w:t>
            </w:r>
          </w:p>
        </w:tc>
        <w:tc>
          <w:tcPr>
            <w:tcW w:type="dxa" w:w="1134"/>
            <w:shd w:fill="1B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Urgentie</w:t>
            </w:r>
          </w:p>
        </w:tc>
      </w:tr>
      <w:tr>
        <w:tc>
          <w:tcPr>
            <w:tcW w:type="dxa" w:w="2551"/>
            <w:shd w:fill="F5F7FA"/>
          </w:tcPr>
          <w:p>
            <w:r/>
            <w:r>
              <w:rPr>
                <w:rFonts w:ascii="Calibri" w:hAnsi="Calibri"/>
                <w:sz w:val="18"/>
              </w:rPr>
              <w:t>Staalslakken (Tata)</w:t>
            </w:r>
          </w:p>
        </w:tc>
        <w:tc>
          <w:tcPr>
            <w:tcW w:type="dxa" w:w="2268"/>
            <w:shd w:fill="F5F7FA"/>
          </w:tcPr>
          <w:p>
            <w:r/>
            <w:r>
              <w:rPr>
                <w:rFonts w:ascii="Calibri" w:hAnsi="Calibri"/>
                <w:sz w:val="18"/>
              </w:rPr>
              <w:t>Afvalstof → vrijgesteld</w:t>
            </w:r>
          </w:p>
        </w:tc>
        <w:tc>
          <w:tcPr>
            <w:tcW w:type="dxa" w:w="2551"/>
            <w:shd w:fill="F5F7FA"/>
          </w:tcPr>
          <w:p>
            <w:r/>
            <w:r>
              <w:rPr>
                <w:rFonts w:ascii="Calibri" w:hAnsi="Calibri"/>
                <w:sz w:val="18"/>
              </w:rPr>
              <w:t>End-of-waste bepalen</w:t>
            </w:r>
          </w:p>
        </w:tc>
        <w:tc>
          <w:tcPr>
            <w:tcW w:type="dxa" w:w="1134"/>
            <w:shd w:fill="F5F7FA"/>
          </w:tcPr>
          <w:p>
            <w:r/>
            <w:r>
              <w:rPr>
                <w:rFonts w:ascii="Calibri" w:hAnsi="Calibri"/>
                <w:sz w:val="18"/>
              </w:rPr>
              <w:t>Medium</w:t>
            </w:r>
          </w:p>
        </w:tc>
      </w:tr>
      <w:tr>
        <w:tc>
          <w:tcPr>
            <w:tcW w:type="dxa" w:w="2551"/>
            <w:shd w:fill="FFFFFF"/>
          </w:tcPr>
          <w:p>
            <w:r/>
            <w:r>
              <w:rPr>
                <w:rFonts w:ascii="Calibri" w:hAnsi="Calibri"/>
                <w:sz w:val="18"/>
              </w:rPr>
              <w:t>SARU ash (Shell)</w:t>
            </w:r>
          </w:p>
        </w:tc>
        <w:tc>
          <w:tcPr>
            <w:tcW w:type="dxa" w:w="2268"/>
            <w:shd w:fill="FFFFFF"/>
          </w:tcPr>
          <w:p>
            <w:r/>
            <w:r>
              <w:rPr>
                <w:rFonts w:ascii="Calibri" w:hAnsi="Calibri"/>
                <w:sz w:val="18"/>
              </w:rPr>
              <w:t>Afvalstof → vrijgesteld</w:t>
            </w:r>
          </w:p>
        </w:tc>
        <w:tc>
          <w:tcPr>
            <w:tcW w:type="dxa" w:w="2551"/>
            <w:shd w:fill="FFFFFF"/>
          </w:tcPr>
          <w:p>
            <w:r/>
            <w:r>
              <w:rPr>
                <w:rFonts w:ascii="Calibri" w:hAnsi="Calibri"/>
                <w:sz w:val="18"/>
              </w:rPr>
              <w:t>Stralingswetgeving is prioriteit</w:t>
            </w:r>
          </w:p>
        </w:tc>
        <w:tc>
          <w:tcPr>
            <w:tcW w:type="dxa" w:w="1134"/>
            <w:shd w:fill="FFFFFF"/>
          </w:tcPr>
          <w:p>
            <w:r/>
            <w:r>
              <w:rPr>
                <w:rFonts w:ascii="Calibri" w:hAnsi="Calibri"/>
                <w:sz w:val="18"/>
              </w:rPr>
              <w:t>Laag</w:t>
            </w:r>
          </w:p>
        </w:tc>
      </w:tr>
      <w:tr>
        <w:tc>
          <w:tcPr>
            <w:tcW w:type="dxa" w:w="2551"/>
            <w:shd w:fill="F5F7FA"/>
          </w:tcPr>
          <w:p>
            <w:r/>
            <w:r>
              <w:rPr>
                <w:rFonts w:ascii="Calibri" w:hAnsi="Calibri"/>
                <w:sz w:val="18"/>
              </w:rPr>
              <w:t>Invoerchemicaliën (4×)</w:t>
            </w:r>
          </w:p>
        </w:tc>
        <w:tc>
          <w:tcPr>
            <w:tcW w:type="dxa" w:w="2268"/>
            <w:shd w:fill="F5F7FA"/>
          </w:tcPr>
          <w:p>
            <w:r/>
            <w:r>
              <w:rPr>
                <w:rFonts w:ascii="Calibri" w:hAnsi="Calibri"/>
                <w:sz w:val="18"/>
              </w:rPr>
              <w:t>Reeds geregistreerd</w:t>
            </w:r>
          </w:p>
        </w:tc>
        <w:tc>
          <w:tcPr>
            <w:tcW w:type="dxa" w:w="2551"/>
            <w:shd w:fill="F5F7FA"/>
          </w:tcPr>
          <w:p>
            <w:r/>
            <w:r>
              <w:rPr>
                <w:rFonts w:ascii="Calibri" w:hAnsi="Calibri"/>
                <w:sz w:val="18"/>
              </w:rPr>
              <w:t>SDS op orde houden</w:t>
            </w:r>
          </w:p>
        </w:tc>
        <w:tc>
          <w:tcPr>
            <w:tcW w:type="dxa" w:w="1134"/>
            <w:shd w:fill="F5F7FA"/>
          </w:tcPr>
          <w:p>
            <w:r/>
            <w:r>
              <w:rPr>
                <w:rFonts w:ascii="Calibri" w:hAnsi="Calibri"/>
                <w:sz w:val="18"/>
              </w:rPr>
              <w:t>Laag</w:t>
            </w:r>
          </w:p>
        </w:tc>
      </w:tr>
      <w:tr>
        <w:tc>
          <w:tcPr>
            <w:tcW w:type="dxa" w:w="2551"/>
            <w:shd w:fill="FFFFFF"/>
          </w:tcPr>
          <w:p>
            <w:r/>
            <w:r>
              <w:rPr>
                <w:rFonts w:ascii="Calibri" w:hAnsi="Calibri"/>
                <w:sz w:val="18"/>
              </w:rPr>
              <w:t>Vanadium-producten</w:t>
            </w:r>
          </w:p>
        </w:tc>
        <w:tc>
          <w:tcPr>
            <w:tcW w:type="dxa" w:w="2268"/>
            <w:shd w:fill="FFFFFF"/>
          </w:tcPr>
          <w:p>
            <w:r/>
            <w:r>
              <w:rPr>
                <w:rFonts w:ascii="Calibri" w:hAnsi="Calibri"/>
                <w:sz w:val="18"/>
              </w:rPr>
              <w:t>Niet geregistreerd</w:t>
            </w:r>
          </w:p>
        </w:tc>
        <w:tc>
          <w:tcPr>
            <w:tcW w:type="dxa" w:w="2551"/>
            <w:shd w:fill="FFFFFF"/>
          </w:tcPr>
          <w:p>
            <w:r/>
            <w:r>
              <w:rPr>
                <w:rFonts w:ascii="Calibri" w:hAnsi="Calibri"/>
                <w:sz w:val="18"/>
              </w:rPr>
              <w:t>PPORD of Consortium LoA</w:t>
            </w:r>
          </w:p>
        </w:tc>
        <w:tc>
          <w:tcPr>
            <w:tcW w:type="dxa" w:w="1134"/>
            <w:shd w:fill="FFFFFF"/>
          </w:tcPr>
          <w:p>
            <w:r/>
            <w:r>
              <w:rPr>
                <w:rFonts w:ascii="Calibri" w:hAnsi="Calibri"/>
                <w:sz w:val="18"/>
              </w:rPr>
              <w:t>Hoog</w:t>
            </w:r>
          </w:p>
        </w:tc>
      </w:tr>
      <w:tr>
        <w:tc>
          <w:tcPr>
            <w:tcW w:type="dxa" w:w="2551"/>
            <w:shd w:fill="F5F7FA"/>
          </w:tcPr>
          <w:p>
            <w:r/>
            <w:r>
              <w:rPr>
                <w:rFonts w:ascii="Calibri" w:hAnsi="Calibri"/>
                <w:sz w:val="18"/>
              </w:rPr>
              <w:t>Secundaire producten</w:t>
            </w:r>
          </w:p>
        </w:tc>
        <w:tc>
          <w:tcPr>
            <w:tcW w:type="dxa" w:w="2268"/>
            <w:shd w:fill="F5F7FA"/>
          </w:tcPr>
          <w:p>
            <w:r/>
            <w:r>
              <w:rPr>
                <w:rFonts w:ascii="Calibri" w:hAnsi="Calibri"/>
                <w:sz w:val="18"/>
              </w:rPr>
              <w:t>Reeds geregistreerd</w:t>
            </w:r>
          </w:p>
        </w:tc>
        <w:tc>
          <w:tcPr>
            <w:tcW w:type="dxa" w:w="2551"/>
            <w:shd w:fill="F5F7FA"/>
          </w:tcPr>
          <w:p>
            <w:r/>
            <w:r>
              <w:rPr>
                <w:rFonts w:ascii="Calibri" w:hAnsi="Calibri"/>
                <w:sz w:val="18"/>
              </w:rPr>
              <w:t>Monitoren bij opschaling</w:t>
            </w:r>
          </w:p>
        </w:tc>
        <w:tc>
          <w:tcPr>
            <w:tcW w:type="dxa" w:w="1134"/>
            <w:shd w:fill="F5F7FA"/>
          </w:tcPr>
          <w:p>
            <w:r/>
            <w:r>
              <w:rPr>
                <w:rFonts w:ascii="Calibri" w:hAnsi="Calibri"/>
                <w:sz w:val="18"/>
              </w:rPr>
              <w:t>Laag</w:t>
            </w:r>
          </w:p>
        </w:tc>
      </w:tr>
    </w:tbl>
    <w:p>
      <w:pPr>
        <w:pStyle w:val="Heading2"/>
      </w:pPr>
      <w:r>
        <w:t>4. Drie Keuzes voor het Management</w:t>
      </w:r>
    </w:p>
    <w:p>
      <w:r>
        <w:rPr>
          <w:b/>
          <w:color w:val="1B3A5C"/>
          <w:sz w:val="21"/>
        </w:rPr>
        <w:t>1. Vanadium Consortium aansluiten</w:t>
      </w:r>
    </w:p>
    <w:p>
      <w:pPr>
        <w:spacing w:after="80"/>
        <w:ind w:left="283"/>
      </w:pPr>
      <w:r>
        <w:t>Full membership (€15K–€40K) of Letter of Access (goedkoper). Aanbevolen: LoA voor pilotfase, membership bij FOAK.</w:t>
      </w:r>
    </w:p>
    <w:p>
      <w:r>
        <w:rPr>
          <w:b/>
          <w:color w:val="1B3A5C"/>
          <w:sz w:val="21"/>
        </w:rPr>
        <w:t>2. PPORD-notificatie indienen bij ECHA</w:t>
      </w:r>
    </w:p>
    <w:p>
      <w:pPr>
        <w:spacing w:after="80"/>
        <w:ind w:left="283"/>
      </w:pPr>
      <w:r>
        <w:t>Verplicht als vanadium-productie ≥ 1 ton/jaar. 5 jaar geldig. Kan zelf of via consultant.</w:t>
      </w:r>
    </w:p>
    <w:p>
      <w:r>
        <w:rPr>
          <w:b/>
          <w:color w:val="1B3A5C"/>
          <w:sz w:val="21"/>
        </w:rPr>
        <w:t>3. Volume-monitoring implementeren</w:t>
      </w:r>
    </w:p>
    <w:p>
      <w:pPr>
        <w:spacing w:after="80"/>
        <w:ind w:left="283"/>
      </w:pPr>
      <w:r>
        <w:t>Kwartaallijks bijhouden per stof om REACH-drempels (1 ton/jaar) te bewaken.</w:t>
      </w:r>
    </w:p>
    <w:p>
      <w:pPr>
        <w:pStyle w:val="Heading2"/>
      </w:pPr>
      <w:r>
        <w:t>5. Tijdlijn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701"/>
            <w:shd w:fill="1B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Periode</w:t>
            </w:r>
          </w:p>
        </w:tc>
        <w:tc>
          <w:tcPr>
            <w:tcW w:type="dxa" w:w="3969"/>
            <w:shd w:fill="1B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Actie</w:t>
            </w:r>
          </w:p>
        </w:tc>
        <w:tc>
          <w:tcPr>
            <w:tcW w:type="dxa" w:w="1984"/>
            <w:shd w:fill="1B3A5C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Kosten</w:t>
            </w:r>
          </w:p>
        </w:tc>
      </w:tr>
      <w:tr>
        <w:tc>
          <w:tcPr>
            <w:tcW w:type="dxa" w:w="1701"/>
            <w:shd w:fill="F5F7FA"/>
          </w:tcPr>
          <w:p>
            <w:r/>
            <w:r>
              <w:rPr>
                <w:rFonts w:ascii="Calibri" w:hAnsi="Calibri"/>
                <w:sz w:val="18"/>
              </w:rPr>
              <w:t>Q2 2026</w:t>
            </w:r>
          </w:p>
        </w:tc>
        <w:tc>
          <w:tcPr>
            <w:tcW w:type="dxa" w:w="3969"/>
            <w:shd w:fill="F5F7FA"/>
          </w:tcPr>
          <w:p>
            <w:r/>
            <w:r>
              <w:rPr>
                <w:rFonts w:ascii="Calibri" w:hAnsi="Calibri"/>
                <w:sz w:val="18"/>
              </w:rPr>
              <w:t>Consortium verkennen + LoA aanvragen</w:t>
            </w:r>
          </w:p>
        </w:tc>
        <w:tc>
          <w:tcPr>
            <w:tcW w:type="dxa" w:w="1984"/>
            <w:shd w:fill="F5F7FA"/>
          </w:tcPr>
          <w:p>
            <w:r/>
            <w:r>
              <w:rPr>
                <w:rFonts w:ascii="Calibri" w:hAnsi="Calibri"/>
                <w:sz w:val="18"/>
              </w:rPr>
              <w:t>€5K–€15K</w:t>
            </w:r>
          </w:p>
        </w:tc>
      </w:tr>
      <w:tr>
        <w:tc>
          <w:tcPr>
            <w:tcW w:type="dxa" w:w="1701"/>
            <w:shd w:fill="FFFFFF"/>
          </w:tcPr>
          <w:p>
            <w:r/>
            <w:r>
              <w:rPr>
                <w:rFonts w:ascii="Calibri" w:hAnsi="Calibri"/>
                <w:sz w:val="18"/>
              </w:rPr>
              <w:t>Q3 2026</w:t>
            </w:r>
          </w:p>
        </w:tc>
        <w:tc>
          <w:tcPr>
            <w:tcW w:type="dxa" w:w="3969"/>
            <w:shd w:fill="FFFFFF"/>
          </w:tcPr>
          <w:p>
            <w:r/>
            <w:r>
              <w:rPr>
                <w:rFonts w:ascii="Calibri" w:hAnsi="Calibri"/>
                <w:sz w:val="18"/>
              </w:rPr>
              <w:t>PPORD-notificatie indienen (indien ≥1 ton)</w:t>
            </w:r>
          </w:p>
        </w:tc>
        <w:tc>
          <w:tcPr>
            <w:tcW w:type="dxa" w:w="1984"/>
            <w:shd w:fill="FFFFFF"/>
          </w:tcPr>
          <w:p>
            <w:r/>
            <w:r>
              <w:rPr>
                <w:rFonts w:ascii="Calibri" w:hAnsi="Calibri"/>
                <w:sz w:val="18"/>
              </w:rPr>
              <w:t>€1.5K–€5K</w:t>
            </w:r>
          </w:p>
        </w:tc>
      </w:tr>
      <w:tr>
        <w:tc>
          <w:tcPr>
            <w:tcW w:type="dxa" w:w="1701"/>
            <w:shd w:fill="F5F7FA"/>
          </w:tcPr>
          <w:p>
            <w:r/>
            <w:r>
              <w:rPr>
                <w:rFonts w:ascii="Calibri" w:hAnsi="Calibri"/>
                <w:sz w:val="18"/>
              </w:rPr>
              <w:t>Q4 2026</w:t>
            </w:r>
          </w:p>
        </w:tc>
        <w:tc>
          <w:tcPr>
            <w:tcW w:type="dxa" w:w="3969"/>
            <w:shd w:fill="F5F7FA"/>
          </w:tcPr>
          <w:p>
            <w:r/>
            <w:r>
              <w:rPr>
                <w:rFonts w:ascii="Calibri" w:hAnsi="Calibri"/>
                <w:sz w:val="18"/>
              </w:rPr>
              <w:t>Volume-monitoring + SDS-update</w:t>
            </w:r>
          </w:p>
        </w:tc>
        <w:tc>
          <w:tcPr>
            <w:tcW w:type="dxa" w:w="1984"/>
            <w:shd w:fill="F5F7FA"/>
          </w:tcPr>
          <w:p>
            <w:r/>
            <w:r>
              <w:rPr>
                <w:rFonts w:ascii="Calibri" w:hAnsi="Calibri"/>
                <w:sz w:val="18"/>
              </w:rPr>
              <w:t>Intern</w:t>
            </w:r>
          </w:p>
        </w:tc>
      </w:tr>
      <w:tr>
        <w:tc>
          <w:tcPr>
            <w:tcW w:type="dxa" w:w="1701"/>
            <w:shd w:fill="FFFFFF"/>
          </w:tcPr>
          <w:p>
            <w:r/>
            <w:r>
              <w:rPr>
                <w:rFonts w:ascii="Calibri" w:hAnsi="Calibri"/>
                <w:sz w:val="18"/>
              </w:rPr>
              <w:t>2027–2028</w:t>
            </w:r>
          </w:p>
        </w:tc>
        <w:tc>
          <w:tcPr>
            <w:tcW w:type="dxa" w:w="3969"/>
            <w:shd w:fill="FFFFFF"/>
          </w:tcPr>
          <w:p>
            <w:r/>
            <w:r>
              <w:rPr>
                <w:rFonts w:ascii="Calibri" w:hAnsi="Calibri"/>
                <w:sz w:val="18"/>
              </w:rPr>
              <w:t>FOAK REACH-registratie voorbereiden</w:t>
            </w:r>
          </w:p>
        </w:tc>
        <w:tc>
          <w:tcPr>
            <w:tcW w:type="dxa" w:w="1984"/>
            <w:shd w:fill="FFFFFF"/>
          </w:tcPr>
          <w:p>
            <w:r/>
            <w:r>
              <w:rPr>
                <w:rFonts w:ascii="Calibri" w:hAnsi="Calibri"/>
                <w:sz w:val="18"/>
              </w:rPr>
              <w:t>€120K–€290K</w:t>
            </w:r>
          </w:p>
        </w:tc>
      </w:tr>
    </w:tbl>
    <w:p>
      <w:pPr>
        <w:pStyle w:val="Heading2"/>
      </w:pPr>
      <w:r>
        <w:t>6. Budgetindicatie</w:t>
      </w:r>
    </w:p>
    <w:p>
      <w:pPr>
        <w:spacing w:after="40"/>
      </w:pPr>
      <w:r>
        <w:rPr>
          <w:b/>
          <w:sz w:val="21"/>
        </w:rPr>
        <w:t xml:space="preserve">Pilotfase: </w:t>
      </w:r>
      <w:r>
        <w:rPr>
          <w:b/>
          <w:color w:val="1B3A5C"/>
        </w:rPr>
        <w:t xml:space="preserve">€6.500 – €20.000 </w:t>
      </w:r>
      <w:r>
        <w:rPr>
          <w:color w:val="666666"/>
          <w:sz w:val="19"/>
        </w:rPr>
        <w:t>(LoA + PPORD + monitoring)</w:t>
      </w:r>
    </w:p>
    <w:p>
      <w:pPr>
        <w:spacing w:after="40"/>
      </w:pPr>
      <w:r>
        <w:rPr>
          <w:b/>
          <w:sz w:val="21"/>
        </w:rPr>
        <w:t xml:space="preserve">FOAK-fase: </w:t>
      </w:r>
      <w:r>
        <w:rPr>
          <w:b/>
          <w:color w:val="1B3A5C"/>
        </w:rPr>
        <w:t xml:space="preserve">€120.000 – €290.000 </w:t>
      </w:r>
      <w:r>
        <w:rPr>
          <w:color w:val="666666"/>
          <w:sz w:val="19"/>
        </w:rPr>
        <w:t>(volledige registratie + consortium + CSR)</w:t>
      </w:r>
    </w:p>
    <w:p>
      <w:pPr>
        <w:spacing w:after="40"/>
      </w:pPr>
      <w:r>
        <w:rPr>
          <w:b/>
          <w:sz w:val="21"/>
        </w:rPr>
        <w:t xml:space="preserve">Totaal traject: </w:t>
      </w:r>
      <w:r>
        <w:rPr>
          <w:b/>
          <w:color w:val="1B3A5C"/>
        </w:rPr>
        <w:t xml:space="preserve">€126.500 – €310.000 </w:t>
      </w:r>
    </w:p>
    <w:p/>
    <w:p>
      <w:r>
        <w:rPr>
          <w:color w:val="CCCCCC"/>
          <w:sz w:val="12"/>
        </w:rPr>
        <w:t>━━━━━━━━━━━━━━━━━━━━━━━━━━━━━━━━━━━━━━━━━━━━━━━━━━━━━━━━━━━━</w:t>
      </w:r>
    </w:p>
    <w:p>
      <w:pPr>
        <w:jc w:val="center"/>
      </w:pPr>
      <w:r>
        <w:rPr>
          <w:i/>
          <w:color w:val="999999"/>
          <w:sz w:val="16"/>
        </w:rPr>
        <w:t>JvG Consultancy — Vertrouwelijk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B3A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B3A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A8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