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b/>
          <w:color w:val="003366"/>
          <w:sz w:val="56"/>
        </w:rPr>
        <w:t>REACH Kennisdossier</w:t>
        <w:br/>
        <w:t>Vergunningen &amp; Regelgeving</w:t>
      </w:r>
    </w:p>
    <w:p>
      <w:pPr>
        <w:jc w:val="center"/>
      </w:pPr>
      <w:r>
        <w:rPr>
          <w:color w:val="505050"/>
          <w:sz w:val="32"/>
        </w:rPr>
        <w:t>Phoenix Metals IJmuiden</w:t>
        <w:br/>
        <w:t>Pilot Plant voor Vanadiumextractie uit Staalslakken</w:t>
      </w:r>
    </w:p>
    <w:p/>
    <w:p>
      <w:pPr>
        <w:jc w:val="center"/>
      </w:pPr>
      <w:r>
        <w:rPr>
          <w:b/>
        </w:rPr>
        <w:t>Versie: 2.0</w:t>
        <w:br/>
      </w:r>
      <w:r>
        <w:t>Datum: 16 april 2026</w:t>
        <w:br/>
      </w:r>
      <w:r>
        <w:t>Opdrachtgever: Phoenix Metals IJmuiden</w:t>
        <w:br/>
      </w:r>
      <w:r>
        <w:t>Adviseur: JvG Consultancy</w:t>
        <w:br/>
      </w:r>
      <w:r>
        <w:t>Status: Definitief</w:t>
        <w:br/>
      </w:r>
      <w:r>
        <w:t>Classificatie: Confidential</w:t>
      </w:r>
    </w:p>
    <w:p>
      <w:r>
        <w:br w:type="page"/>
      </w:r>
    </w:p>
    <w:p>
      <w:pPr>
        <w:pStyle w:val="Heading1"/>
      </w:pPr>
      <w:r>
        <w:rPr>
          <w:color w:val="003366"/>
        </w:rPr>
        <w:t>Inhoudsopgave</w:t>
      </w:r>
    </w:p>
    <w:p>
      <w:pPr>
        <w:spacing w:after="40"/>
      </w:pPr>
      <w:r>
        <w:t>1. Managementsamenvatting</w:t>
      </w:r>
    </w:p>
    <w:p>
      <w:pPr>
        <w:spacing w:after="40"/>
      </w:pPr>
      <w:r>
        <w:t>2. Bedrijfsprofiel Phoenix Metals</w:t>
      </w:r>
    </w:p>
    <w:p>
      <w:pPr>
        <w:spacing w:after="40"/>
      </w:pPr>
      <w:r>
        <w:t>3. Procesbeschrijving Pilot Plant</w:t>
      </w:r>
    </w:p>
    <w:p>
      <w:pPr>
        <w:spacing w:after="40"/>
      </w:pPr>
      <w:r>
        <w:t>4. REACH-Verordening — Toepassingsgebied</w:t>
      </w:r>
    </w:p>
    <w:p>
      <w:pPr>
        <w:spacing w:after="40"/>
      </w:pPr>
      <w:r>
        <w:t>5. Chemische Stoffenlijst &amp; REACH-Classificatie</w:t>
      </w:r>
    </w:p>
    <w:p>
      <w:pPr>
        <w:spacing w:after="40"/>
      </w:pPr>
      <w:r>
        <w:t>6. Vergunningen &amp; Milieuregelgeving</w:t>
      </w:r>
    </w:p>
    <w:p>
      <w:pPr>
        <w:spacing w:after="40"/>
      </w:pPr>
      <w:r>
        <w:t>7. Haalbaarheidsstudie — Conclusies</w:t>
      </w:r>
    </w:p>
    <w:p>
      <w:pPr>
        <w:spacing w:after="40"/>
      </w:pPr>
      <w:r>
        <w:t>8. Planning &amp; Mijlpalen</w:t>
      </w:r>
    </w:p>
    <w:p>
      <w:pPr>
        <w:spacing w:after="40"/>
      </w:pPr>
      <w:r>
        <w:t>9. Budgetraming</w:t>
      </w:r>
    </w:p>
    <w:p>
      <w:pPr>
        <w:spacing w:after="40"/>
      </w:pPr>
      <w:r>
        <w:t>10. Risico's &amp; Mitigatiemaatregelen</w:t>
      </w:r>
    </w:p>
    <w:p>
      <w:pPr>
        <w:spacing w:after="40"/>
      </w:pPr>
      <w:r>
        <w:t>Bijlage A: Referentiedocumenten</w:t>
      </w:r>
    </w:p>
    <w:p>
      <w:pPr>
        <w:spacing w:after="40"/>
      </w:pPr>
      <w:r>
        <w:t>Bijlage B: Begrippenlijst</w:t>
      </w:r>
    </w:p>
    <w:p>
      <w:r>
        <w:br w:type="page"/>
      </w:r>
    </w:p>
    <w:p>
      <w:pPr>
        <w:pStyle w:val="Heading1"/>
      </w:pPr>
      <w:r>
        <w:rPr>
          <w:color w:val="003366"/>
        </w:rPr>
        <w:t>1. Managementsamenvatting</w:t>
      </w:r>
    </w:p>
    <w:p>
      <w:r>
        <w:t>Phoenix Metals IJmuiden ontwikkelt een hydrometallurgisch proces voor de extractie van vanadium, ijzer, calcium en magnesium uit staalslakken van Tata Steel Netherlands. Het proces is succesvol getest op laboratoriumschaal (4L batch) en pre-pilot schaal (20L batch). De volgende fase betreft een pilot plant met 3.000L batches, gelegen in de IJmuidense zeehaven (Westerduinweg 3).</w:t>
      </w:r>
    </w:p>
    <w:p>
      <w:r>
        <w:t>Dit kennisdossier analyseert de REACH-verordening, vergunningskader en milieuregelgeving van toepassing op de pilot plant. De belangrijkste conclusies zijn:</w:t>
      </w:r>
    </w:p>
    <w:p>
      <w:pPr>
        <w:pStyle w:val="ListBullet"/>
      </w:pPr>
      <w:r>
        <w:t>De pilot plant valt buiten de werkingssfeer van de Richtlijn Industriële Emissies (Rie) omdat het betreft "onderzoeks- en ontwikkelingsactiviteiten" (artikel 2 Rie).</w:t>
      </w:r>
    </w:p>
    <w:p>
      <w:pPr>
        <w:pStyle w:val="ListBullet"/>
      </w:pPr>
      <w:r>
        <w:t>REACH-registratie is vereist voor vanadiumverbindingen bij productie ≥1 ton/jaar. De pilot fase (7.200 kg staalslak/jaar) blijft naar verwachting onder deze drempel.</w:t>
      </w:r>
    </w:p>
    <w:p>
      <w:pPr>
        <w:pStyle w:val="ListBullet"/>
      </w:pPr>
      <w:r>
        <w:t>Vergunningen: een omgevingsvergunning milieu (Bal) is noodzakelijk. Het bevoegd gezag is de provincie Noord-Holland.</w:t>
      </w:r>
    </w:p>
    <w:p>
      <w:pPr>
        <w:pStyle w:val="ListBullet"/>
      </w:pPr>
      <w:r>
        <w:t>Bestemmingsplan "Havengebied IJmuiden": de pilot plant past binnen categorie 4.2 (anorganisch-chemische grondstoffen), maar bevestiging door gemeente Velsen is noodzakelijk.</w:t>
      </w:r>
    </w:p>
    <w:p>
      <w:pPr>
        <w:pStyle w:val="ListBullet"/>
      </w:pPr>
      <w:r>
        <w:t>Stralingsbescherming: SARU-ash bevat van nature voorkomende radionucliden. Voor ≤1.000 kg verwerking geldt een vrijstelling (Besluit basisveiligheidsnormen stralingsbescherming, art. 3.17).</w:t>
      </w:r>
    </w:p>
    <w:p>
      <w:pPr>
        <w:pStyle w:val="Heading1"/>
      </w:pPr>
      <w:r>
        <w:rPr>
          <w:color w:val="003366"/>
        </w:rPr>
        <w:t>2. Bedrijfsprofiel Phoenix Metals</w:t>
      </w:r>
    </w:p>
    <w:p>
      <w:r>
        <w:t>Phoenix Metals is een startup die zich richt op het terugwinnen van waardevolle metalen uit secundaire grondstoffen. Het bedrijf groeit van R&amp;D-fase naar de volgende stap: een pilot plant voor commerciële validatie.</w:t>
      </w:r>
    </w:p>
    <w:p>
      <w:pPr>
        <w:pStyle w:val="Heading2"/>
      </w:pPr>
      <w:r>
        <w:rPr>
          <w:color w:val="003366"/>
        </w:rPr>
        <w:t>2.1 Bedrijfsgegevens</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Parameter</w:t>
            </w:r>
          </w:p>
        </w:tc>
        <w:tc>
          <w:tcPr>
            <w:tcW w:type="dxa" w:w="4320"/>
          </w:tcPr>
          <w:p>
            <w:r>
              <w:rPr>
                <w:b/>
                <w:sz w:val="18"/>
              </w:rPr>
              <w:t>Gegeven</w:t>
            </w:r>
          </w:p>
        </w:tc>
      </w:tr>
      <w:tr>
        <w:tc>
          <w:tcPr>
            <w:tcW w:type="dxa" w:w="4320"/>
          </w:tcPr>
          <w:p>
            <w:r>
              <w:rPr>
                <w:sz w:val="18"/>
              </w:rPr>
              <w:t>Bedrijfsnaam</w:t>
            </w:r>
          </w:p>
        </w:tc>
        <w:tc>
          <w:tcPr>
            <w:tcW w:type="dxa" w:w="4320"/>
          </w:tcPr>
          <w:p>
            <w:r>
              <w:rPr>
                <w:sz w:val="18"/>
              </w:rPr>
              <w:t>Phoenix Metals IJmuiden</w:t>
            </w:r>
          </w:p>
        </w:tc>
      </w:tr>
      <w:tr>
        <w:tc>
          <w:tcPr>
            <w:tcW w:type="dxa" w:w="4320"/>
          </w:tcPr>
          <w:p>
            <w:r>
              <w:rPr>
                <w:sz w:val="18"/>
              </w:rPr>
              <w:t>Locatie</w:t>
            </w:r>
          </w:p>
        </w:tc>
        <w:tc>
          <w:tcPr>
            <w:tcW w:type="dxa" w:w="4320"/>
          </w:tcPr>
          <w:p>
            <w:r>
              <w:rPr>
                <w:sz w:val="18"/>
              </w:rPr>
              <w:t>Westerduinweg 3, IJmuiden ( Havengebied)</w:t>
            </w:r>
          </w:p>
        </w:tc>
      </w:tr>
      <w:tr>
        <w:tc>
          <w:tcPr>
            <w:tcW w:type="dxa" w:w="4320"/>
          </w:tcPr>
          <w:p>
            <w:r>
              <w:rPr>
                <w:sz w:val="18"/>
              </w:rPr>
              <w:t>Huidige locatie demo</w:t>
            </w:r>
          </w:p>
        </w:tc>
        <w:tc>
          <w:tcPr>
            <w:tcW w:type="dxa" w:w="4320"/>
          </w:tcPr>
          <w:p>
            <w:r>
              <w:rPr>
                <w:sz w:val="18"/>
              </w:rPr>
              <w:t>Plant One Rotterdam (POR)</w:t>
            </w:r>
          </w:p>
        </w:tc>
      </w:tr>
      <w:tr>
        <w:tc>
          <w:tcPr>
            <w:tcW w:type="dxa" w:w="4320"/>
          </w:tcPr>
          <w:p>
            <w:r>
              <w:rPr>
                <w:sz w:val="18"/>
              </w:rPr>
              <w:t>Directeur</w:t>
            </w:r>
          </w:p>
        </w:tc>
        <w:tc>
          <w:tcPr>
            <w:tcW w:type="dxa" w:w="4320"/>
          </w:tcPr>
          <w:p>
            <w:r>
              <w:rPr>
                <w:sz w:val="18"/>
              </w:rPr>
              <w:t>Stijn van Zelst</w:t>
            </w:r>
          </w:p>
        </w:tc>
      </w:tr>
      <w:tr>
        <w:tc>
          <w:tcPr>
            <w:tcW w:type="dxa" w:w="4320"/>
          </w:tcPr>
          <w:p>
            <w:r>
              <w:rPr>
                <w:sz w:val="18"/>
              </w:rPr>
              <w:t>HSE Manager</w:t>
            </w:r>
          </w:p>
        </w:tc>
        <w:tc>
          <w:tcPr>
            <w:tcW w:type="dxa" w:w="4320"/>
          </w:tcPr>
          <w:p>
            <w:r>
              <w:rPr>
                <w:sz w:val="18"/>
              </w:rPr>
              <w:t>Jorick van Gemert (JvG Consultancy)</w:t>
            </w:r>
          </w:p>
        </w:tc>
      </w:tr>
      <w:tr>
        <w:tc>
          <w:tcPr>
            <w:tcW w:type="dxa" w:w="4320"/>
          </w:tcPr>
          <w:p>
            <w:r>
              <w:rPr>
                <w:sz w:val="18"/>
              </w:rPr>
              <w:t>Vergunningadviseur</w:t>
            </w:r>
          </w:p>
        </w:tc>
        <w:tc>
          <w:tcPr>
            <w:tcW w:type="dxa" w:w="4320"/>
          </w:tcPr>
          <w:p>
            <w:r>
              <w:rPr>
                <w:sz w:val="18"/>
              </w:rPr>
              <w:t>Arcadis (Gijs Jacobs, Peter Dikkeboom)</w:t>
            </w:r>
          </w:p>
        </w:tc>
      </w:tr>
      <w:tr>
        <w:tc>
          <w:tcPr>
            <w:tcW w:type="dxa" w:w="4320"/>
          </w:tcPr>
          <w:p>
            <w:r>
              <w:rPr>
                <w:sz w:val="18"/>
              </w:rPr>
              <w:t>Activiteit</w:t>
            </w:r>
          </w:p>
        </w:tc>
        <w:tc>
          <w:tcPr>
            <w:tcW w:type="dxa" w:w="4320"/>
          </w:tcPr>
          <w:p>
            <w:r>
              <w:rPr>
                <w:sz w:val="18"/>
              </w:rPr>
              <w:t>Hydrometallurgische extractie van metalen uit staalslakken</w:t>
            </w:r>
          </w:p>
        </w:tc>
      </w:tr>
      <w:tr>
        <w:tc>
          <w:tcPr>
            <w:tcW w:type="dxa" w:w="4320"/>
          </w:tcPr>
          <w:p>
            <w:r>
              <w:rPr>
                <w:sz w:val="18"/>
              </w:rPr>
              <w:t>Grondstof</w:t>
            </w:r>
          </w:p>
        </w:tc>
        <w:tc>
          <w:tcPr>
            <w:tcW w:type="dxa" w:w="4320"/>
          </w:tcPr>
          <w:p>
            <w:r>
              <w:rPr>
                <w:sz w:val="18"/>
              </w:rPr>
              <w:t>Staalslakken (Tata Steel Netherlands) / SARU-ash</w:t>
            </w:r>
          </w:p>
        </w:tc>
      </w:tr>
      <w:tr>
        <w:tc>
          <w:tcPr>
            <w:tcW w:type="dxa" w:w="4320"/>
          </w:tcPr>
          <w:p>
            <w:r>
              <w:rPr>
                <w:sz w:val="18"/>
              </w:rPr>
              <w:t>Hoofdproduct</w:t>
            </w:r>
          </w:p>
        </w:tc>
        <w:tc>
          <w:tcPr>
            <w:tcW w:type="dxa" w:w="4320"/>
          </w:tcPr>
          <w:p>
            <w:r>
              <w:rPr>
                <w:sz w:val="18"/>
              </w:rPr>
              <w:t>Vanadium-elektrolyten voor batterijopslag (VRFB)</w:t>
            </w:r>
          </w:p>
        </w:tc>
      </w:tr>
      <w:tr>
        <w:tc>
          <w:tcPr>
            <w:tcW w:type="dxa" w:w="4320"/>
          </w:tcPr>
          <w:p>
            <w:r>
              <w:rPr>
                <w:sz w:val="18"/>
              </w:rPr>
              <w:t>Bijproducten</w:t>
            </w:r>
          </w:p>
        </w:tc>
        <w:tc>
          <w:tcPr>
            <w:tcW w:type="dxa" w:w="4320"/>
          </w:tcPr>
          <w:p>
            <w:r>
              <w:rPr>
                <w:sz w:val="18"/>
              </w:rPr>
              <w:t>Gips (CaSO₄), ijzeroxide, magnesiumhydroxide, calciumhydroxide</w:t>
            </w:r>
          </w:p>
        </w:tc>
      </w:tr>
      <w:tr>
        <w:tc>
          <w:tcPr>
            <w:tcW w:type="dxa" w:w="4320"/>
          </w:tcPr>
          <w:p>
            <w:r>
              <w:rPr>
                <w:sz w:val="18"/>
              </w:rPr>
              <w:t>Procestype</w:t>
            </w:r>
          </w:p>
        </w:tc>
        <w:tc>
          <w:tcPr>
            <w:tcW w:type="dxa" w:w="4320"/>
          </w:tcPr>
          <w:p>
            <w:r>
              <w:rPr>
                <w:sz w:val="18"/>
              </w:rPr>
              <w:t>Waterig (geen ammoniak), atmosferisch, max. 80°C</w:t>
            </w:r>
          </w:p>
        </w:tc>
      </w:tr>
    </w:tbl>
    <w:p>
      <w:pPr>
        <w:pStyle w:val="Heading2"/>
      </w:pPr>
      <w:r>
        <w:rPr>
          <w:color w:val="003366"/>
        </w:rPr>
        <w:t>2.2 Ontwikkelingsfasen</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Fase</w:t>
            </w:r>
          </w:p>
        </w:tc>
        <w:tc>
          <w:tcPr>
            <w:tcW w:type="dxa" w:w="2160"/>
          </w:tcPr>
          <w:p>
            <w:r>
              <w:rPr>
                <w:b/>
                <w:sz w:val="18"/>
              </w:rPr>
              <w:t>Schaal</w:t>
            </w:r>
          </w:p>
        </w:tc>
        <w:tc>
          <w:tcPr>
            <w:tcW w:type="dxa" w:w="2160"/>
          </w:tcPr>
          <w:p>
            <w:r>
              <w:rPr>
                <w:b/>
                <w:sz w:val="18"/>
              </w:rPr>
              <w:t>Status</w:t>
            </w:r>
          </w:p>
        </w:tc>
        <w:tc>
          <w:tcPr>
            <w:tcW w:type="dxa" w:w="2160"/>
          </w:tcPr>
          <w:p>
            <w:r>
              <w:rPr>
                <w:b/>
                <w:sz w:val="18"/>
              </w:rPr>
              <w:t>Locatie</w:t>
            </w:r>
          </w:p>
        </w:tc>
      </w:tr>
      <w:tr>
        <w:tc>
          <w:tcPr>
            <w:tcW w:type="dxa" w:w="2160"/>
          </w:tcPr>
          <w:p>
            <w:r>
              <w:rPr>
                <w:sz w:val="18"/>
              </w:rPr>
              <w:t>R&amp;D</w:t>
            </w:r>
          </w:p>
        </w:tc>
        <w:tc>
          <w:tcPr>
            <w:tcW w:type="dxa" w:w="2160"/>
          </w:tcPr>
          <w:p>
            <w:r>
              <w:rPr>
                <w:sz w:val="18"/>
              </w:rPr>
              <w:t>4L batch</w:t>
            </w:r>
          </w:p>
        </w:tc>
        <w:tc>
          <w:tcPr>
            <w:tcW w:type="dxa" w:w="2160"/>
          </w:tcPr>
          <w:p>
            <w:r>
              <w:rPr>
                <w:sz w:val="18"/>
              </w:rPr>
              <w:t>Voltooid</w:t>
            </w:r>
          </w:p>
        </w:tc>
        <w:tc>
          <w:tcPr>
            <w:tcW w:type="dxa" w:w="2160"/>
          </w:tcPr>
          <w:p>
            <w:r>
              <w:rPr>
                <w:sz w:val="18"/>
              </w:rPr>
              <w:t>Laboratorium</w:t>
            </w:r>
          </w:p>
        </w:tc>
      </w:tr>
      <w:tr>
        <w:tc>
          <w:tcPr>
            <w:tcW w:type="dxa" w:w="2160"/>
          </w:tcPr>
          <w:p>
            <w:r>
              <w:rPr>
                <w:sz w:val="18"/>
              </w:rPr>
              <w:t>Pre-pilot (Demo)</w:t>
            </w:r>
          </w:p>
        </w:tc>
        <w:tc>
          <w:tcPr>
            <w:tcW w:type="dxa" w:w="2160"/>
          </w:tcPr>
          <w:p>
            <w:r>
              <w:rPr>
                <w:sz w:val="18"/>
              </w:rPr>
              <w:t>20L batch</w:t>
            </w:r>
          </w:p>
        </w:tc>
        <w:tc>
          <w:tcPr>
            <w:tcW w:type="dxa" w:w="2160"/>
          </w:tcPr>
          <w:p>
            <w:r>
              <w:rPr>
                <w:sz w:val="18"/>
              </w:rPr>
              <w:t>Voltooid</w:t>
            </w:r>
          </w:p>
        </w:tc>
        <w:tc>
          <w:tcPr>
            <w:tcW w:type="dxa" w:w="2160"/>
          </w:tcPr>
          <w:p>
            <w:r>
              <w:rPr>
                <w:sz w:val="18"/>
              </w:rPr>
              <w:t>Plant One Rotterdam</w:t>
            </w:r>
          </w:p>
        </w:tc>
      </w:tr>
      <w:tr>
        <w:tc>
          <w:tcPr>
            <w:tcW w:type="dxa" w:w="2160"/>
          </w:tcPr>
          <w:p>
            <w:r>
              <w:rPr>
                <w:sz w:val="18"/>
              </w:rPr>
              <w:t>Pilot Plant</w:t>
            </w:r>
          </w:p>
        </w:tc>
        <w:tc>
          <w:tcPr>
            <w:tcW w:type="dxa" w:w="2160"/>
          </w:tcPr>
          <w:p>
            <w:r>
              <w:rPr>
                <w:sz w:val="18"/>
              </w:rPr>
              <w:t>3.000L batch</w:t>
            </w:r>
          </w:p>
        </w:tc>
        <w:tc>
          <w:tcPr>
            <w:tcW w:type="dxa" w:w="2160"/>
          </w:tcPr>
          <w:p>
            <w:r>
              <w:rPr>
                <w:sz w:val="18"/>
              </w:rPr>
              <w:t>Gepland (H1 2026)</w:t>
            </w:r>
          </w:p>
        </w:tc>
        <w:tc>
          <w:tcPr>
            <w:tcW w:type="dxa" w:w="2160"/>
          </w:tcPr>
          <w:p>
            <w:r>
              <w:rPr>
                <w:sz w:val="18"/>
              </w:rPr>
              <w:t>IJmuiden (Westerduinweg 3)</w:t>
            </w:r>
          </w:p>
        </w:tc>
      </w:tr>
      <w:tr>
        <w:tc>
          <w:tcPr>
            <w:tcW w:type="dxa" w:w="2160"/>
          </w:tcPr>
          <w:p>
            <w:r>
              <w:rPr>
                <w:sz w:val="18"/>
              </w:rPr>
              <w:t>Commercieel</w:t>
            </w:r>
          </w:p>
        </w:tc>
        <w:tc>
          <w:tcPr>
            <w:tcW w:type="dxa" w:w="2160"/>
          </w:tcPr>
          <w:p>
            <w:r>
              <w:rPr>
                <w:sz w:val="18"/>
              </w:rPr>
              <w:t>Schaalvergroting</w:t>
            </w:r>
          </w:p>
        </w:tc>
        <w:tc>
          <w:tcPr>
            <w:tcW w:type="dxa" w:w="2160"/>
          </w:tcPr>
          <w:p>
            <w:r>
              <w:rPr>
                <w:sz w:val="18"/>
              </w:rPr>
              <w:t>Toekomstig</w:t>
            </w:r>
          </w:p>
        </w:tc>
        <w:tc>
          <w:tcPr>
            <w:tcW w:type="dxa" w:w="2160"/>
          </w:tcPr>
          <w:p>
            <w:r>
              <w:rPr>
                <w:sz w:val="18"/>
              </w:rPr>
              <w:t>TBD</w:t>
            </w:r>
          </w:p>
        </w:tc>
      </w:tr>
    </w:tbl>
    <w:p>
      <w:r>
        <w:br w:type="page"/>
      </w:r>
    </w:p>
    <w:p>
      <w:pPr>
        <w:pStyle w:val="Heading1"/>
      </w:pPr>
      <w:r>
        <w:rPr>
          <w:color w:val="003366"/>
        </w:rPr>
        <w:t>3. Procesbeschrijving Pilot Plant</w:t>
      </w:r>
    </w:p>
    <w:p>
      <w:r>
        <w:t>Het Phoenix Metals proces is een hydrometallurgisch extractieproces dat uitsluitend gebruik maakt van waterige oplossingen zonder ammoniak. De gemiddelde procestemperatuur is 80°C onder atmosferische omstandigheden. Hieronder wordt het proces beschreven op basis van het Block Flow Diagram (BFD) en Process Flow Diagram (PFD) — zie Bronnen 6-8.</w:t>
      </w:r>
    </w:p>
    <w:p>
      <w:pPr>
        <w:pStyle w:val="Heading2"/>
      </w:pPr>
      <w:r>
        <w:rPr>
          <w:color w:val="003366"/>
        </w:rPr>
        <w:t>3.1 Processtappen (Demo Plant — Basis voor Pilot)</w:t>
      </w:r>
    </w:p>
    <w:p>
      <w:r>
        <w:rPr>
          <w:b/>
        </w:rPr>
        <w:t xml:space="preserve">Stap 1: </w:t>
      </w:r>
      <w:r>
        <w:t>Ash in flow cabinet → 3 kg afwegen → plastic emmer</w:t>
      </w:r>
    </w:p>
    <w:p>
      <w:r>
        <w:rPr>
          <w:b/>
        </w:rPr>
        <w:t xml:space="preserve">Stap 2: </w:t>
      </w:r>
      <w:r>
        <w:t>Ash overbrengen naar reactor via trechter</w:t>
      </w:r>
    </w:p>
    <w:p>
      <w:r>
        <w:rPr>
          <w:b/>
        </w:rPr>
        <w:t xml:space="preserve">Stap 3: </w:t>
      </w:r>
      <w:r>
        <w:t>Reactor vullen met water + 50% NaOH tot 18L</w:t>
      </w:r>
    </w:p>
    <w:p>
      <w:r>
        <w:rPr>
          <w:b/>
        </w:rPr>
        <w:t xml:space="preserve">Stap 4: </w:t>
      </w:r>
      <w:r>
        <w:t>Roeren en verwarmen tot 80°C (logingsreactie)</w:t>
      </w:r>
    </w:p>
    <w:p>
      <w:r>
        <w:rPr>
          <w:b/>
        </w:rPr>
        <w:t xml:space="preserve">Stap 5: </w:t>
      </w:r>
      <w:r>
        <w:t>Reacto``rinhoud pompen naar 20L filterunit; filtercake wassen met demi-water</w:t>
      </w:r>
    </w:p>
    <w:p>
      <w:r>
        <w:rPr>
          <w:b/>
        </w:rPr>
        <w:t xml:space="preserve">Stap 6a: </w:t>
      </w:r>
      <w:r>
        <w:t>Filtercake (residu) → plastic emmer, geen verdere verwerking</w:t>
      </w:r>
    </w:p>
    <w:p>
      <w:r>
        <w:rPr>
          <w:b/>
        </w:rPr>
        <w:t xml:space="preserve">Stap 6b: </w:t>
      </w:r>
      <w:r>
        <w:t>Heet filtraat → tweede reactor, roeren en koelen</w:t>
      </w:r>
    </w:p>
    <w:p>
      <w:r>
        <w:rPr>
          <w:b/>
        </w:rPr>
        <w:t xml:space="preserve">Stap 8-12: </w:t>
      </w:r>
      <w:r>
        <w:t>Kristallisatiecyclus: koelen → filtreren → herkristallisatie (iteratief)</w:t>
      </w:r>
    </w:p>
    <w:p>
      <w:r>
        <w:rPr>
          <w:b/>
        </w:rPr>
        <w:t xml:space="preserve">Stap 13-16: </w:t>
      </w:r>
      <w:r>
        <w:t>Zwavelzuurtoevoeging + aluminiumsulfaat → pH-aanpassing → filtratie</w:t>
      </w:r>
    </w:p>
    <w:p>
      <w:r>
        <w:rPr>
          <w:b/>
        </w:rPr>
        <w:t xml:space="preserve">Stap 17-20: </w:t>
      </w:r>
      <w:r>
        <w:t>Opnieuw zwavelzuur + NaOH → oplossen → koelen → filtratie</w:t>
      </w:r>
    </w:p>
    <w:p>
      <w:r>
        <w:rPr>
          <w:b/>
        </w:rPr>
        <w:t xml:space="preserve">Stap 21-23: </w:t>
      </w:r>
      <w:r>
        <w:t>Ionenwisseling over ion exchange column; regeneratie met 2,5M H₂SO₄</w:t>
      </w:r>
    </w:p>
    <w:p>
      <w:r>
        <w:rPr>
          <w:b/>
        </w:rPr>
        <w:t xml:space="preserve">Stap 24-25: </w:t>
      </w:r>
      <w:r>
        <w:t>H₂SO₄-toevoeging → gele oplossing → electroreductie → V(IV) sulfaat</w:t>
      </w:r>
    </w:p>
    <w:p>
      <w:r>
        <w:rPr>
          <w:b/>
        </w:rPr>
        <w:t xml:space="preserve">Stap 26-28: </w:t>
      </w:r>
      <w:r>
        <w:t>Mengen V(IV) sulfaat met column outflow → verwarmen → filtreren → electroreductie → V3.5+ elektrolyt</w:t>
      </w:r>
    </w:p>
    <w:p>
      <w:pPr>
        <w:pStyle w:val="Heading2"/>
      </w:pPr>
      <w:r>
        <w:rPr>
          <w:color w:val="003366"/>
        </w:rPr>
        <w:t>3.2 Kernreacties</w:t>
      </w:r>
    </w:p>
    <w:p>
      <w:r>
        <w:t>Hoofdreactie: loging van vanadium uit staalslak met NaOH bij 80°C.</w:t>
        <w:br/>
        <w:t>Nevenreacties: reactie ongebluste kalk (CaO) met H₂SO₄ → gips (CaSO₄) + warmte.</w:t>
        <w:br/>
        <w:t>Zie BFD (Bron 6) en PFD (Bron 7) voor volledig stroomschema.</w:t>
      </w:r>
    </w:p>
    <w:p>
      <w:pPr>
        <w:pStyle w:val="Heading2"/>
      </w:pPr>
      <w:r>
        <w:rPr>
          <w:color w:val="003366"/>
        </w:rPr>
        <w:t>3.3 Massabalans Pilot Plant</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Parameter</w:t>
            </w:r>
          </w:p>
        </w:tc>
        <w:tc>
          <w:tcPr>
            <w:tcW w:type="dxa" w:w="2160"/>
          </w:tcPr>
          <w:p>
            <w:r>
              <w:rPr>
                <w:b/>
                <w:sz w:val="18"/>
              </w:rPr>
              <w:t>Demo (20L)</w:t>
            </w:r>
          </w:p>
        </w:tc>
        <w:tc>
          <w:tcPr>
            <w:tcW w:type="dxa" w:w="2160"/>
          </w:tcPr>
          <w:p>
            <w:r>
              <w:rPr>
                <w:b/>
                <w:sz w:val="18"/>
              </w:rPr>
              <w:t>Pilot (3.000L)</w:t>
            </w:r>
          </w:p>
        </w:tc>
        <w:tc>
          <w:tcPr>
            <w:tcW w:type="dxa" w:w="2160"/>
          </w:tcPr>
          <w:p>
            <w:r>
              <w:rPr>
                <w:b/>
                <w:sz w:val="18"/>
              </w:rPr>
              <w:t>Commercieel</w:t>
            </w:r>
          </w:p>
        </w:tc>
      </w:tr>
      <w:tr>
        <w:tc>
          <w:tcPr>
            <w:tcW w:type="dxa" w:w="2160"/>
          </w:tcPr>
          <w:p>
            <w:r>
              <w:rPr>
                <w:sz w:val="18"/>
              </w:rPr>
              <w:t>Batchgrootte staalslak</w:t>
            </w:r>
          </w:p>
        </w:tc>
        <w:tc>
          <w:tcPr>
            <w:tcW w:type="dxa" w:w="2160"/>
          </w:tcPr>
          <w:p>
            <w:r>
              <w:rPr>
                <w:sz w:val="18"/>
              </w:rPr>
              <w:t>3,5 kg</w:t>
            </w:r>
          </w:p>
        </w:tc>
        <w:tc>
          <w:tcPr>
            <w:tcW w:type="dxa" w:w="2160"/>
          </w:tcPr>
          <w:p>
            <w:r>
              <w:rPr>
                <w:sz w:val="18"/>
              </w:rPr>
              <w:t>~100 kg</w:t>
            </w:r>
          </w:p>
        </w:tc>
        <w:tc>
          <w:tcPr>
            <w:tcW w:type="dxa" w:w="2160"/>
          </w:tcPr>
          <w:p>
            <w:r>
              <w:rPr>
                <w:sz w:val="18"/>
              </w:rPr>
              <w:t>TBD</w:t>
            </w:r>
          </w:p>
        </w:tc>
      </w:tr>
      <w:tr>
        <w:tc>
          <w:tcPr>
            <w:tcW w:type="dxa" w:w="2160"/>
          </w:tcPr>
          <w:p>
            <w:r>
              <w:rPr>
                <w:sz w:val="18"/>
              </w:rPr>
              <w:t>Jaarlijkse verwerking</w:t>
            </w:r>
          </w:p>
        </w:tc>
        <w:tc>
          <w:tcPr>
            <w:tcW w:type="dxa" w:w="2160"/>
          </w:tcPr>
          <w:p>
            <w:r>
              <w:rPr>
                <w:sz w:val="18"/>
              </w:rPr>
              <w:t>~60 kg</w:t>
            </w:r>
          </w:p>
        </w:tc>
        <w:tc>
          <w:tcPr>
            <w:tcW w:type="dxa" w:w="2160"/>
          </w:tcPr>
          <w:p>
            <w:r>
              <w:rPr>
                <w:sz w:val="18"/>
              </w:rPr>
              <w:t>7.200 kg</w:t>
            </w:r>
          </w:p>
        </w:tc>
        <w:tc>
          <w:tcPr>
            <w:tcW w:type="dxa" w:w="2160"/>
          </w:tcPr>
          <w:p>
            <w:r>
              <w:rPr>
                <w:sz w:val="18"/>
              </w:rPr>
              <w:t>TBD</w:t>
            </w:r>
          </w:p>
        </w:tc>
      </w:tr>
      <w:tr>
        <w:tc>
          <w:tcPr>
            <w:tcW w:type="dxa" w:w="2160"/>
          </w:tcPr>
          <w:p>
            <w:r>
              <w:rPr>
                <w:sz w:val="18"/>
              </w:rPr>
              <w:t>Reactorvolume</w:t>
            </w:r>
          </w:p>
        </w:tc>
        <w:tc>
          <w:tcPr>
            <w:tcW w:type="dxa" w:w="2160"/>
          </w:tcPr>
          <w:p>
            <w:r>
              <w:rPr>
                <w:sz w:val="18"/>
              </w:rPr>
              <w:t>18-20L</w:t>
            </w:r>
          </w:p>
        </w:tc>
        <w:tc>
          <w:tcPr>
            <w:tcW w:type="dxa" w:w="2160"/>
          </w:tcPr>
          <w:p>
            <w:r>
              <w:rPr>
                <w:sz w:val="18"/>
              </w:rPr>
              <w:t>3.000L</w:t>
            </w:r>
          </w:p>
        </w:tc>
        <w:tc>
          <w:tcPr>
            <w:tcW w:type="dxa" w:w="2160"/>
          </w:tcPr>
          <w:p>
            <w:r>
              <w:rPr>
                <w:sz w:val="18"/>
              </w:rPr>
              <w:t>TBD</w:t>
            </w:r>
          </w:p>
        </w:tc>
      </w:tr>
      <w:tr>
        <w:tc>
          <w:tcPr>
            <w:tcW w:type="dxa" w:w="2160"/>
          </w:tcPr>
          <w:p>
            <w:r>
              <w:rPr>
                <w:sz w:val="18"/>
              </w:rPr>
              <w:t>Procestemperatuur</w:t>
            </w:r>
          </w:p>
        </w:tc>
        <w:tc>
          <w:tcPr>
            <w:tcW w:type="dxa" w:w="2160"/>
          </w:tcPr>
          <w:p>
            <w:r>
              <w:rPr>
                <w:sz w:val="18"/>
              </w:rPr>
              <w:t>80°C</w:t>
            </w:r>
          </w:p>
        </w:tc>
        <w:tc>
          <w:tcPr>
            <w:tcW w:type="dxa" w:w="2160"/>
          </w:tcPr>
          <w:p>
            <w:r>
              <w:rPr>
                <w:sz w:val="18"/>
              </w:rPr>
              <w:t>80°C</w:t>
            </w:r>
          </w:p>
        </w:tc>
        <w:tc>
          <w:tcPr>
            <w:tcW w:type="dxa" w:w="2160"/>
          </w:tcPr>
          <w:p>
            <w:r>
              <w:rPr>
                <w:sz w:val="18"/>
              </w:rPr>
              <w:t>80°C</w:t>
            </w:r>
          </w:p>
        </w:tc>
      </w:tr>
      <w:tr>
        <w:tc>
          <w:tcPr>
            <w:tcW w:type="dxa" w:w="2160"/>
          </w:tcPr>
          <w:p>
            <w:r>
              <w:rPr>
                <w:sz w:val="18"/>
              </w:rPr>
              <w:t>Druk</w:t>
            </w:r>
          </w:p>
        </w:tc>
        <w:tc>
          <w:tcPr>
            <w:tcW w:type="dxa" w:w="2160"/>
          </w:tcPr>
          <w:p>
            <w:r>
              <w:rPr>
                <w:sz w:val="18"/>
              </w:rPr>
              <w:t>Atmosferisch</w:t>
            </w:r>
          </w:p>
        </w:tc>
        <w:tc>
          <w:tcPr>
            <w:tcW w:type="dxa" w:w="2160"/>
          </w:tcPr>
          <w:p>
            <w:r>
              <w:rPr>
                <w:sz w:val="18"/>
              </w:rPr>
              <w:t>Atmosferisch</w:t>
            </w:r>
          </w:p>
        </w:tc>
        <w:tc>
          <w:tcPr>
            <w:tcW w:type="dxa" w:w="2160"/>
          </w:tcPr>
          <w:p>
            <w:r>
              <w:rPr>
                <w:sz w:val="18"/>
              </w:rPr>
              <w:t>Atmosferisch</w:t>
            </w:r>
          </w:p>
        </w:tc>
      </w:tr>
    </w:tbl>
    <w:p>
      <w:pPr>
        <w:pStyle w:val="Heading1"/>
      </w:pPr>
      <w:r>
        <w:rPr>
          <w:color w:val="003366"/>
        </w:rPr>
        <w:t>4. REACH-Verordening — Toepassingsgebied</w:t>
      </w:r>
    </w:p>
    <w:p>
      <w:r>
        <w:t>De REACH-verordening (EG 1907/2006) verplicht producenten en importeurs van chemische stoffen deze te registreren bij het European Chemicals Agency (ECHA) wanneer de productie of import ≥1 ton per jaar bedraagt.</w:t>
      </w:r>
    </w:p>
    <w:p>
      <w:pPr>
        <w:pStyle w:val="Heading2"/>
      </w:pPr>
      <w:r>
        <w:rPr>
          <w:color w:val="003366"/>
        </w:rPr>
        <w:t>4.1 Relevantie voor Phoenix Metals</w:t>
      </w:r>
    </w:p>
    <w:p>
      <w:r>
        <w:t>Phoenix Metals produceert vanadium-elektrolyten uit staalslakken. De volgende REACH-aspecten zijn relevant:</w:t>
      </w:r>
    </w:p>
    <w:p>
      <w:pPr>
        <w:pStyle w:val="ListBullet"/>
      </w:pPr>
      <w:r>
        <w:t>Productiedrempel: De pilot plant verwerkt 7.200 kg staalslak/jaar. De vanadiumoutput blijft naar verwachting onder 1 ton/jaar, waardoor REACH-registratie in de pilot fase mogelijk niet verplicht is.</w:t>
      </w:r>
    </w:p>
    <w:p>
      <w:pPr>
        <w:pStyle w:val="ListBullet"/>
      </w:pPr>
      <w:r>
        <w:t>Toekomstige schaalvergroting: Bij commerciële productie (&gt;1 ton/jaar vanadiumverbindingen) is REACH-registratie verplicht.</w:t>
      </w:r>
    </w:p>
    <w:p>
      <w:pPr>
        <w:pStyle w:val="ListBullet"/>
      </w:pPr>
      <w:r>
        <w:t>Downstream gebruiker: Phoenix Metals gebruikt reeds geregistreerde stoffen (H₂SO₄, NaOH) en is downstream gebruiker conform REACH art. 2.</w:t>
      </w:r>
    </w:p>
    <w:p>
      <w:pPr>
        <w:pStyle w:val="ListBullet"/>
      </w:pPr>
      <w:r>
        <w:t>Vanadium REACH Consortium: Lidmaatschap aanbevolen voor toegang tot bestaande toxicologische data en SIEF-participatie.</w:t>
      </w:r>
    </w:p>
    <w:p>
      <w:pPr>
        <w:pStyle w:val="Heading2"/>
      </w:pPr>
      <w:r>
        <w:rPr>
          <w:color w:val="003366"/>
        </w:rPr>
        <w:t>4.2 REACH-Registratieproject — fasering</w:t>
      </w:r>
    </w:p>
    <w:p>
      <w:r>
        <w:t>Conform het REACH-registratie projectplan (Bron 12):</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Fase</w:t>
            </w:r>
          </w:p>
        </w:tc>
        <w:tc>
          <w:tcPr>
            <w:tcW w:type="dxa" w:w="2160"/>
          </w:tcPr>
          <w:p>
            <w:r>
              <w:rPr>
                <w:b/>
                <w:sz w:val="18"/>
              </w:rPr>
              <w:t>Periode</w:t>
            </w:r>
          </w:p>
        </w:tc>
        <w:tc>
          <w:tcPr>
            <w:tcW w:type="dxa" w:w="2160"/>
          </w:tcPr>
          <w:p>
            <w:r>
              <w:rPr>
                <w:b/>
                <w:sz w:val="18"/>
              </w:rPr>
              <w:t>Mijlpaal</w:t>
            </w:r>
          </w:p>
        </w:tc>
        <w:tc>
          <w:tcPr>
            <w:tcW w:type="dxa" w:w="2160"/>
          </w:tcPr>
          <w:p>
            <w:r>
              <w:rPr>
                <w:b/>
                <w:sz w:val="18"/>
              </w:rPr>
              <w:t>Deliverables</w:t>
            </w:r>
          </w:p>
        </w:tc>
      </w:tr>
      <w:tr>
        <w:tc>
          <w:tcPr>
            <w:tcW w:type="dxa" w:w="2160"/>
          </w:tcPr>
          <w:p>
            <w:r>
              <w:rPr>
                <w:sz w:val="18"/>
              </w:rPr>
              <w:t>1. Voorbereiding</w:t>
            </w:r>
          </w:p>
        </w:tc>
        <w:tc>
          <w:tcPr>
            <w:tcW w:type="dxa" w:w="2160"/>
          </w:tcPr>
          <w:p>
            <w:r>
              <w:rPr>
                <w:sz w:val="18"/>
              </w:rPr>
              <w:t>Maand 1-2</w:t>
            </w:r>
          </w:p>
        </w:tc>
        <w:tc>
          <w:tcPr>
            <w:tcW w:type="dxa" w:w="2160"/>
          </w:tcPr>
          <w:p>
            <w:r>
              <w:rPr>
                <w:sz w:val="18"/>
              </w:rPr>
              <w:t>Stoffeninventarisatie gereed</w:t>
            </w:r>
          </w:p>
        </w:tc>
        <w:tc>
          <w:tcPr>
            <w:tcW w:type="dxa" w:w="2160"/>
          </w:tcPr>
          <w:p>
            <w:r>
              <w:rPr>
                <w:sz w:val="18"/>
              </w:rPr>
              <w:t>Stoffenlijst + CAS-nummers, Consortiumonderzoek</w:t>
            </w:r>
          </w:p>
        </w:tc>
      </w:tr>
      <w:tr>
        <w:tc>
          <w:tcPr>
            <w:tcW w:type="dxa" w:w="2160"/>
          </w:tcPr>
          <w:p>
            <w:r>
              <w:rPr>
                <w:sz w:val="18"/>
              </w:rPr>
              <w:t>2. Data-verzameling</w:t>
            </w:r>
          </w:p>
        </w:tc>
        <w:tc>
          <w:tcPr>
            <w:tcW w:type="dxa" w:w="2160"/>
          </w:tcPr>
          <w:p>
            <w:r>
              <w:rPr>
                <w:sz w:val="18"/>
              </w:rPr>
              <w:t>Maand 3-6</w:t>
            </w:r>
          </w:p>
        </w:tc>
        <w:tc>
          <w:tcPr>
            <w:tcW w:type="dxa" w:w="2160"/>
          </w:tcPr>
          <w:p>
            <w:r>
              <w:rPr>
                <w:sz w:val="18"/>
              </w:rPr>
              <w:t>Alle data beschikbaar</w:t>
            </w:r>
          </w:p>
        </w:tc>
        <w:tc>
          <w:tcPr>
            <w:tcW w:type="dxa" w:w="2160"/>
          </w:tcPr>
          <w:p>
            <w:r>
              <w:rPr>
                <w:sz w:val="18"/>
              </w:rPr>
              <w:t>Dataset per stof, LoA's, SIEF-deelname</w:t>
            </w:r>
          </w:p>
        </w:tc>
      </w:tr>
      <w:tr>
        <w:tc>
          <w:tcPr>
            <w:tcW w:type="dxa" w:w="2160"/>
          </w:tcPr>
          <w:p>
            <w:r>
              <w:rPr>
                <w:sz w:val="18"/>
              </w:rPr>
              <w:t>3. Risicobeoordeling</w:t>
            </w:r>
          </w:p>
        </w:tc>
        <w:tc>
          <w:tcPr>
            <w:tcW w:type="dxa" w:w="2160"/>
          </w:tcPr>
          <w:p>
            <w:r>
              <w:rPr>
                <w:sz w:val="18"/>
              </w:rPr>
              <w:t>Maand 7-10</w:t>
            </w:r>
          </w:p>
        </w:tc>
        <w:tc>
          <w:tcPr>
            <w:tcW w:type="dxa" w:w="2160"/>
          </w:tcPr>
          <w:p>
            <w:r>
              <w:rPr>
                <w:sz w:val="18"/>
              </w:rPr>
              <w:t>CSR gereed</w:t>
            </w:r>
          </w:p>
        </w:tc>
        <w:tc>
          <w:tcPr>
            <w:tcW w:type="dxa" w:w="2160"/>
          </w:tcPr>
          <w:p>
            <w:r>
              <w:rPr>
                <w:sz w:val="18"/>
              </w:rPr>
              <w:t>Chemical Safety Report, Blootstellingsscenario's</w:t>
            </w:r>
          </w:p>
        </w:tc>
      </w:tr>
      <w:tr>
        <w:tc>
          <w:tcPr>
            <w:tcW w:type="dxa" w:w="2160"/>
          </w:tcPr>
          <w:p>
            <w:r>
              <w:rPr>
                <w:sz w:val="18"/>
              </w:rPr>
              <w:t>4. Dossier indiening</w:t>
            </w:r>
          </w:p>
        </w:tc>
        <w:tc>
          <w:tcPr>
            <w:tcW w:type="dxa" w:w="2160"/>
          </w:tcPr>
          <w:p>
            <w:r>
              <w:rPr>
                <w:sz w:val="18"/>
              </w:rPr>
              <w:t>Maand 11-12</w:t>
            </w:r>
          </w:p>
        </w:tc>
        <w:tc>
          <w:tcPr>
            <w:tcW w:type="dxa" w:w="2160"/>
          </w:tcPr>
          <w:p>
            <w:r>
              <w:rPr>
                <w:sz w:val="18"/>
              </w:rPr>
              <w:t>ECHA registratie</w:t>
            </w:r>
          </w:p>
        </w:tc>
        <w:tc>
          <w:tcPr>
            <w:tcW w:type="dxa" w:w="2160"/>
          </w:tcPr>
          <w:p>
            <w:r>
              <w:rPr>
                <w:sz w:val="18"/>
              </w:rPr>
              <w:t>Registratiedossier, ECHA-nummer</w:t>
            </w:r>
          </w:p>
        </w:tc>
      </w:tr>
      <w:tr>
        <w:tc>
          <w:tcPr>
            <w:tcW w:type="dxa" w:w="2160"/>
          </w:tcPr>
          <w:p>
            <w:r>
              <w:rPr>
                <w:sz w:val="18"/>
              </w:rPr>
              <w:t>5. Implementatie</w:t>
            </w:r>
          </w:p>
        </w:tc>
        <w:tc>
          <w:tcPr>
            <w:tcW w:type="dxa" w:w="2160"/>
          </w:tcPr>
          <w:p>
            <w:r>
              <w:rPr>
                <w:sz w:val="18"/>
              </w:rPr>
              <w:t>Maand 13-15</w:t>
            </w:r>
          </w:p>
        </w:tc>
        <w:tc>
          <w:tcPr>
            <w:tcW w:type="dxa" w:w="2160"/>
          </w:tcPr>
          <w:p>
            <w:r>
              <w:rPr>
                <w:sz w:val="18"/>
              </w:rPr>
              <w:t>REACH-compliant</w:t>
            </w:r>
          </w:p>
        </w:tc>
        <w:tc>
          <w:tcPr>
            <w:tcW w:type="dxa" w:w="2160"/>
          </w:tcPr>
          <w:p>
            <w:r>
              <w:rPr>
                <w:sz w:val="18"/>
              </w:rPr>
              <w:t>SDS's, training, labeling</w:t>
            </w:r>
          </w:p>
        </w:tc>
      </w:tr>
    </w:tbl>
    <w:p>
      <w:r>
        <w:br w:type="page"/>
      </w:r>
    </w:p>
    <w:p>
      <w:pPr>
        <w:pStyle w:val="Heading1"/>
      </w:pPr>
      <w:r>
        <w:rPr>
          <w:color w:val="003366"/>
        </w:rPr>
        <w:t>5. Chemische Stoffenlijst &amp; REACH-Classificatie</w:t>
      </w:r>
    </w:p>
    <w:p>
      <w:r>
        <w:t>De volgende stoffen zijn relevant voor het Phoenix Metals proces, gebaseerd op de Registration Chemicals MASTER (Bron 13) en MSDS-documenten (Bronnen 14-16).</w:t>
      </w:r>
    </w:p>
    <w:tbl>
      <w:tblPr>
        <w:tblStyle w:val="LightGrid-Accent1"/>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b/>
                <w:sz w:val="18"/>
              </w:rPr>
              <w:t>Stof</w:t>
            </w:r>
          </w:p>
        </w:tc>
        <w:tc>
          <w:tcPr>
            <w:tcW w:type="dxa" w:w="1728"/>
          </w:tcPr>
          <w:p>
            <w:r>
              <w:rPr>
                <w:b/>
                <w:sz w:val="18"/>
              </w:rPr>
              <w:t>CAS-nummer</w:t>
            </w:r>
          </w:p>
        </w:tc>
        <w:tc>
          <w:tcPr>
            <w:tcW w:type="dxa" w:w="1728"/>
          </w:tcPr>
          <w:p>
            <w:r>
              <w:rPr>
                <w:b/>
                <w:sz w:val="18"/>
              </w:rPr>
              <w:t>Functie</w:t>
            </w:r>
          </w:p>
        </w:tc>
        <w:tc>
          <w:tcPr>
            <w:tcW w:type="dxa" w:w="1728"/>
          </w:tcPr>
          <w:p>
            <w:r>
              <w:rPr>
                <w:b/>
                <w:sz w:val="18"/>
              </w:rPr>
              <w:t>CLP-Classificatie</w:t>
            </w:r>
          </w:p>
        </w:tc>
        <w:tc>
          <w:tcPr>
            <w:tcW w:type="dxa" w:w="1728"/>
          </w:tcPr>
          <w:p>
            <w:r>
              <w:rPr>
                <w:b/>
                <w:sz w:val="18"/>
              </w:rPr>
              <w:t>REACH-status</w:t>
            </w:r>
          </w:p>
        </w:tc>
      </w:tr>
      <w:tr>
        <w:tc>
          <w:tcPr>
            <w:tcW w:type="dxa" w:w="1728"/>
          </w:tcPr>
          <w:p>
            <w:r>
              <w:rPr>
                <w:sz w:val="18"/>
              </w:rPr>
              <w:t>Zwavelzuur (H₂SO₄) 25-75%</w:t>
            </w:r>
          </w:p>
        </w:tc>
        <w:tc>
          <w:tcPr>
            <w:tcW w:type="dxa" w:w="1728"/>
          </w:tcPr>
          <w:p>
            <w:r>
              <w:rPr>
                <w:sz w:val="18"/>
              </w:rPr>
              <w:t>7664-93-9</w:t>
            </w:r>
          </w:p>
        </w:tc>
        <w:tc>
          <w:tcPr>
            <w:tcW w:type="dxa" w:w="1728"/>
          </w:tcPr>
          <w:p>
            <w:r>
              <w:rPr>
                <w:sz w:val="18"/>
              </w:rPr>
              <w:t>Reactant/pH-regeling</w:t>
            </w:r>
          </w:p>
        </w:tc>
        <w:tc>
          <w:tcPr>
            <w:tcW w:type="dxa" w:w="1728"/>
          </w:tcPr>
          <w:p>
            <w:r>
              <w:rPr>
                <w:sz w:val="18"/>
              </w:rPr>
              <w:t>Corrosief (Skin Corr. 1A)</w:t>
            </w:r>
          </w:p>
        </w:tc>
        <w:tc>
          <w:tcPr>
            <w:tcW w:type="dxa" w:w="1728"/>
          </w:tcPr>
          <w:p>
            <w:r>
              <w:rPr>
                <w:sz w:val="18"/>
              </w:rPr>
              <w:t>Geregistreerd</w:t>
            </w:r>
          </w:p>
        </w:tc>
      </w:tr>
      <w:tr>
        <w:tc>
          <w:tcPr>
            <w:tcW w:type="dxa" w:w="1728"/>
          </w:tcPr>
          <w:p>
            <w:r>
              <w:rPr>
                <w:sz w:val="18"/>
              </w:rPr>
              <w:t>Natriumhydroxide (NaOH) 50%</w:t>
            </w:r>
          </w:p>
        </w:tc>
        <w:tc>
          <w:tcPr>
            <w:tcW w:type="dxa" w:w="1728"/>
          </w:tcPr>
          <w:p>
            <w:r>
              <w:rPr>
                <w:sz w:val="18"/>
              </w:rPr>
              <w:t>1310-73-2</w:t>
            </w:r>
          </w:p>
        </w:tc>
        <w:tc>
          <w:tcPr>
            <w:tcW w:type="dxa" w:w="1728"/>
          </w:tcPr>
          <w:p>
            <w:r>
              <w:rPr>
                <w:sz w:val="18"/>
              </w:rPr>
              <w:t>Reactant/loging</w:t>
            </w:r>
          </w:p>
        </w:tc>
        <w:tc>
          <w:tcPr>
            <w:tcW w:type="dxa" w:w="1728"/>
          </w:tcPr>
          <w:p>
            <w:r>
              <w:rPr>
                <w:sz w:val="18"/>
              </w:rPr>
              <w:t>Corrosief (Skin Corr. 1A)</w:t>
            </w:r>
          </w:p>
        </w:tc>
        <w:tc>
          <w:tcPr>
            <w:tcW w:type="dxa" w:w="1728"/>
          </w:tcPr>
          <w:p>
            <w:r>
              <w:rPr>
                <w:sz w:val="18"/>
              </w:rPr>
              <w:t>Geregistreerd</w:t>
            </w:r>
          </w:p>
        </w:tc>
      </w:tr>
      <w:tr>
        <w:tc>
          <w:tcPr>
            <w:tcW w:type="dxa" w:w="1728"/>
          </w:tcPr>
          <w:p>
            <w:r>
              <w:rPr>
                <w:sz w:val="18"/>
              </w:rPr>
              <w:t>Vanadiumconcentraat</w:t>
            </w:r>
          </w:p>
        </w:tc>
        <w:tc>
          <w:tcPr>
            <w:tcW w:type="dxa" w:w="1728"/>
          </w:tcPr>
          <w:p>
            <w:r>
              <w:rPr>
                <w:sz w:val="18"/>
              </w:rPr>
              <w:t>NVT (mengsel)</w:t>
            </w:r>
          </w:p>
        </w:tc>
        <w:tc>
          <w:tcPr>
            <w:tcW w:type="dxa" w:w="1728"/>
          </w:tcPr>
          <w:p>
            <w:r>
              <w:rPr>
                <w:sz w:val="18"/>
              </w:rPr>
              <w:t>Grondstof/output</w:t>
            </w:r>
          </w:p>
        </w:tc>
        <w:tc>
          <w:tcPr>
            <w:tcW w:type="dxa" w:w="1728"/>
          </w:tcPr>
          <w:p>
            <w:r>
              <w:rPr>
                <w:sz w:val="18"/>
              </w:rPr>
              <w:t>Toxisch, H341 (Verdacht van)</w:t>
            </w:r>
          </w:p>
        </w:tc>
        <w:tc>
          <w:tcPr>
            <w:tcW w:type="dxa" w:w="1728"/>
          </w:tcPr>
          <w:p>
            <w:r>
              <w:rPr>
                <w:sz w:val="18"/>
              </w:rPr>
              <w:t>Te registreren bij &gt;1 t/j</w:t>
            </w:r>
          </w:p>
        </w:tc>
      </w:tr>
      <w:tr>
        <w:tc>
          <w:tcPr>
            <w:tcW w:type="dxa" w:w="1728"/>
          </w:tcPr>
          <w:p>
            <w:r>
              <w:rPr>
                <w:sz w:val="18"/>
              </w:rPr>
              <w:t>Aluminiumsulfaat</w:t>
            </w:r>
          </w:p>
        </w:tc>
        <w:tc>
          <w:tcPr>
            <w:tcW w:type="dxa" w:w="1728"/>
          </w:tcPr>
          <w:p>
            <w:r>
              <w:rPr>
                <w:sz w:val="18"/>
              </w:rPr>
              <w:t>10043-01-3</w:t>
            </w:r>
          </w:p>
        </w:tc>
        <w:tc>
          <w:tcPr>
            <w:tcW w:type="dxa" w:w="1728"/>
          </w:tcPr>
          <w:p>
            <w:r>
              <w:rPr>
                <w:sz w:val="18"/>
              </w:rPr>
              <w:t>Hulpstof</w:t>
            </w:r>
          </w:p>
        </w:tc>
        <w:tc>
          <w:tcPr>
            <w:tcW w:type="dxa" w:w="1728"/>
          </w:tcPr>
          <w:p>
            <w:r>
              <w:rPr>
                <w:sz w:val="18"/>
              </w:rPr>
              <w:t>Irritant (Eye Irrit. 2)</w:t>
            </w:r>
          </w:p>
        </w:tc>
        <w:tc>
          <w:tcPr>
            <w:tcW w:type="dxa" w:w="1728"/>
          </w:tcPr>
          <w:p>
            <w:r>
              <w:rPr>
                <w:sz w:val="18"/>
              </w:rPr>
              <w:t>Geregistreerd</w:t>
            </w:r>
          </w:p>
        </w:tc>
      </w:tr>
      <w:tr>
        <w:tc>
          <w:tcPr>
            <w:tcW w:type="dxa" w:w="1728"/>
          </w:tcPr>
          <w:p>
            <w:r>
              <w:rPr>
                <w:sz w:val="18"/>
              </w:rPr>
              <w:t>Vanadium(IV) sulfaat</w:t>
            </w:r>
          </w:p>
        </w:tc>
        <w:tc>
          <w:tcPr>
            <w:tcW w:type="dxa" w:w="1728"/>
          </w:tcPr>
          <w:p>
            <w:r>
              <w:rPr>
                <w:sz w:val="18"/>
              </w:rPr>
              <w:t>NVT</w:t>
            </w:r>
          </w:p>
        </w:tc>
        <w:tc>
          <w:tcPr>
            <w:tcW w:type="dxa" w:w="1728"/>
          </w:tcPr>
          <w:p>
            <w:r>
              <w:rPr>
                <w:sz w:val="18"/>
              </w:rPr>
              <w:t>Tussenproduct</w:t>
            </w:r>
          </w:p>
        </w:tc>
        <w:tc>
          <w:tcPr>
            <w:tcW w:type="dxa" w:w="1728"/>
          </w:tcPr>
          <w:p>
            <w:r>
              <w:rPr>
                <w:sz w:val="18"/>
              </w:rPr>
              <w:t>Acuut toxisch, H302</w:t>
            </w:r>
          </w:p>
        </w:tc>
        <w:tc>
          <w:tcPr>
            <w:tcW w:type="dxa" w:w="1728"/>
          </w:tcPr>
          <w:p>
            <w:r>
              <w:rPr>
                <w:sz w:val="18"/>
              </w:rPr>
              <w:t>Te registreren bij &gt;1 t/j</w:t>
            </w:r>
          </w:p>
        </w:tc>
      </w:tr>
      <w:tr>
        <w:tc>
          <w:tcPr>
            <w:tcW w:type="dxa" w:w="1728"/>
          </w:tcPr>
          <w:p>
            <w:r>
              <w:rPr>
                <w:sz w:val="18"/>
              </w:rPr>
              <w:t>V3.5+ elektrolyt</w:t>
            </w:r>
          </w:p>
        </w:tc>
        <w:tc>
          <w:tcPr>
            <w:tcW w:type="dxa" w:w="1728"/>
          </w:tcPr>
          <w:p>
            <w:r>
              <w:rPr>
                <w:sz w:val="18"/>
              </w:rPr>
              <w:t>NVT</w:t>
            </w:r>
          </w:p>
        </w:tc>
        <w:tc>
          <w:tcPr>
            <w:tcW w:type="dxa" w:w="1728"/>
          </w:tcPr>
          <w:p>
            <w:r>
              <w:rPr>
                <w:sz w:val="18"/>
              </w:rPr>
              <w:t>Eindproduct</w:t>
            </w:r>
          </w:p>
        </w:tc>
        <w:tc>
          <w:tcPr>
            <w:tcW w:type="dxa" w:w="1728"/>
          </w:tcPr>
          <w:p>
            <w:r>
              <w:rPr>
                <w:sz w:val="18"/>
              </w:rPr>
              <w:t>Te bepalen (CSR)</w:t>
            </w:r>
          </w:p>
        </w:tc>
        <w:tc>
          <w:tcPr>
            <w:tcW w:type="dxa" w:w="1728"/>
          </w:tcPr>
          <w:p>
            <w:r>
              <w:rPr>
                <w:sz w:val="18"/>
              </w:rPr>
              <w:t>Te registreren bij &gt;1 t/j</w:t>
            </w:r>
          </w:p>
        </w:tc>
      </w:tr>
    </w:tbl>
    <w:p>
      <w:pPr>
        <w:pStyle w:val="Heading2"/>
      </w:pPr>
      <w:r>
        <w:rPr>
          <w:color w:val="003366"/>
        </w:rPr>
        <w:t>5.1 SDS-Beschikbaarheid</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Stof</w:t>
            </w:r>
          </w:p>
        </w:tc>
        <w:tc>
          <w:tcPr>
            <w:tcW w:type="dxa" w:w="2160"/>
          </w:tcPr>
          <w:p>
            <w:r>
              <w:rPr>
                <w:b/>
                <w:sz w:val="18"/>
              </w:rPr>
              <w:t>SDS Beschikbaar</w:t>
            </w:r>
          </w:p>
        </w:tc>
        <w:tc>
          <w:tcPr>
            <w:tcW w:type="dxa" w:w="2160"/>
          </w:tcPr>
          <w:p>
            <w:r>
              <w:rPr>
                <w:b/>
                <w:sz w:val="18"/>
              </w:rPr>
              <w:t>Bron</w:t>
            </w:r>
          </w:p>
        </w:tc>
        <w:tc>
          <w:tcPr>
            <w:tcW w:type="dxa" w:w="2160"/>
          </w:tcPr>
          <w:p>
            <w:r>
              <w:rPr>
                <w:b/>
                <w:sz w:val="18"/>
              </w:rPr>
              <w:t>Versie</w:t>
            </w:r>
          </w:p>
        </w:tc>
      </w:tr>
      <w:tr>
        <w:tc>
          <w:tcPr>
            <w:tcW w:type="dxa" w:w="2160"/>
          </w:tcPr>
          <w:p>
            <w:r>
              <w:rPr>
                <w:sz w:val="18"/>
              </w:rPr>
              <w:t>Vanadium concentrate</w:t>
            </w:r>
          </w:p>
        </w:tc>
        <w:tc>
          <w:tcPr>
            <w:tcW w:type="dxa" w:w="2160"/>
          </w:tcPr>
          <w:p>
            <w:r>
              <w:rPr>
                <w:sz w:val="18"/>
              </w:rPr>
              <w:t>Ja</w:t>
            </w:r>
          </w:p>
        </w:tc>
        <w:tc>
          <w:tcPr>
            <w:tcW w:type="dxa" w:w="2160"/>
          </w:tcPr>
          <w:p>
            <w:r>
              <w:rPr>
                <w:sz w:val="18"/>
              </w:rPr>
              <w:t>Bron 14</w:t>
            </w:r>
          </w:p>
        </w:tc>
        <w:tc>
          <w:tcPr>
            <w:tcW w:type="dxa" w:w="2160"/>
          </w:tcPr>
          <w:p>
            <w:r>
              <w:rPr>
                <w:sz w:val="18"/>
              </w:rPr>
              <w:t>Versie 1</w:t>
            </w:r>
          </w:p>
        </w:tc>
      </w:tr>
      <w:tr>
        <w:tc>
          <w:tcPr>
            <w:tcW w:type="dxa" w:w="2160"/>
          </w:tcPr>
          <w:p>
            <w:r>
              <w:rPr>
                <w:sz w:val="18"/>
              </w:rPr>
              <w:t>Zwavelzuur 25-75%</w:t>
            </w:r>
          </w:p>
        </w:tc>
        <w:tc>
          <w:tcPr>
            <w:tcW w:type="dxa" w:w="2160"/>
          </w:tcPr>
          <w:p>
            <w:r>
              <w:rPr>
                <w:sz w:val="18"/>
              </w:rPr>
              <w:t>Ja</w:t>
            </w:r>
          </w:p>
        </w:tc>
        <w:tc>
          <w:tcPr>
            <w:tcW w:type="dxa" w:w="2160"/>
          </w:tcPr>
          <w:p>
            <w:r>
              <w:rPr>
                <w:sz w:val="18"/>
              </w:rPr>
              <w:t>Bron 15</w:t>
            </w:r>
          </w:p>
        </w:tc>
        <w:tc>
          <w:tcPr>
            <w:tcW w:type="dxa" w:w="2160"/>
          </w:tcPr>
          <w:p>
            <w:r>
              <w:rPr>
                <w:sz w:val="18"/>
              </w:rPr>
              <w:t>Versie 1</w:t>
            </w:r>
          </w:p>
        </w:tc>
      </w:tr>
      <w:tr>
        <w:tc>
          <w:tcPr>
            <w:tcW w:type="dxa" w:w="2160"/>
          </w:tcPr>
          <w:p>
            <w:r>
              <w:rPr>
                <w:sz w:val="18"/>
              </w:rPr>
              <w:t>Natriumhydroxide 50%</w:t>
            </w:r>
          </w:p>
        </w:tc>
        <w:tc>
          <w:tcPr>
            <w:tcW w:type="dxa" w:w="2160"/>
          </w:tcPr>
          <w:p>
            <w:r>
              <w:rPr>
                <w:sz w:val="18"/>
              </w:rPr>
              <w:t>Ja</w:t>
            </w:r>
          </w:p>
        </w:tc>
        <w:tc>
          <w:tcPr>
            <w:tcW w:type="dxa" w:w="2160"/>
          </w:tcPr>
          <w:p>
            <w:r>
              <w:rPr>
                <w:sz w:val="18"/>
              </w:rPr>
              <w:t>Bron 16</w:t>
            </w:r>
          </w:p>
        </w:tc>
        <w:tc>
          <w:tcPr>
            <w:tcW w:type="dxa" w:w="2160"/>
          </w:tcPr>
          <w:p>
            <w:r>
              <w:rPr>
                <w:sz w:val="18"/>
              </w:rPr>
              <w:t>Versie 1</w:t>
            </w:r>
          </w:p>
        </w:tc>
      </w:tr>
    </w:tbl>
    <w:p>
      <w:pPr>
        <w:pStyle w:val="Heading2"/>
      </w:pPr>
      <w:r>
        <w:rPr>
          <w:color w:val="003366"/>
        </w:rPr>
        <w:t>5.2 SARU-ash — Specifieke aspecten</w:t>
      </w:r>
    </w:p>
    <w:p>
      <w:r>
        <w:t>De SARU-ash (reststroom uit olieraffinage) bevat natriummetavanadaat, trinatriumorthovanadaat en nikkeloxide. De ash bevat van nature voorkomende radionucliden (U-238 serie). Conform de Factsheet Ash 2025 (Bron 31) gelden de volgende kaders:</w:t>
      </w:r>
    </w:p>
    <w:p>
      <w:pPr>
        <w:pStyle w:val="ListBullet"/>
      </w:pPr>
      <w:r>
        <w:t>Verwerking ≤1.000 kg: vrijstelling art. 3.17 Besluit basisveiligheidsnormen stralingsbescherming.</w:t>
      </w:r>
    </w:p>
    <w:p>
      <w:pPr>
        <w:pStyle w:val="ListBullet"/>
      </w:pPr>
      <w:r>
        <w:t>Rechtvaardiging (justification): verwerking onder gecontroleerde omstandigheden, radionucliden blijven in vaste fractie.</w:t>
      </w:r>
    </w:p>
    <w:p>
      <w:pPr>
        <w:pStyle w:val="ListBullet"/>
      </w:pPr>
      <w:r>
        <w:t>Afvoer: notificatie vereist wegens activiteitsconcentratie U-238 serie &gt;1 kBq/kg.</w:t>
      </w:r>
    </w:p>
    <w:p>
      <w:pPr>
        <w:pStyle w:val="Heading1"/>
      </w:pPr>
      <w:r>
        <w:rPr>
          <w:color w:val="003366"/>
        </w:rPr>
        <w:t>6. Vergunningen &amp; Milieuregelgeving</w:t>
      </w:r>
    </w:p>
    <w:p>
      <w:pPr>
        <w:pStyle w:val="Heading2"/>
      </w:pPr>
      <w:r>
        <w:rPr>
          <w:color w:val="003366"/>
        </w:rPr>
        <w:t>6.1 Omgevingsvergunning — Milieubelastende Activiteit (Bal)</w:t>
      </w:r>
    </w:p>
    <w:p>
      <w:r>
        <w:t>Op basis van het vooroverleg met ODIJ (23 september 2025, Bron 19) en de haalbaarheidsstudie (Bron 20) zijn de volgende vergunningsaspecten geïdentificeerd:</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Aspect</w:t>
            </w:r>
          </w:p>
        </w:tc>
        <w:tc>
          <w:tcPr>
            <w:tcW w:type="dxa" w:w="2880"/>
          </w:tcPr>
          <w:p>
            <w:r>
              <w:rPr>
                <w:b/>
                <w:sz w:val="18"/>
              </w:rPr>
              <w:t>Beoordeling</w:t>
            </w:r>
          </w:p>
        </w:tc>
        <w:tc>
          <w:tcPr>
            <w:tcW w:type="dxa" w:w="2880"/>
          </w:tcPr>
          <w:p>
            <w:r>
              <w:rPr>
                <w:b/>
                <w:sz w:val="18"/>
              </w:rPr>
              <w:t>Vergunningsplicht</w:t>
            </w:r>
          </w:p>
        </w:tc>
      </w:tr>
      <w:tr>
        <w:tc>
          <w:tcPr>
            <w:tcW w:type="dxa" w:w="2880"/>
          </w:tcPr>
          <w:p>
            <w:r>
              <w:rPr>
                <w:sz w:val="18"/>
              </w:rPr>
              <w:t>Rie (Industriële emissies)</w:t>
            </w:r>
          </w:p>
        </w:tc>
        <w:tc>
          <w:tcPr>
            <w:tcW w:type="dxa" w:w="2880"/>
          </w:tcPr>
          <w:p>
            <w:r>
              <w:rPr>
                <w:sz w:val="18"/>
              </w:rPr>
              <w:t>Pilot plant = onderzoek/ontwikkeling → uitgezonderd</w:t>
            </w:r>
          </w:p>
        </w:tc>
        <w:tc>
          <w:tcPr>
            <w:tcW w:type="dxa" w:w="2880"/>
          </w:tcPr>
          <w:p>
            <w:r>
              <w:rPr>
                <w:sz w:val="18"/>
              </w:rPr>
              <w:t>Nee (art. 2 Rie)</w:t>
            </w:r>
          </w:p>
        </w:tc>
      </w:tr>
      <w:tr>
        <w:tc>
          <w:tcPr>
            <w:tcW w:type="dxa" w:w="2880"/>
          </w:tcPr>
          <w:p>
            <w:r>
              <w:rPr>
                <w:sz w:val="18"/>
              </w:rPr>
              <w:t>Categorie 2.5 (Basismetaal)</w:t>
            </w:r>
          </w:p>
        </w:tc>
        <w:tc>
          <w:tcPr>
            <w:tcW w:type="dxa" w:w="2880"/>
          </w:tcPr>
          <w:p>
            <w:r>
              <w:rPr>
                <w:sz w:val="18"/>
              </w:rPr>
              <w:t>Niet van toepassing (niet-industriële schaal)</w:t>
            </w:r>
          </w:p>
        </w:tc>
        <w:tc>
          <w:tcPr>
            <w:tcW w:type="dxa" w:w="2880"/>
          </w:tcPr>
          <w:p>
            <w:r>
              <w:rPr>
                <w:sz w:val="18"/>
              </w:rPr>
              <w:t>Nee</w:t>
            </w:r>
          </w:p>
        </w:tc>
      </w:tr>
      <w:tr>
        <w:tc>
          <w:tcPr>
            <w:tcW w:type="dxa" w:w="2880"/>
          </w:tcPr>
          <w:p>
            <w:r>
              <w:rPr>
                <w:sz w:val="18"/>
              </w:rPr>
              <w:t>Categorie 4.2 (Basischemie)</w:t>
            </w:r>
          </w:p>
        </w:tc>
        <w:tc>
          <w:tcPr>
            <w:tcW w:type="dxa" w:w="2880"/>
          </w:tcPr>
          <w:p>
            <w:r>
              <w:rPr>
                <w:sz w:val="18"/>
              </w:rPr>
              <w:t>Niet van toepassing (pilot schaal)</w:t>
            </w:r>
          </w:p>
        </w:tc>
        <w:tc>
          <w:tcPr>
            <w:tcW w:type="dxa" w:w="2880"/>
          </w:tcPr>
          <w:p>
            <w:r>
              <w:rPr>
                <w:sz w:val="18"/>
              </w:rPr>
              <w:t>Nee</w:t>
            </w:r>
          </w:p>
        </w:tc>
      </w:tr>
      <w:tr>
        <w:tc>
          <w:tcPr>
            <w:tcW w:type="dxa" w:w="2880"/>
          </w:tcPr>
          <w:p>
            <w:r>
              <w:rPr>
                <w:sz w:val="18"/>
              </w:rPr>
              <w:t>Milieubelastende activiteit (Bal)</w:t>
            </w:r>
          </w:p>
        </w:tc>
        <w:tc>
          <w:tcPr>
            <w:tcW w:type="dxa" w:w="2880"/>
          </w:tcPr>
          <w:p>
            <w:r>
              <w:rPr>
                <w:sz w:val="18"/>
              </w:rPr>
              <w:t>Vergunning vereist voor inrichting</w:t>
            </w:r>
          </w:p>
        </w:tc>
        <w:tc>
          <w:tcPr>
            <w:tcW w:type="dxa" w:w="2880"/>
          </w:tcPr>
          <w:p>
            <w:r>
              <w:rPr>
                <w:sz w:val="18"/>
              </w:rPr>
              <w:t>Ja — Provincie Noord-Holland</w:t>
            </w:r>
          </w:p>
        </w:tc>
      </w:tr>
      <w:tr>
        <w:tc>
          <w:tcPr>
            <w:tcW w:type="dxa" w:w="2880"/>
          </w:tcPr>
          <w:p>
            <w:r>
              <w:rPr>
                <w:sz w:val="18"/>
              </w:rPr>
              <w:t>Bestemmingsplan</w:t>
            </w:r>
          </w:p>
        </w:tc>
        <w:tc>
          <w:tcPr>
            <w:tcW w:type="dxa" w:w="2880"/>
          </w:tcPr>
          <w:p>
            <w:r>
              <w:rPr>
                <w:sz w:val="18"/>
              </w:rPr>
              <w:t>Havengebied IJmuiden — categorie 4.2 past</w:t>
            </w:r>
          </w:p>
        </w:tc>
        <w:tc>
          <w:tcPr>
            <w:tcW w:type="dxa" w:w="2880"/>
          </w:tcPr>
          <w:p>
            <w:r>
              <w:rPr>
                <w:sz w:val="18"/>
              </w:rPr>
              <w:t>Bevestiging gemeente Velsen nodig</w:t>
            </w:r>
          </w:p>
        </w:tc>
      </w:tr>
    </w:tbl>
    <w:p>
      <w:pPr>
        <w:pStyle w:val="Heading2"/>
      </w:pPr>
      <w:r>
        <w:rPr>
          <w:color w:val="003366"/>
        </w:rPr>
        <w:t>6.2 Bestemmingsplan "Havengebied IJmuiden"</w:t>
      </w:r>
    </w:p>
    <w:p>
      <w:r>
        <w:t>De beoogde locatie valt onder het bestemmingsplan "Havengebied IJmuiden" met de bestemmingen "Waarde — Archeologie" en "Bedrijf — Havengebonden". De pilot plant past binnen categorie 4.2 (Lijst van Bedrijfsactiviteiten). Er is geen sprake van grondbewerking &gt;60 cm diepte of &gt;500 m². Conform de haalbaarheidsstudie (Bron 20, §2.1) is bevestiging door gemeente Velsen noodzakelijk omtrent de "havengebonden" status.</w:t>
      </w:r>
    </w:p>
    <w:p>
      <w:pPr>
        <w:pStyle w:val="Heading2"/>
      </w:pPr>
      <w:r>
        <w:rPr>
          <w:color w:val="003366"/>
        </w:rPr>
        <w:t>6.3 Overige Vergunningsaspecten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Aspect</w:t>
            </w:r>
          </w:p>
        </w:tc>
        <w:tc>
          <w:tcPr>
            <w:tcW w:type="dxa" w:w="2880"/>
          </w:tcPr>
          <w:p>
            <w:r>
              <w:rPr>
                <w:b/>
                <w:sz w:val="18"/>
              </w:rPr>
              <w:t>Status</w:t>
            </w:r>
          </w:p>
        </w:tc>
        <w:tc>
          <w:tcPr>
            <w:tcW w:type="dxa" w:w="2880"/>
          </w:tcPr>
          <w:p>
            <w:r>
              <w:rPr>
                <w:b/>
                <w:sz w:val="18"/>
              </w:rPr>
              <w:t>Actie vereist</w:t>
            </w:r>
          </w:p>
        </w:tc>
      </w:tr>
      <w:tr>
        <w:tc>
          <w:tcPr>
            <w:tcW w:type="dxa" w:w="2880"/>
          </w:tcPr>
          <w:p>
            <w:r>
              <w:rPr>
                <w:sz w:val="18"/>
              </w:rPr>
              <w:t>Gevaarlijke stoffen opslag</w:t>
            </w:r>
          </w:p>
        </w:tc>
        <w:tc>
          <w:tcPr>
            <w:tcW w:type="dxa" w:w="2880"/>
          </w:tcPr>
          <w:p>
            <w:r>
              <w:rPr>
                <w:sz w:val="18"/>
              </w:rPr>
              <w:t>Locatie nog niet vastgelegd</w:t>
            </w:r>
          </w:p>
        </w:tc>
        <w:tc>
          <w:tcPr>
            <w:tcW w:type="dxa" w:w="2880"/>
          </w:tcPr>
          <w:p>
            <w:r>
              <w:rPr>
                <w:sz w:val="18"/>
              </w:rPr>
              <w:t>Locatie bepalen + vergunning</w:t>
            </w:r>
          </w:p>
        </w:tc>
      </w:tr>
      <w:tr>
        <w:tc>
          <w:tcPr>
            <w:tcW w:type="dxa" w:w="2880"/>
          </w:tcPr>
          <w:p>
            <w:r>
              <w:rPr>
                <w:sz w:val="18"/>
              </w:rPr>
              <w:t>Waterlozing</w:t>
            </w:r>
          </w:p>
        </w:tc>
        <w:tc>
          <w:tcPr>
            <w:tcW w:type="dxa" w:w="2880"/>
          </w:tcPr>
          <w:p>
            <w:r>
              <w:rPr>
                <w:sz w:val="18"/>
              </w:rPr>
              <w:t>Proceswater reiniging voorzien</w:t>
            </w:r>
          </w:p>
        </w:tc>
        <w:tc>
          <w:tcPr>
            <w:tcW w:type="dxa" w:w="2880"/>
          </w:tcPr>
          <w:p>
            <w:r>
              <w:rPr>
                <w:sz w:val="18"/>
              </w:rPr>
              <w:t>Aanvraag lozingsvergunning</w:t>
            </w:r>
          </w:p>
        </w:tc>
      </w:tr>
      <w:tr>
        <w:tc>
          <w:tcPr>
            <w:tcW w:type="dxa" w:w="2880"/>
          </w:tcPr>
          <w:p>
            <w:r>
              <w:rPr>
                <w:sz w:val="18"/>
              </w:rPr>
              <w:t>Geluid</w:t>
            </w:r>
          </w:p>
        </w:tc>
        <w:tc>
          <w:tcPr>
            <w:tcW w:type="dxa" w:w="2880"/>
          </w:tcPr>
          <w:p>
            <w:r>
              <w:rPr>
                <w:sz w:val="18"/>
              </w:rPr>
              <w:t>Beperkt (pompen, roerwerken)</w:t>
            </w:r>
          </w:p>
        </w:tc>
        <w:tc>
          <w:tcPr>
            <w:tcW w:type="dxa" w:w="2880"/>
          </w:tcPr>
          <w:p>
            <w:r>
              <w:rPr>
                <w:sz w:val="18"/>
              </w:rPr>
              <w:t>Geluidsberekening</w:t>
            </w:r>
          </w:p>
        </w:tc>
      </w:tr>
      <w:tr>
        <w:tc>
          <w:tcPr>
            <w:tcW w:type="dxa" w:w="2880"/>
          </w:tcPr>
          <w:p>
            <w:r>
              <w:rPr>
                <w:sz w:val="18"/>
              </w:rPr>
              <w:t>Stikstofdepositie</w:t>
            </w:r>
          </w:p>
        </w:tc>
        <w:tc>
          <w:tcPr>
            <w:tcW w:type="dxa" w:w="2880"/>
          </w:tcPr>
          <w:p>
            <w:r>
              <w:rPr>
                <w:sz w:val="18"/>
              </w:rPr>
              <w:t>AERIUS-berekening uitgevoerd (Bron: AERIUS)</w:t>
            </w:r>
          </w:p>
        </w:tc>
        <w:tc>
          <w:tcPr>
            <w:tcW w:type="dxa" w:w="2880"/>
          </w:tcPr>
          <w:p>
            <w:r>
              <w:rPr>
                <w:sz w:val="18"/>
              </w:rPr>
              <w:t>Beoordeling provincie</w:t>
            </w:r>
          </w:p>
        </w:tc>
      </w:tr>
      <w:tr>
        <w:tc>
          <w:tcPr>
            <w:tcW w:type="dxa" w:w="2880"/>
          </w:tcPr>
          <w:p>
            <w:r>
              <w:rPr>
                <w:sz w:val="18"/>
              </w:rPr>
              <w:t>Luchtemissies</w:t>
            </w:r>
          </w:p>
        </w:tc>
        <w:tc>
          <w:tcPr>
            <w:tcW w:type="dxa" w:w="2880"/>
          </w:tcPr>
          <w:p>
            <w:r>
              <w:rPr>
                <w:sz w:val="18"/>
              </w:rPr>
              <w:t>Procesgasreiniging voorzien</w:t>
            </w:r>
          </w:p>
        </w:tc>
        <w:tc>
          <w:tcPr>
            <w:tcW w:type="dxa" w:w="2880"/>
          </w:tcPr>
          <w:p>
            <w:r>
              <w:rPr>
                <w:sz w:val="18"/>
              </w:rPr>
              <w:t>Emissieberekening</w:t>
            </w:r>
          </w:p>
        </w:tc>
      </w:tr>
      <w:tr>
        <w:tc>
          <w:tcPr>
            <w:tcW w:type="dxa" w:w="2880"/>
          </w:tcPr>
          <w:p>
            <w:r>
              <w:rPr>
                <w:sz w:val="18"/>
              </w:rPr>
              <w:t>Afvalstoffen</w:t>
            </w:r>
          </w:p>
        </w:tc>
        <w:tc>
          <w:tcPr>
            <w:tcW w:type="dxa" w:w="2880"/>
          </w:tcPr>
          <w:p>
            <w:r>
              <w:rPr>
                <w:sz w:val="18"/>
              </w:rPr>
              <w:t>Filtercakes, residuen</w:t>
            </w:r>
          </w:p>
        </w:tc>
        <w:tc>
          <w:tcPr>
            <w:tcW w:type="dxa" w:w="2880"/>
          </w:tcPr>
          <w:p>
            <w:r>
              <w:rPr>
                <w:sz w:val="18"/>
              </w:rPr>
              <w:t>Afvalstoffenvergunning</w:t>
            </w:r>
          </w:p>
        </w:tc>
      </w:tr>
    </w:tbl>
    <w:p>
      <w:pPr>
        <w:pStyle w:val="Heading1"/>
      </w:pPr>
      <w:r>
        <w:rPr>
          <w:color w:val="003366"/>
        </w:rPr>
        <w:t>7. Haalbaarheidsstudie — Conclusies</w:t>
      </w:r>
    </w:p>
    <w:p>
      <w:r>
        <w:t>De haalbaarheidsstudie "Pilot plant voor materiaalextractie uit staalslakken in de IJmuidense zeehaven" (Arcadis, 12 december 2025, Bron 20) treedt de volgende conclusies:</w:t>
      </w:r>
    </w:p>
    <w:p>
      <w:pPr>
        <w:pStyle w:val="ListBullet"/>
      </w:pPr>
      <w:r>
        <w:t>Bestemmingsplan: Pilot plant past waarschijnlijk binnen "Bedrijf — Havengebonden", maar zekerheid vereist bevestiging gemeente Velsen. Een buitenplanse omgevingsplanactiviteit (bopa) is mogelijk.</w:t>
      </w:r>
    </w:p>
    <w:p>
      <w:pPr>
        <w:pStyle w:val="ListBullet"/>
      </w:pPr>
      <w:r>
        <w:t>Rie: Niet van toepassing op pilot plant (onderzoeksactiviteiten zijn uitgezonderd).</w:t>
      </w:r>
    </w:p>
    <w:p>
      <w:pPr>
        <w:pStyle w:val="ListBullet"/>
      </w:pPr>
      <w:r>
        <w:t>Vergunning: Omgevingsvergunning milieu (Bal) vereist via uitgebreide procedure bij provincie Noord-Holland. Proceduretijd: 6 maanden (+6 weken verlenging mogelijk).</w:t>
      </w:r>
    </w:p>
    <w:p>
      <w:pPr>
        <w:pStyle w:val="ListBullet"/>
      </w:pPr>
      <w:r>
        <w:t>Gevaarlijke stoffen: Opslaglocatie nog te bepalen. Zwavelzuur en NaOH vereisen brandwerende opslag.</w:t>
      </w:r>
    </w:p>
    <w:p>
      <w:pPr>
        <w:pStyle w:val="ListBullet"/>
      </w:pPr>
      <w:r>
        <w:t>Water: Lozing van proceswater vereist vergunning; reinigingsinstallatie voorzien.</w:t>
      </w:r>
    </w:p>
    <w:p>
      <w:pPr>
        <w:pStyle w:val="ListBullet"/>
      </w:pPr>
      <w:r>
        <w:t>Geluid: Minimale impact verwacht (pompen, roerwerken).</w:t>
      </w:r>
    </w:p>
    <w:p>
      <w:pPr>
        <w:pStyle w:val="ListBullet"/>
      </w:pPr>
      <w:r>
        <w:t>Stikstofdepositie: AERIUS-berekening uitgevoerd; beoordeling door provincie in afwachting.</w:t>
      </w:r>
    </w:p>
    <w:p>
      <w:pPr>
        <w:pStyle w:val="ListBullet"/>
      </w:pPr>
      <w:r>
        <w:t>Algemeen: Het project sluit aan bij landelijke en provinciale doelstellingen op het gebied van duurzaamheid, circulariteit en energietransitie.</w:t>
      </w:r>
    </w:p>
    <w:p>
      <w:pPr>
        <w:pStyle w:val="Heading1"/>
      </w:pPr>
      <w:r>
        <w:rPr>
          <w:color w:val="003366"/>
        </w:rPr>
        <w:t>8. Planning &amp; Mijlpalen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Mijlpaal</w:t>
            </w:r>
          </w:p>
        </w:tc>
        <w:tc>
          <w:tcPr>
            <w:tcW w:type="dxa" w:w="2880"/>
          </w:tcPr>
          <w:p>
            <w:r>
              <w:rPr>
                <w:b/>
                <w:sz w:val="18"/>
              </w:rPr>
              <w:t>Doeldatum</w:t>
            </w:r>
          </w:p>
        </w:tc>
        <w:tc>
          <w:tcPr>
            <w:tcW w:type="dxa" w:w="2880"/>
          </w:tcPr>
          <w:p>
            <w:r>
              <w:rPr>
                <w:b/>
                <w:sz w:val="18"/>
              </w:rPr>
              <w:t>Status</w:t>
            </w:r>
          </w:p>
        </w:tc>
      </w:tr>
      <w:tr>
        <w:tc>
          <w:tcPr>
            <w:tcW w:type="dxa" w:w="2880"/>
          </w:tcPr>
          <w:p>
            <w:r>
              <w:rPr>
                <w:sz w:val="18"/>
              </w:rPr>
              <w:t>Vooroverleg ODIJ</w:t>
            </w:r>
          </w:p>
        </w:tc>
        <w:tc>
          <w:tcPr>
            <w:tcW w:type="dxa" w:w="2880"/>
          </w:tcPr>
          <w:p>
            <w:r>
              <w:rPr>
                <w:sz w:val="18"/>
              </w:rPr>
              <w:t>23-09-2025</w:t>
            </w:r>
          </w:p>
        </w:tc>
        <w:tc>
          <w:tcPr>
            <w:tcW w:type="dxa" w:w="2880"/>
          </w:tcPr>
          <w:p>
            <w:r>
              <w:rPr>
                <w:sz w:val="18"/>
              </w:rPr>
              <w:t>Voltooid</w:t>
            </w:r>
          </w:p>
        </w:tc>
      </w:tr>
      <w:tr>
        <w:tc>
          <w:tcPr>
            <w:tcW w:type="dxa" w:w="2880"/>
          </w:tcPr>
          <w:p>
            <w:r>
              <w:rPr>
                <w:sz w:val="18"/>
              </w:rPr>
              <w:t>Haalbaarheidsstudie afgerond</w:t>
            </w:r>
          </w:p>
        </w:tc>
        <w:tc>
          <w:tcPr>
            <w:tcW w:type="dxa" w:w="2880"/>
          </w:tcPr>
          <w:p>
            <w:r>
              <w:rPr>
                <w:sz w:val="18"/>
              </w:rPr>
              <w:t>12-12-2025</w:t>
            </w:r>
          </w:p>
        </w:tc>
        <w:tc>
          <w:tcPr>
            <w:tcW w:type="dxa" w:w="2880"/>
          </w:tcPr>
          <w:p>
            <w:r>
              <w:rPr>
                <w:sz w:val="18"/>
              </w:rPr>
              <w:t>Voltooid</w:t>
            </w:r>
          </w:p>
        </w:tc>
      </w:tr>
      <w:tr>
        <w:tc>
          <w:tcPr>
            <w:tcW w:type="dxa" w:w="2880"/>
          </w:tcPr>
          <w:p>
            <w:r>
              <w:rPr>
                <w:sz w:val="18"/>
              </w:rPr>
              <w:t>Vergunningsaanvraag indienen</w:t>
            </w:r>
          </w:p>
        </w:tc>
        <w:tc>
          <w:tcPr>
            <w:tcW w:type="dxa" w:w="2880"/>
          </w:tcPr>
          <w:p>
            <w:r>
              <w:rPr>
                <w:sz w:val="18"/>
              </w:rPr>
              <w:t>Q1 2026</w:t>
            </w:r>
          </w:p>
        </w:tc>
        <w:tc>
          <w:tcPr>
            <w:tcW w:type="dxa" w:w="2880"/>
          </w:tcPr>
          <w:p>
            <w:r>
              <w:rPr>
                <w:sz w:val="18"/>
              </w:rPr>
              <w:t>In voorbereiding</w:t>
            </w:r>
          </w:p>
        </w:tc>
      </w:tr>
      <w:tr>
        <w:tc>
          <w:tcPr>
            <w:tcW w:type="dxa" w:w="2880"/>
          </w:tcPr>
          <w:p>
            <w:r>
              <w:rPr>
                <w:sz w:val="18"/>
              </w:rPr>
              <w:t>Pilot plant inrichten</w:t>
            </w:r>
          </w:p>
        </w:tc>
        <w:tc>
          <w:tcPr>
            <w:tcW w:type="dxa" w:w="2880"/>
          </w:tcPr>
          <w:p>
            <w:r>
              <w:rPr>
                <w:sz w:val="18"/>
              </w:rPr>
              <w:t>Januari 2026</w:t>
            </w:r>
          </w:p>
        </w:tc>
        <w:tc>
          <w:tcPr>
            <w:tcW w:type="dxa" w:w="2880"/>
          </w:tcPr>
          <w:p>
            <w:r>
              <w:rPr>
                <w:sz w:val="18"/>
              </w:rPr>
              <w:t>Gepland</w:t>
            </w:r>
          </w:p>
        </w:tc>
      </w:tr>
      <w:tr>
        <w:tc>
          <w:tcPr>
            <w:tcW w:type="dxa" w:w="2880"/>
          </w:tcPr>
          <w:p>
            <w:r>
              <w:rPr>
                <w:sz w:val="18"/>
              </w:rPr>
              <w:t>Pilot plant operationeel</w:t>
            </w:r>
          </w:p>
        </w:tc>
        <w:tc>
          <w:tcPr>
            <w:tcW w:type="dxa" w:w="2880"/>
          </w:tcPr>
          <w:p>
            <w:r>
              <w:rPr>
                <w:sz w:val="18"/>
              </w:rPr>
              <w:t>H1 2026</w:t>
            </w:r>
          </w:p>
        </w:tc>
        <w:tc>
          <w:tcPr>
            <w:tcW w:type="dxa" w:w="2880"/>
          </w:tcPr>
          <w:p>
            <w:r>
              <w:rPr>
                <w:sz w:val="18"/>
              </w:rPr>
              <w:t>Gepland</w:t>
            </w:r>
          </w:p>
        </w:tc>
      </w:tr>
      <w:tr>
        <w:tc>
          <w:tcPr>
            <w:tcW w:type="dxa" w:w="2880"/>
          </w:tcPr>
          <w:p>
            <w:r>
              <w:rPr>
                <w:sz w:val="18"/>
              </w:rPr>
              <w:t>REACH-registratie (indien vereist)</w:t>
            </w:r>
          </w:p>
        </w:tc>
        <w:tc>
          <w:tcPr>
            <w:tcW w:type="dxa" w:w="2880"/>
          </w:tcPr>
          <w:p>
            <w:r>
              <w:rPr>
                <w:sz w:val="18"/>
              </w:rPr>
              <w:t>2027+</w:t>
            </w:r>
          </w:p>
        </w:tc>
        <w:tc>
          <w:tcPr>
            <w:tcW w:type="dxa" w:w="2880"/>
          </w:tcPr>
          <w:p>
            <w:r>
              <w:rPr>
                <w:sz w:val="18"/>
              </w:rPr>
              <w:t>Toekomstig</w:t>
            </w:r>
          </w:p>
        </w:tc>
      </w:tr>
    </w:tbl>
    <w:p>
      <w:pPr>
        <w:pStyle w:val="Heading1"/>
      </w:pPr>
      <w:r>
        <w:rPr>
          <w:color w:val="003366"/>
        </w:rPr>
        <w:t>9. Budgetraming</w:t>
      </w:r>
    </w:p>
    <w:p>
      <w:r>
        <w:t>Budgetraming is indicatief en sluit aan bij de haalbaarheidsstudie en het Business Plan (Bron 4). Exacte bedragen zijn opgenomen in het Pilot Plant Project Execution Plan (Bron 5).</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Kostenpost</w:t>
            </w:r>
          </w:p>
        </w:tc>
        <w:tc>
          <w:tcPr>
            <w:tcW w:type="dxa" w:w="2880"/>
          </w:tcPr>
          <w:p>
            <w:r>
              <w:rPr>
                <w:b/>
                <w:sz w:val="18"/>
              </w:rPr>
              <w:t>Indicatie</w:t>
            </w:r>
          </w:p>
        </w:tc>
        <w:tc>
          <w:tcPr>
            <w:tcW w:type="dxa" w:w="2880"/>
          </w:tcPr>
          <w:p>
            <w:r>
              <w:rPr>
                <w:b/>
                <w:sz w:val="18"/>
              </w:rPr>
              <w:t>Opmerking</w:t>
            </w:r>
          </w:p>
        </w:tc>
      </w:tr>
      <w:tr>
        <w:tc>
          <w:tcPr>
            <w:tcW w:type="dxa" w:w="2880"/>
          </w:tcPr>
          <w:p>
            <w:r>
              <w:rPr>
                <w:sz w:val="18"/>
              </w:rPr>
              <w:t>Vergunningsprocedure (Arcadis)</w:t>
            </w:r>
          </w:p>
        </w:tc>
        <w:tc>
          <w:tcPr>
            <w:tcW w:type="dxa" w:w="2880"/>
          </w:tcPr>
          <w:p>
            <w:r>
              <w:rPr>
                <w:sz w:val="18"/>
              </w:rPr>
              <w:t>€ 25.000 — 50.000</w:t>
            </w:r>
          </w:p>
        </w:tc>
        <w:tc>
          <w:tcPr>
            <w:tcW w:type="dxa" w:w="2880"/>
          </w:tcPr>
          <w:p>
            <w:r>
              <w:rPr>
                <w:sz w:val="18"/>
              </w:rPr>
              <w:t>Inclusief quick scan + aanvraag</w:t>
            </w:r>
          </w:p>
        </w:tc>
      </w:tr>
      <w:tr>
        <w:tc>
          <w:tcPr>
            <w:tcW w:type="dxa" w:w="2880"/>
          </w:tcPr>
          <w:p>
            <w:r>
              <w:rPr>
                <w:sz w:val="18"/>
              </w:rPr>
              <w:t>REACH-registratie (consortium)</w:t>
            </w:r>
          </w:p>
        </w:tc>
        <w:tc>
          <w:tcPr>
            <w:tcW w:type="dxa" w:w="2880"/>
          </w:tcPr>
          <w:p>
            <w:r>
              <w:rPr>
                <w:sz w:val="18"/>
              </w:rPr>
              <w:t>€ 50.000 — 150.000</w:t>
            </w:r>
          </w:p>
        </w:tc>
        <w:tc>
          <w:tcPr>
            <w:tcW w:type="dxa" w:w="2880"/>
          </w:tcPr>
          <w:p>
            <w:r>
              <w:rPr>
                <w:sz w:val="18"/>
              </w:rPr>
              <w:t>Afhankelijk van consortiumdeelname + testen</w:t>
            </w:r>
          </w:p>
        </w:tc>
      </w:tr>
      <w:tr>
        <w:tc>
          <w:tcPr>
            <w:tcW w:type="dxa" w:w="2880"/>
          </w:tcPr>
          <w:p>
            <w:r>
              <w:rPr>
                <w:sz w:val="18"/>
              </w:rPr>
              <w:t>Pilot plant investering</w:t>
            </w:r>
          </w:p>
        </w:tc>
        <w:tc>
          <w:tcPr>
            <w:tcW w:type="dxa" w:w="2880"/>
          </w:tcPr>
          <w:p>
            <w:r>
              <w:rPr>
                <w:sz w:val="18"/>
              </w:rPr>
              <w:t>TBD (Bron 5)</w:t>
            </w:r>
          </w:p>
        </w:tc>
        <w:tc>
          <w:tcPr>
            <w:tcW w:type="dxa" w:w="2880"/>
          </w:tcPr>
          <w:p>
            <w:r>
              <w:rPr>
                <w:sz w:val="18"/>
              </w:rPr>
              <w:t>Project Execution Plan</w:t>
            </w:r>
          </w:p>
        </w:tc>
      </w:tr>
      <w:tr>
        <w:tc>
          <w:tcPr>
            <w:tcW w:type="dxa" w:w="2880"/>
          </w:tcPr>
          <w:p>
            <w:r>
              <w:rPr>
                <w:sz w:val="18"/>
              </w:rPr>
              <w:t>HSE-inrichting (PBM, BNP, RI&amp;E)</w:t>
            </w:r>
          </w:p>
        </w:tc>
        <w:tc>
          <w:tcPr>
            <w:tcW w:type="dxa" w:w="2880"/>
          </w:tcPr>
          <w:p>
            <w:r>
              <w:rPr>
                <w:sz w:val="18"/>
              </w:rPr>
              <w:t>€ 10.000 — 20.000</w:t>
            </w:r>
          </w:p>
        </w:tc>
        <w:tc>
          <w:tcPr>
            <w:tcW w:type="dxa" w:w="2880"/>
          </w:tcPr>
          <w:p>
            <w:r>
              <w:rPr>
                <w:sz w:val="18"/>
              </w:rPr>
              <w:t>Inclusief trainingen</w:t>
            </w:r>
          </w:p>
        </w:tc>
      </w:tr>
      <w:tr>
        <w:tc>
          <w:tcPr>
            <w:tcW w:type="dxa" w:w="2880"/>
          </w:tcPr>
          <w:p>
            <w:r>
              <w:rPr>
                <w:sz w:val="18"/>
              </w:rPr>
              <w:t>Stralingsbescherming SARU-ash</w:t>
            </w:r>
          </w:p>
        </w:tc>
        <w:tc>
          <w:tcPr>
            <w:tcW w:type="dxa" w:w="2880"/>
          </w:tcPr>
          <w:p>
            <w:r>
              <w:rPr>
                <w:sz w:val="18"/>
              </w:rPr>
              <w:t>€ 5.000 — 10.000</w:t>
            </w:r>
          </w:p>
        </w:tc>
        <w:tc>
          <w:tcPr>
            <w:tcW w:type="dxa" w:w="2880"/>
          </w:tcPr>
          <w:p>
            <w:r>
              <w:rPr>
                <w:sz w:val="18"/>
              </w:rPr>
              <w:t>Gammaspectrometrie + notificatie</w:t>
            </w:r>
          </w:p>
        </w:tc>
      </w:tr>
    </w:tbl>
    <w:p>
      <w:pPr>
        <w:pStyle w:val="Heading1"/>
      </w:pPr>
      <w:r>
        <w:rPr>
          <w:color w:val="003366"/>
        </w:rPr>
        <w:t>10. Risico's &amp; Mitigatiemaatregelen</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Risico</w:t>
            </w:r>
          </w:p>
        </w:tc>
        <w:tc>
          <w:tcPr>
            <w:tcW w:type="dxa" w:w="2160"/>
          </w:tcPr>
          <w:p>
            <w:r>
              <w:rPr>
                <w:b/>
                <w:sz w:val="18"/>
              </w:rPr>
              <w:t>Impact</w:t>
            </w:r>
          </w:p>
        </w:tc>
        <w:tc>
          <w:tcPr>
            <w:tcW w:type="dxa" w:w="2160"/>
          </w:tcPr>
          <w:p>
            <w:r>
              <w:rPr>
                <w:b/>
                <w:sz w:val="18"/>
              </w:rPr>
              <w:t>Waarschijnlijkheid</w:t>
            </w:r>
          </w:p>
        </w:tc>
        <w:tc>
          <w:tcPr>
            <w:tcW w:type="dxa" w:w="2160"/>
          </w:tcPr>
          <w:p>
            <w:r>
              <w:rPr>
                <w:b/>
                <w:sz w:val="18"/>
              </w:rPr>
              <w:t>Mitigatie</w:t>
            </w:r>
          </w:p>
        </w:tc>
      </w:tr>
      <w:tr>
        <w:tc>
          <w:tcPr>
            <w:tcW w:type="dxa" w:w="2160"/>
          </w:tcPr>
          <w:p>
            <w:r>
              <w:rPr>
                <w:sz w:val="18"/>
              </w:rPr>
              <w:t>Bestemmingsplan strijdig</w:t>
            </w:r>
          </w:p>
        </w:tc>
        <w:tc>
          <w:tcPr>
            <w:tcW w:type="dxa" w:w="2160"/>
          </w:tcPr>
          <w:p>
            <w:r>
              <w:rPr>
                <w:sz w:val="18"/>
              </w:rPr>
              <w:t>Hoog</w:t>
            </w:r>
          </w:p>
        </w:tc>
        <w:tc>
          <w:tcPr>
            <w:tcW w:type="dxa" w:w="2160"/>
          </w:tcPr>
          <w:p>
            <w:r>
              <w:rPr>
                <w:sz w:val="18"/>
              </w:rPr>
              <w:t>Laag</w:t>
            </w:r>
          </w:p>
        </w:tc>
        <w:tc>
          <w:tcPr>
            <w:tcW w:type="dxa" w:w="2160"/>
          </w:tcPr>
          <w:p>
            <w:r>
              <w:rPr>
                <w:sz w:val="18"/>
              </w:rPr>
              <w:t>Bevestiging gemeente Velsen; bopa als back-up</w:t>
            </w:r>
          </w:p>
        </w:tc>
      </w:tr>
      <w:tr>
        <w:tc>
          <w:tcPr>
            <w:tcW w:type="dxa" w:w="2160"/>
          </w:tcPr>
          <w:p>
            <w:r>
              <w:rPr>
                <w:sz w:val="18"/>
              </w:rPr>
              <w:t>REACH-datatekort</w:t>
            </w:r>
          </w:p>
        </w:tc>
        <w:tc>
          <w:tcPr>
            <w:tcW w:type="dxa" w:w="2160"/>
          </w:tcPr>
          <w:p>
            <w:r>
              <w:rPr>
                <w:sz w:val="18"/>
              </w:rPr>
              <w:t>Middel</w:t>
            </w:r>
          </w:p>
        </w:tc>
        <w:tc>
          <w:tcPr>
            <w:tcW w:type="dxa" w:w="2160"/>
          </w:tcPr>
          <w:p>
            <w:r>
              <w:rPr>
                <w:sz w:val="18"/>
              </w:rPr>
              <w:t>Middel</w:t>
            </w:r>
          </w:p>
        </w:tc>
        <w:tc>
          <w:tcPr>
            <w:tcW w:type="dxa" w:w="2160"/>
          </w:tcPr>
          <w:p>
            <w:r>
              <w:rPr>
                <w:sz w:val="18"/>
              </w:rPr>
              <w:t>Consortiumlidmaatschap, read-across methoden</w:t>
            </w:r>
          </w:p>
        </w:tc>
      </w:tr>
      <w:tr>
        <w:tc>
          <w:tcPr>
            <w:tcW w:type="dxa" w:w="2160"/>
          </w:tcPr>
          <w:p>
            <w:r>
              <w:rPr>
                <w:sz w:val="18"/>
              </w:rPr>
              <w:t>Kostenoverschrijding registratie</w:t>
            </w:r>
          </w:p>
        </w:tc>
        <w:tc>
          <w:tcPr>
            <w:tcW w:type="dxa" w:w="2160"/>
          </w:tcPr>
          <w:p>
            <w:r>
              <w:rPr>
                <w:sz w:val="18"/>
              </w:rPr>
              <w:t>Middel</w:t>
            </w:r>
          </w:p>
        </w:tc>
        <w:tc>
          <w:tcPr>
            <w:tcW w:type="dxa" w:w="2160"/>
          </w:tcPr>
          <w:p>
            <w:r>
              <w:rPr>
                <w:sz w:val="18"/>
              </w:rPr>
              <w:t>Middel</w:t>
            </w:r>
          </w:p>
        </w:tc>
        <w:tc>
          <w:tcPr>
            <w:tcW w:type="dxa" w:w="2160"/>
          </w:tcPr>
          <w:p>
            <w:r>
              <w:rPr>
                <w:sz w:val="18"/>
              </w:rPr>
              <w:t>Gefaseerde aanpak, consortiumdeelname</w:t>
            </w:r>
          </w:p>
        </w:tc>
      </w:tr>
      <w:tr>
        <w:tc>
          <w:tcPr>
            <w:tcW w:type="dxa" w:w="2160"/>
          </w:tcPr>
          <w:p>
            <w:r>
              <w:rPr>
                <w:sz w:val="18"/>
              </w:rPr>
              <w:t>Stralingsvergunning SARU-ash</w:t>
            </w:r>
          </w:p>
        </w:tc>
        <w:tc>
          <w:tcPr>
            <w:tcW w:type="dxa" w:w="2160"/>
          </w:tcPr>
          <w:p>
            <w:r>
              <w:rPr>
                <w:sz w:val="18"/>
              </w:rPr>
              <w:t>Laag</w:t>
            </w:r>
          </w:p>
        </w:tc>
        <w:tc>
          <w:tcPr>
            <w:tcW w:type="dxa" w:w="2160"/>
          </w:tcPr>
          <w:p>
            <w:r>
              <w:rPr>
                <w:sz w:val="18"/>
              </w:rPr>
              <w:t>Laag</w:t>
            </w:r>
          </w:p>
        </w:tc>
        <w:tc>
          <w:tcPr>
            <w:tcW w:type="dxa" w:w="2160"/>
          </w:tcPr>
          <w:p>
            <w:r>
              <w:rPr>
                <w:sz w:val="18"/>
              </w:rPr>
              <w:t>Vrijstelling art. 3.17; notificatie afvoer</w:t>
            </w:r>
          </w:p>
        </w:tc>
      </w:tr>
      <w:tr>
        <w:tc>
          <w:tcPr>
            <w:tcW w:type="dxa" w:w="2160"/>
          </w:tcPr>
          <w:p>
            <w:r>
              <w:rPr>
                <w:sz w:val="18"/>
              </w:rPr>
              <w:t>Vertraging vergunningsprocedure</w:t>
            </w:r>
          </w:p>
        </w:tc>
        <w:tc>
          <w:tcPr>
            <w:tcW w:type="dxa" w:w="2160"/>
          </w:tcPr>
          <w:p>
            <w:r>
              <w:rPr>
                <w:sz w:val="18"/>
              </w:rPr>
              <w:t>Hoog</w:t>
            </w:r>
          </w:p>
        </w:tc>
        <w:tc>
          <w:tcPr>
            <w:tcW w:type="dxa" w:w="2160"/>
          </w:tcPr>
          <w:p>
            <w:r>
              <w:rPr>
                <w:sz w:val="18"/>
              </w:rPr>
              <w:t>Middel</w:t>
            </w:r>
          </w:p>
        </w:tc>
        <w:tc>
          <w:tcPr>
            <w:tcW w:type="dxa" w:w="2160"/>
          </w:tcPr>
          <w:p>
            <w:r>
              <w:rPr>
                <w:sz w:val="18"/>
              </w:rPr>
              <w:t>Tijdig indienen, Arcadis begeleiding</w:t>
            </w:r>
          </w:p>
        </w:tc>
      </w:tr>
      <w:tr>
        <w:tc>
          <w:tcPr>
            <w:tcW w:type="dxa" w:w="2160"/>
          </w:tcPr>
          <w:p>
            <w:r>
              <w:rPr>
                <w:sz w:val="18"/>
              </w:rPr>
              <w:t>Gevaarlijke stoffen opslag</w:t>
            </w:r>
          </w:p>
        </w:tc>
        <w:tc>
          <w:tcPr>
            <w:tcW w:type="dxa" w:w="2160"/>
          </w:tcPr>
          <w:p>
            <w:r>
              <w:rPr>
                <w:sz w:val="18"/>
              </w:rPr>
              <w:t>Middel</w:t>
            </w:r>
          </w:p>
        </w:tc>
        <w:tc>
          <w:tcPr>
            <w:tcW w:type="dxa" w:w="2160"/>
          </w:tcPr>
          <w:p>
            <w:r>
              <w:rPr>
                <w:sz w:val="18"/>
              </w:rPr>
              <w:t>Middel</w:t>
            </w:r>
          </w:p>
        </w:tc>
        <w:tc>
          <w:tcPr>
            <w:tcW w:type="dxa" w:w="2160"/>
          </w:tcPr>
          <w:p>
            <w:r>
              <w:rPr>
                <w:sz w:val="18"/>
              </w:rPr>
              <w:t>Locatie bepalen, brandwerende opslag</w:t>
            </w:r>
          </w:p>
        </w:tc>
      </w:tr>
    </w:tbl>
    <w:p>
      <w:r>
        <w:br w:type="page"/>
      </w:r>
    </w:p>
    <w:p>
      <w:pPr>
        <w:pStyle w:val="Heading1"/>
      </w:pPr>
      <w:r>
        <w:rPr>
          <w:color w:val="003366"/>
        </w:rPr>
        <w:t>Bijlage A: Referentiedocumenten</w:t>
      </w:r>
    </w:p>
    <w:p>
      <w:r>
        <w:t>[1] Phoenix Metals bedrijfsomschrijving (phoenix metals.docx)</w:t>
      </w:r>
    </w:p>
    <w:p>
      <w:r>
        <w:t>[2] PhoenixMetals voorbereiding (PhoenixMetals voorbereiding.xlsx)</w:t>
      </w:r>
    </w:p>
    <w:p>
      <w:r>
        <w:t>[3] Draft PvA opstart Phoenix (Draft PvA opstart Phoenix (1).docx)</w:t>
      </w:r>
    </w:p>
    <w:p>
      <w:r>
        <w:t>[4] Haalbaarheidsstudie Phoenix (Haalbaarheidsstudie Phoenix.pdf)</w:t>
      </w:r>
    </w:p>
    <w:p>
      <w:r>
        <w:t>[5] Pilot Plant Project Execution Plan Index (Pilot_Plant_Project_Execution_Plan_Index.docx)</w:t>
      </w:r>
    </w:p>
    <w:p>
      <w:r>
        <w:t>[6] Block Flow Diagram (1. Block Flow Diagram.pdf)</w:t>
      </w:r>
    </w:p>
    <w:p>
      <w:r>
        <w:t>[7] Process Flow Diagram (2. PFD.pdf)</w:t>
      </w:r>
    </w:p>
    <w:p>
      <w:r>
        <w:t>[8] Plant Layout (3. Plant Layout.pdf)</w:t>
      </w:r>
    </w:p>
    <w:p>
      <w:r>
        <w:t>[9] Demo Process VR (Demo Process VR (1).docx)</w:t>
      </w:r>
    </w:p>
    <w:p>
      <w:r>
        <w:t>[10] REACH registratie projectplan (REACH registratie [phoenix metals).docx)</w:t>
      </w:r>
    </w:p>
    <w:p>
      <w:r>
        <w:t>[11] Registration Chemicals MASTER v2.1.0 (beveiligd.xlsx)</w:t>
      </w:r>
    </w:p>
    <w:p>
      <w:r>
        <w:t>[12] MSDS Vanadium concentrate Versie 1</w:t>
      </w:r>
    </w:p>
    <w:p>
      <w:r>
        <w:t>[13] MSDS Sulfuric acid 25-75% Versie 1</w:t>
      </w:r>
    </w:p>
    <w:p>
      <w:r>
        <w:t>[14] MSDS Sodium hydroxide 50% Versie 1</w:t>
      </w:r>
    </w:p>
    <w:p>
      <w:r>
        <w:t>[15] Verslag vooroverleg 23-09-2025 (ODIJ)</w:t>
      </w:r>
    </w:p>
    <w:p>
      <w:r>
        <w:t>[16] Rapport haalbaarheidsstudie V04</w:t>
      </w:r>
    </w:p>
    <w:p>
      <w:r>
        <w:t>[17] Uitgangspuntendocument Phoenix Metals IJmuiden</w:t>
      </w:r>
    </w:p>
    <w:p>
      <w:r>
        <w:t>[18] Phoenix Metals HSE Policy V1</w:t>
      </w:r>
    </w:p>
    <w:p>
      <w:r>
        <w:t>[19] Phoenix Metals BNP-V1</w:t>
      </w:r>
    </w:p>
    <w:p>
      <w:r>
        <w:t>[20] PBM beleid PS-201-NL V1.0</w:t>
      </w:r>
    </w:p>
    <w:p>
      <w:r>
        <w:t>[21] Fact sheet Ash 2025</w:t>
      </w:r>
    </w:p>
    <w:p>
      <w:r>
        <w:t>[22] PE-202-01 V1 Management of Change</w:t>
      </w:r>
    </w:p>
    <w:p>
      <w:r>
        <w:t>[23] PE-240-01 V1 Aanvraag gevaarlijke stoffen</w:t>
      </w:r>
    </w:p>
    <w:p>
      <w:pPr>
        <w:pStyle w:val="Heading1"/>
      </w:pPr>
      <w:r>
        <w:rPr>
          <w:color w:val="003366"/>
        </w:rPr>
        <w:t>Bijlage B: Begrippenlijst</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Afkorting</w:t>
            </w:r>
          </w:p>
        </w:tc>
        <w:tc>
          <w:tcPr>
            <w:tcW w:type="dxa" w:w="4320"/>
          </w:tcPr>
          <w:p>
            <w:r>
              <w:rPr>
                <w:b/>
                <w:sz w:val="18"/>
              </w:rPr>
              <w:t>Betekenis</w:t>
            </w:r>
          </w:p>
        </w:tc>
      </w:tr>
      <w:tr>
        <w:tc>
          <w:tcPr>
            <w:tcW w:type="dxa" w:w="4320"/>
          </w:tcPr>
          <w:p>
            <w:r>
              <w:rPr>
                <w:sz w:val="18"/>
              </w:rPr>
              <w:t>BAL</w:t>
            </w:r>
          </w:p>
        </w:tc>
        <w:tc>
          <w:tcPr>
            <w:tcW w:type="dxa" w:w="4320"/>
          </w:tcPr>
          <w:p>
            <w:r>
              <w:rPr>
                <w:sz w:val="18"/>
              </w:rPr>
              <w:t>Besluit activiteiten leefomgeving</w:t>
            </w:r>
          </w:p>
        </w:tc>
      </w:tr>
      <w:tr>
        <w:tc>
          <w:tcPr>
            <w:tcW w:type="dxa" w:w="4320"/>
          </w:tcPr>
          <w:p>
            <w:r>
              <w:rPr>
                <w:sz w:val="18"/>
              </w:rPr>
              <w:t>BFD</w:t>
            </w:r>
          </w:p>
        </w:tc>
        <w:tc>
          <w:tcPr>
            <w:tcW w:type="dxa" w:w="4320"/>
          </w:tcPr>
          <w:p>
            <w:r>
              <w:rPr>
                <w:sz w:val="18"/>
              </w:rPr>
              <w:t>Block Flow Diagram</w:t>
            </w:r>
          </w:p>
        </w:tc>
      </w:tr>
      <w:tr>
        <w:tc>
          <w:tcPr>
            <w:tcW w:type="dxa" w:w="4320"/>
          </w:tcPr>
          <w:p>
            <w:r>
              <w:rPr>
                <w:sz w:val="18"/>
              </w:rPr>
              <w:t>BNP</w:t>
            </w:r>
          </w:p>
        </w:tc>
        <w:tc>
          <w:tcPr>
            <w:tcW w:type="dxa" w:w="4320"/>
          </w:tcPr>
          <w:p>
            <w:r>
              <w:rPr>
                <w:sz w:val="18"/>
              </w:rPr>
              <w:t>Bedrijfsnoodplan</w:t>
            </w:r>
          </w:p>
        </w:tc>
      </w:tr>
      <w:tr>
        <w:tc>
          <w:tcPr>
            <w:tcW w:type="dxa" w:w="4320"/>
          </w:tcPr>
          <w:p>
            <w:r>
              <w:rPr>
                <w:sz w:val="18"/>
              </w:rPr>
              <w:t>BTB</w:t>
            </w:r>
          </w:p>
        </w:tc>
        <w:tc>
          <w:tcPr>
            <w:tcW w:type="dxa" w:w="4320"/>
          </w:tcPr>
          <w:p>
            <w:r>
              <w:rPr>
                <w:sz w:val="18"/>
              </w:rPr>
              <w:t>Beste Beschikbare Technieken</w:t>
            </w:r>
          </w:p>
        </w:tc>
      </w:tr>
      <w:tr>
        <w:tc>
          <w:tcPr>
            <w:tcW w:type="dxa" w:w="4320"/>
          </w:tcPr>
          <w:p>
            <w:r>
              <w:rPr>
                <w:sz w:val="18"/>
              </w:rPr>
              <w:t>CLP</w:t>
            </w:r>
          </w:p>
        </w:tc>
        <w:tc>
          <w:tcPr>
            <w:tcW w:type="dxa" w:w="4320"/>
          </w:tcPr>
          <w:p>
            <w:r>
              <w:rPr>
                <w:sz w:val="18"/>
              </w:rPr>
              <w:t>Classification, Labelling and Packaging (EG 1272/2008)</w:t>
            </w:r>
          </w:p>
        </w:tc>
      </w:tr>
      <w:tr>
        <w:tc>
          <w:tcPr>
            <w:tcW w:type="dxa" w:w="4320"/>
          </w:tcPr>
          <w:p>
            <w:r>
              <w:rPr>
                <w:sz w:val="18"/>
              </w:rPr>
              <w:t>CSR</w:t>
            </w:r>
          </w:p>
        </w:tc>
        <w:tc>
          <w:tcPr>
            <w:tcW w:type="dxa" w:w="4320"/>
          </w:tcPr>
          <w:p>
            <w:r>
              <w:rPr>
                <w:sz w:val="18"/>
              </w:rPr>
              <w:t>Chemical Safety Report</w:t>
            </w:r>
          </w:p>
        </w:tc>
      </w:tr>
      <w:tr>
        <w:tc>
          <w:tcPr>
            <w:tcW w:type="dxa" w:w="4320"/>
          </w:tcPr>
          <w:p>
            <w:r>
              <w:rPr>
                <w:sz w:val="18"/>
              </w:rPr>
              <w:t>ECHA</w:t>
            </w:r>
          </w:p>
        </w:tc>
        <w:tc>
          <w:tcPr>
            <w:tcW w:type="dxa" w:w="4320"/>
          </w:tcPr>
          <w:p>
            <w:r>
              <w:rPr>
                <w:sz w:val="18"/>
              </w:rPr>
              <w:t>European Chemicals Agency</w:t>
            </w:r>
          </w:p>
        </w:tc>
      </w:tr>
      <w:tr>
        <w:tc>
          <w:tcPr>
            <w:tcW w:type="dxa" w:w="4320"/>
          </w:tcPr>
          <w:p>
            <w:r>
              <w:rPr>
                <w:sz w:val="18"/>
              </w:rPr>
              <w:t>H₂SO₄</w:t>
            </w:r>
          </w:p>
        </w:tc>
        <w:tc>
          <w:tcPr>
            <w:tcW w:type="dxa" w:w="4320"/>
          </w:tcPr>
          <w:p>
            <w:r>
              <w:rPr>
                <w:sz w:val="18"/>
              </w:rPr>
              <w:t>Zwavelzuur</w:t>
            </w:r>
          </w:p>
        </w:tc>
      </w:tr>
      <w:tr>
        <w:tc>
          <w:tcPr>
            <w:tcW w:type="dxa" w:w="4320"/>
          </w:tcPr>
          <w:p>
            <w:r>
              <w:rPr>
                <w:sz w:val="18"/>
              </w:rPr>
              <w:t>LoA</w:t>
            </w:r>
          </w:p>
        </w:tc>
        <w:tc>
          <w:tcPr>
            <w:tcW w:type="dxa" w:w="4320"/>
          </w:tcPr>
          <w:p>
            <w:r>
              <w:rPr>
                <w:sz w:val="18"/>
              </w:rPr>
              <w:t>Letter of Access</w:t>
            </w:r>
          </w:p>
        </w:tc>
      </w:tr>
      <w:tr>
        <w:tc>
          <w:tcPr>
            <w:tcW w:type="dxa" w:w="4320"/>
          </w:tcPr>
          <w:p>
            <w:r>
              <w:rPr>
                <w:sz w:val="18"/>
              </w:rPr>
              <w:t>MoC</w:t>
            </w:r>
          </w:p>
        </w:tc>
        <w:tc>
          <w:tcPr>
            <w:tcW w:type="dxa" w:w="4320"/>
          </w:tcPr>
          <w:p>
            <w:r>
              <w:rPr>
                <w:sz w:val="18"/>
              </w:rPr>
              <w:t>Management of Change</w:t>
            </w:r>
          </w:p>
        </w:tc>
      </w:tr>
      <w:tr>
        <w:tc>
          <w:tcPr>
            <w:tcW w:type="dxa" w:w="4320"/>
          </w:tcPr>
          <w:p>
            <w:r>
              <w:rPr>
                <w:sz w:val="18"/>
              </w:rPr>
              <w:t>NaOH</w:t>
            </w:r>
          </w:p>
        </w:tc>
        <w:tc>
          <w:tcPr>
            <w:tcW w:type="dxa" w:w="4320"/>
          </w:tcPr>
          <w:p>
            <w:r>
              <w:rPr>
                <w:sz w:val="18"/>
              </w:rPr>
              <w:t>Natriumhydroxide</w:t>
            </w:r>
          </w:p>
        </w:tc>
      </w:tr>
      <w:tr>
        <w:tc>
          <w:tcPr>
            <w:tcW w:type="dxa" w:w="4320"/>
          </w:tcPr>
          <w:p>
            <w:r>
              <w:rPr>
                <w:sz w:val="18"/>
              </w:rPr>
              <w:t>PBM</w:t>
            </w:r>
          </w:p>
        </w:tc>
        <w:tc>
          <w:tcPr>
            <w:tcW w:type="dxa" w:w="4320"/>
          </w:tcPr>
          <w:p>
            <w:r>
              <w:rPr>
                <w:sz w:val="18"/>
              </w:rPr>
              <w:t>Persoonlijk Beschermingsmiddel</w:t>
            </w:r>
          </w:p>
        </w:tc>
      </w:tr>
      <w:tr>
        <w:tc>
          <w:tcPr>
            <w:tcW w:type="dxa" w:w="4320"/>
          </w:tcPr>
          <w:p>
            <w:r>
              <w:rPr>
                <w:sz w:val="18"/>
              </w:rPr>
              <w:t>PFD</w:t>
            </w:r>
          </w:p>
        </w:tc>
        <w:tc>
          <w:tcPr>
            <w:tcW w:type="dxa" w:w="4320"/>
          </w:tcPr>
          <w:p>
            <w:r>
              <w:rPr>
                <w:sz w:val="18"/>
              </w:rPr>
              <w:t>Process Flow Diagram</w:t>
            </w:r>
          </w:p>
        </w:tc>
      </w:tr>
      <w:tr>
        <w:tc>
          <w:tcPr>
            <w:tcW w:type="dxa" w:w="4320"/>
          </w:tcPr>
          <w:p>
            <w:r>
              <w:rPr>
                <w:sz w:val="18"/>
              </w:rPr>
              <w:t>POR</w:t>
            </w:r>
          </w:p>
        </w:tc>
        <w:tc>
          <w:tcPr>
            <w:tcW w:type="dxa" w:w="4320"/>
          </w:tcPr>
          <w:p>
            <w:r>
              <w:rPr>
                <w:sz w:val="18"/>
              </w:rPr>
              <w:t>Plant One Rotterdam</w:t>
            </w:r>
          </w:p>
        </w:tc>
      </w:tr>
      <w:tr>
        <w:tc>
          <w:tcPr>
            <w:tcW w:type="dxa" w:w="4320"/>
          </w:tcPr>
          <w:p>
            <w:r>
              <w:rPr>
                <w:sz w:val="18"/>
              </w:rPr>
              <w:t>REACH</w:t>
            </w:r>
          </w:p>
        </w:tc>
        <w:tc>
          <w:tcPr>
            <w:tcW w:type="dxa" w:w="4320"/>
          </w:tcPr>
          <w:p>
            <w:r>
              <w:rPr>
                <w:sz w:val="18"/>
              </w:rPr>
              <w:t>Registration, Evaluation, Authorisation and Restriction of Chemicals (EG 1907/2006)</w:t>
            </w:r>
          </w:p>
        </w:tc>
      </w:tr>
      <w:tr>
        <w:tc>
          <w:tcPr>
            <w:tcW w:type="dxa" w:w="4320"/>
          </w:tcPr>
          <w:p>
            <w:r>
              <w:rPr>
                <w:sz w:val="18"/>
              </w:rPr>
              <w:t>RI&amp;E</w:t>
            </w:r>
          </w:p>
        </w:tc>
        <w:tc>
          <w:tcPr>
            <w:tcW w:type="dxa" w:w="4320"/>
          </w:tcPr>
          <w:p>
            <w:r>
              <w:rPr>
                <w:sz w:val="18"/>
              </w:rPr>
              <w:t>Risico-Inventarisatie en -Evaluatie</w:t>
            </w:r>
          </w:p>
        </w:tc>
      </w:tr>
      <w:tr>
        <w:tc>
          <w:tcPr>
            <w:tcW w:type="dxa" w:w="4320"/>
          </w:tcPr>
          <w:p>
            <w:r>
              <w:rPr>
                <w:sz w:val="18"/>
              </w:rPr>
              <w:t>Rie</w:t>
            </w:r>
          </w:p>
        </w:tc>
        <w:tc>
          <w:tcPr>
            <w:tcW w:type="dxa" w:w="4320"/>
          </w:tcPr>
          <w:p>
            <w:r>
              <w:rPr>
                <w:sz w:val="18"/>
              </w:rPr>
              <w:t>Richtlijn Industriële Emissies (2010/75/EU)</w:t>
            </w:r>
          </w:p>
        </w:tc>
      </w:tr>
      <w:tr>
        <w:tc>
          <w:tcPr>
            <w:tcW w:type="dxa" w:w="4320"/>
          </w:tcPr>
          <w:p>
            <w:r>
              <w:rPr>
                <w:sz w:val="18"/>
              </w:rPr>
              <w:t>SARU</w:t>
            </w:r>
          </w:p>
        </w:tc>
        <w:tc>
          <w:tcPr>
            <w:tcW w:type="dxa" w:w="4320"/>
          </w:tcPr>
          <w:p>
            <w:r>
              <w:rPr>
                <w:sz w:val="18"/>
              </w:rPr>
              <w:t>Sodium Ash Residue Unit</w:t>
            </w:r>
          </w:p>
        </w:tc>
      </w:tr>
      <w:tr>
        <w:tc>
          <w:tcPr>
            <w:tcW w:type="dxa" w:w="4320"/>
          </w:tcPr>
          <w:p>
            <w:r>
              <w:rPr>
                <w:sz w:val="18"/>
              </w:rPr>
              <w:t>SDS</w:t>
            </w:r>
          </w:p>
        </w:tc>
        <w:tc>
          <w:tcPr>
            <w:tcW w:type="dxa" w:w="4320"/>
          </w:tcPr>
          <w:p>
            <w:r>
              <w:rPr>
                <w:sz w:val="18"/>
              </w:rPr>
              <w:t>Safety Data Sheet (Veiligheidsinformatieblad)</w:t>
            </w:r>
          </w:p>
        </w:tc>
      </w:tr>
      <w:tr>
        <w:tc>
          <w:tcPr>
            <w:tcW w:type="dxa" w:w="4320"/>
          </w:tcPr>
          <w:p>
            <w:r>
              <w:rPr>
                <w:sz w:val="18"/>
              </w:rPr>
              <w:t>SIEF</w:t>
            </w:r>
          </w:p>
        </w:tc>
        <w:tc>
          <w:tcPr>
            <w:tcW w:type="dxa" w:w="4320"/>
          </w:tcPr>
          <w:p>
            <w:r>
              <w:rPr>
                <w:sz w:val="18"/>
              </w:rPr>
              <w:t>Substance Information Exchange Forum</w:t>
            </w:r>
          </w:p>
        </w:tc>
      </w:tr>
      <w:tr>
        <w:tc>
          <w:tcPr>
            <w:tcW w:type="dxa" w:w="4320"/>
          </w:tcPr>
          <w:p>
            <w:r>
              <w:rPr>
                <w:sz w:val="18"/>
              </w:rPr>
              <w:t>VRFB</w:t>
            </w:r>
          </w:p>
        </w:tc>
        <w:tc>
          <w:tcPr>
            <w:tcW w:type="dxa" w:w="4320"/>
          </w:tcPr>
          <w:p>
            <w:r>
              <w:rPr>
                <w:sz w:val="18"/>
              </w:rPr>
              <w:t>Vanadium Redox Flow Battery</w:t>
            </w:r>
          </w:p>
        </w:tc>
      </w:tr>
    </w:tbl>
    <w:p/>
    <w:p>
      <w:pPr>
        <w:jc w:val="center"/>
      </w:pPr>
      <w:r>
        <w:rPr>
          <w:color w:val="808080"/>
          <w:sz w:val="16"/>
        </w:rPr>
        <w:t>JvG Consultancy — REACH Kennisdossier v2.0 — Phoenix Metals IJmuiden</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024"/>
      <w:gridCol w:w="3024"/>
      <w:gridCol w:w="3024"/>
    </w:tblGrid>
    <w:tr>
      <w:tc>
        <w:tcPr>
          <w:tcW w:type="dxa" w:w="3402"/>
          <w:shd w:fill="F8F9FA"/>
        </w:tcPr>
        <w:p>
          <w:pPr>
            <w:jc w:val="left"/>
          </w:pPr>
          <w:r>
            <w:rPr>
              <w:rFonts w:ascii="Calibri" w:hAnsi="Calibri"/>
              <w:color w:val="333333"/>
              <w:sz w:val="16"/>
            </w:rPr>
            <w:t>JvG Consultancy — Vertrouwelijk</w:t>
          </w:r>
        </w:p>
      </w:tc>
      <w:tc>
        <w:tcPr>
          <w:tcW w:type="dxa" w:w="2268"/>
          <w:shd w:fill="F8F9FA"/>
        </w:tcPr>
        <w:p>
          <w:pPr>
            <w:jc w:val="center"/>
          </w:pPr>
          <w:r>
            <w:rPr>
              <w:rFonts w:ascii="Calibri" w:hAnsi="Calibri"/>
              <w:sz w:val="16"/>
            </w:rPr>
            <w:fldChar w:fldCharType="begin"/>
          </w:r>
          <w:r>
            <w:rPr>
              <w:rFonts w:ascii="Calibri" w:hAnsi="Calibri"/>
              <w:sz w:val="16"/>
            </w:rPr>
            <w:instrText xml:space="preserve"> PAGE </w:instrText>
          </w:r>
          <w:r>
            <w:rPr>
              <w:rFonts w:ascii="Calibri" w:hAnsi="Calibri"/>
              <w:sz w:val="16"/>
            </w:rPr>
            <w:fldChar w:fldCharType="end"/>
          </w:r>
        </w:p>
      </w:tc>
      <w:tc>
        <w:tcPr>
          <w:tcW w:type="dxa" w:w="3402"/>
          <w:shd w:fill="F8F9FA"/>
        </w:tcPr>
        <w:p>
          <w:pPr>
            <w:jc w:val="right"/>
          </w:pPr>
          <w:r>
            <w:rPr>
              <w:rFonts w:ascii="Calibri" w:hAnsi="Calibri"/>
              <w:color w:val="333333"/>
              <w:sz w:val="16"/>
            </w:rPr>
            <w:t>Phoenix Metals — REACH Compliance</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535"/>
      <w:gridCol w:w="4535"/>
    </w:tblGrid>
    <w:tr>
      <w:tc>
        <w:tcPr>
          <w:tcW w:type="dxa" w:w="6803"/>
          <w:shd w:fill="003366"/>
        </w:tcPr>
        <w:p>
          <w:pPr>
            <w:jc w:val="left"/>
          </w:pPr>
          <w:r>
            <w:rPr>
              <w:rFonts w:ascii="Calibri" w:hAnsi="Calibri"/>
              <w:color w:val="FFFFFF"/>
              <w:sz w:val="18"/>
            </w:rPr>
            <w:t>JvG Consultancy | Safety • Governance • Advisory</w:t>
          </w:r>
        </w:p>
      </w:tc>
      <w:tc>
        <w:tcPr>
          <w:tcW w:type="dxa" w:w="2268"/>
          <w:shd w:fill="003366"/>
        </w:tcPr>
        <w:p>
          <w:pP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