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b/>
          <w:color w:val="003D6B"/>
          <w:sz w:val="56"/>
        </w:rPr>
        <w:t>REACH &amp; VERGUNNINGEN KENNISDOSSIER</w:t>
      </w:r>
    </w:p>
    <w:p>
      <w:pPr>
        <w:jc w:val="center"/>
      </w:pPr>
      <w:r>
        <w:rPr>
          <w:color w:val="006BA6"/>
          <w:sz w:val="40"/>
        </w:rPr>
        <w:t>Phoenix Metals B.V.</w:t>
      </w:r>
    </w:p>
    <w:p>
      <w:pPr>
        <w:jc w:val="center"/>
      </w:pPr>
      <w:r>
        <w:rPr>
          <w:color w:val="555555"/>
          <w:sz w:val="28"/>
        </w:rPr>
        <w:t>Vanadiumterugwinning uit Staalslakken — Juridisch-Regelgevende Analyse</w:t>
      </w:r>
    </w:p>
    <w:p/>
    <w:p/>
    <w:p/>
    <w:p/>
    <w:tbl>
      <w:tblPr>
        <w:tblStyle w:val="TableGrid"/>
        <w:tblW w:type="auto" w:w="0"/>
        <w:jc w:val="center"/>
        <w:tblLook w:firstColumn="1" w:firstRow="1" w:lastColumn="0" w:lastRow="0" w:noHBand="0" w:noVBand="1" w:val="04A0"/>
      </w:tblPr>
      <w:tblGrid>
        <w:gridCol w:w="4320"/>
        <w:gridCol w:w="4320"/>
      </w:tblGrid>
      <w:tr>
        <w:tc>
          <w:tcPr>
            <w:tcW w:type="dxa" w:w="4320"/>
          </w:tcPr>
          <w:p>
            <w:r>
              <w:t>Document</w:t>
            </w:r>
          </w:p>
        </w:tc>
        <w:tc>
          <w:tcPr>
            <w:tcW w:type="dxa" w:w="4320"/>
          </w:tcPr>
          <w:p>
            <w:r>
              <w:t>REACH_Kennisdossier_Phoenix_Metals_D1_v1.0</w:t>
            </w:r>
          </w:p>
        </w:tc>
      </w:tr>
      <w:tr>
        <w:tc>
          <w:tcPr>
            <w:tcW w:type="dxa" w:w="4320"/>
          </w:tcPr>
          <w:p>
            <w:r>
              <w:t>Versie</w:t>
            </w:r>
          </w:p>
        </w:tc>
        <w:tc>
          <w:tcPr>
            <w:tcW w:type="dxa" w:w="4320"/>
          </w:tcPr>
          <w:p>
            <w:r>
              <w:t>1.0</w:t>
            </w:r>
          </w:p>
        </w:tc>
      </w:tr>
      <w:tr>
        <w:tc>
          <w:tcPr>
            <w:tcW w:type="dxa" w:w="4320"/>
          </w:tcPr>
          <w:p>
            <w:r>
              <w:t>Datum</w:t>
            </w:r>
          </w:p>
        </w:tc>
        <w:tc>
          <w:tcPr>
            <w:tcW w:type="dxa" w:w="4320"/>
          </w:tcPr>
          <w:p>
            <w:r>
              <w:t>16 april 2026</w:t>
            </w:r>
          </w:p>
        </w:tc>
      </w:tr>
      <w:tr>
        <w:tc>
          <w:tcPr>
            <w:tcW w:type="dxa" w:w="4320"/>
          </w:tcPr>
          <w:p>
            <w:r>
              <w:t>Opdrachtgever</w:t>
            </w:r>
          </w:p>
        </w:tc>
        <w:tc>
          <w:tcPr>
            <w:tcW w:type="dxa" w:w="4320"/>
          </w:tcPr>
          <w:p>
            <w:r>
              <w:t>Phoenix Metals B.V.</w:t>
            </w:r>
          </w:p>
        </w:tc>
      </w:tr>
      <w:tr>
        <w:tc>
          <w:tcPr>
            <w:tcW w:type="dxa" w:w="4320"/>
          </w:tcPr>
          <w:p>
            <w:r>
              <w:t>Auteur</w:t>
            </w:r>
          </w:p>
        </w:tc>
        <w:tc>
          <w:tcPr>
            <w:tcW w:type="dxa" w:w="4320"/>
          </w:tcPr>
          <w:p>
            <w:r>
              <w:t>JvG Consultancy — Senior Regulatory Affairs Expert</w:t>
            </w:r>
          </w:p>
        </w:tc>
      </w:tr>
      <w:tr>
        <w:tc>
          <w:tcPr>
            <w:tcW w:type="dxa" w:w="4320"/>
          </w:tcPr>
          <w:p>
            <w:r>
              <w:t>Classificatie</w:t>
            </w:r>
          </w:p>
        </w:tc>
        <w:tc>
          <w:tcPr>
            <w:tcW w:type="dxa" w:w="4320"/>
          </w:tcPr>
          <w:p>
            <w:r>
              <w:t>Vertrouwelijk — Alleen intern gebruik</w:t>
            </w:r>
          </w:p>
        </w:tc>
      </w:tr>
    </w:tbl>
    <w:p>
      <w:r>
        <w:br w:type="page"/>
      </w:r>
    </w:p>
    <w:p>
      <w:pPr>
        <w:pStyle w:val="Heading1"/>
      </w:pPr>
      <w:r>
        <w:t>Inhoudsopgave</w:t>
      </w:r>
    </w:p>
    <w:p>
      <w:pPr>
        <w:spacing w:after="40" w:before="40"/>
      </w:pPr>
      <w:r>
        <w:rPr>
          <w:b/>
        </w:rPr>
        <w:t>1. Executive Summary</w:t>
      </w:r>
    </w:p>
    <w:p>
      <w:pPr>
        <w:spacing w:after="40" w:before="40"/>
      </w:pPr>
      <w:r>
        <w:rPr>
          <w:b/>
        </w:rPr>
        <w:t>2. Bedrijfscontext Phoenix Metals</w:t>
      </w:r>
    </w:p>
    <w:p>
      <w:pPr>
        <w:spacing w:after="40" w:before="40"/>
      </w:pPr>
      <w:r>
        <w:rPr>
          <w:b/>
        </w:rPr>
        <w:t>3. Juridische Status &amp; Trigger: End-of-Waste (Einde-Afval)</w:t>
      </w:r>
    </w:p>
    <w:p>
      <w:pPr>
        <w:spacing w:after="40" w:before="40"/>
      </w:pPr>
      <w:r>
        <w:t xml:space="preserve">   3.1 Wanneer stopt de staalslak met afval te zijn?</w:t>
      </w:r>
    </w:p>
    <w:p>
      <w:pPr>
        <w:spacing w:after="40" w:before="40"/>
      </w:pPr>
      <w:r>
        <w:t xml:space="preserve">   3.2 Criterium "product" vs "afval" onder REACH</w:t>
      </w:r>
    </w:p>
    <w:p>
      <w:pPr>
        <w:spacing w:after="40" w:before="40"/>
      </w:pPr>
      <w:r>
        <w:t xml:space="preserve">   3.3 Relevante EU-richtlijnen</w:t>
      </w:r>
    </w:p>
    <w:p>
      <w:pPr>
        <w:spacing w:after="40" w:before="40"/>
      </w:pPr>
      <w:r>
        <w:t xml:space="preserve">   3.4 Bewijslast Phoenix Metals</w:t>
      </w:r>
    </w:p>
    <w:p>
      <w:pPr>
        <w:spacing w:after="40" w:before="40"/>
      </w:pPr>
      <w:r>
        <w:t xml:space="preserve">   3.5 Gevolgen voor REACH-registratieplicht</w:t>
      </w:r>
    </w:p>
    <w:p>
      <w:pPr>
        <w:spacing w:after="40" w:before="40"/>
      </w:pPr>
      <w:r>
        <w:rPr>
          <w:b/>
        </w:rPr>
        <w:t>4. Registratie vs. Uitzondering</w:t>
      </w:r>
    </w:p>
    <w:p>
      <w:pPr>
        <w:spacing w:after="40" w:before="40"/>
      </w:pPr>
      <w:r>
        <w:t xml:space="preserve">   4.1 De 1-ton grens en teruggewonnen stoffen</w:t>
      </w:r>
    </w:p>
    <w:p>
      <w:pPr>
        <w:spacing w:after="40" w:before="40"/>
      </w:pPr>
      <w:r>
        <w:t xml:space="preserve">   4.2 Artikel 2, lid 7, sub d REACH — Teruggewonnen stoffen</w:t>
      </w:r>
    </w:p>
    <w:p>
      <w:pPr>
        <w:spacing w:after="40" w:before="40"/>
      </w:pPr>
      <w:r>
        <w:t xml:space="preserve">   4.3 Chemische en toxicologische data-eisen</w:t>
      </w:r>
    </w:p>
    <w:p>
      <w:pPr>
        <w:spacing w:after="40" w:before="40"/>
      </w:pPr>
      <w:r>
        <w:t xml:space="preserve">   4.4 Stofidentiteit / Substance Identity Profile (SIP)</w:t>
      </w:r>
    </w:p>
    <w:p>
      <w:pPr>
        <w:spacing w:after="40" w:before="40"/>
      </w:pPr>
      <w:r>
        <w:t xml:space="preserve">   4.5 Volledige registratie vs. gerecycleerde-stof notificatie</w:t>
      </w:r>
    </w:p>
    <w:p>
      <w:pPr>
        <w:spacing w:after="40" w:before="40"/>
      </w:pPr>
      <w:r>
        <w:rPr>
          <w:b/>
        </w:rPr>
        <w:t>5. Vergunningseisen</w:t>
      </w:r>
    </w:p>
    <w:p>
      <w:pPr>
        <w:spacing w:after="40" w:before="40"/>
      </w:pPr>
      <w:r>
        <w:t xml:space="preserve">   5.1 Milieugerelateerde vergunningen</w:t>
      </w:r>
    </w:p>
    <w:p>
      <w:pPr>
        <w:spacing w:after="40" w:before="40"/>
      </w:pPr>
      <w:r>
        <w:t xml:space="preserve">   5.2 BRZO/Seveso toepasselijkheid</w:t>
      </w:r>
    </w:p>
    <w:p>
      <w:pPr>
        <w:spacing w:after="40" w:before="40"/>
      </w:pPr>
      <w:r>
        <w:t xml:space="preserve">   5.3 REACH en vergunningen: interactie</w:t>
      </w:r>
    </w:p>
    <w:p>
      <w:pPr>
        <w:spacing w:after="40" w:before="40"/>
      </w:pPr>
      <w:r>
        <w:t xml:space="preserve">   5.4 Opslag en transport van vanadiumverbindingen</w:t>
      </w:r>
    </w:p>
    <w:p>
      <w:pPr>
        <w:spacing w:after="40" w:before="40"/>
      </w:pPr>
      <w:r>
        <w:rPr>
          <w:b/>
        </w:rPr>
        <w:t>6. Risico-inschatting &amp; Supply Chain</w:t>
      </w:r>
    </w:p>
    <w:p>
      <w:pPr>
        <w:spacing w:after="40" w:before="40"/>
      </w:pPr>
      <w:r>
        <w:t xml:space="preserve">   6.1 REACH-verplichtingen richting downstream users</w:t>
      </w:r>
    </w:p>
    <w:p>
      <w:pPr>
        <w:spacing w:after="40" w:before="40"/>
      </w:pPr>
      <w:r>
        <w:t xml:space="preserve">   6.2 Veiligheidsinformatieblad (SDS/e-VIB)</w:t>
      </w:r>
    </w:p>
    <w:p>
      <w:pPr>
        <w:spacing w:after="40" w:before="40"/>
      </w:pPr>
      <w:r>
        <w:t xml:space="preserve">   6.3 Registratieplichten van de afnemer</w:t>
      </w:r>
    </w:p>
    <w:p>
      <w:pPr>
        <w:spacing w:after="40" w:before="40"/>
      </w:pPr>
      <w:r>
        <w:t xml:space="preserve">   6.4 Safe use en blootstellingsscenario's</w:t>
      </w:r>
    </w:p>
    <w:p>
      <w:pPr>
        <w:spacing w:after="40" w:before="40"/>
      </w:pPr>
      <w:r>
        <w:rPr>
          <w:b/>
        </w:rPr>
        <w:t>7. Strategisch Actieplan — Aanbevelingen</w:t>
      </w:r>
    </w:p>
    <w:p>
      <w:pPr>
        <w:spacing w:after="40" w:before="40"/>
      </w:pPr>
      <w:r>
        <w:rPr>
          <w:b/>
        </w:rPr>
        <w:t>8. Referenties</w:t>
      </w:r>
    </w:p>
    <w:p>
      <w:r>
        <w:br w:type="page"/>
      </w:r>
    </w:p>
    <w:p>
      <w:pPr>
        <w:pStyle w:val="Heading1"/>
      </w:pPr>
      <w:r>
        <w:t>1. Executive Summary</w:t>
      </w:r>
    </w:p>
    <w:p>
      <w:r>
        <w:t>Dit kennisdossier analyseert de volledige REACH- en vergunningsplichtige context voor Phoenix Metals B.V., een startup die vanadium teruggewint uit staalslakken en dit als halffabrikaat levert aan producenten van vanadium-redox-flowbatterijen (VRFB). Het dossier is gebaseerd op diepgaande analyse van de REACH-verordening (EG 1907/2006), CLP-verordening (EG 1272/2008), Kaderrichtlijn Afval (2008/98/EG), en relevante ECHA-guidance documenten.</w:t>
      </w:r>
    </w:p>
    <w:p>
      <w:pPr>
        <w:pStyle w:val="Heading3"/>
      </w:pPr>
      <w:r>
        <w:t>Kernbevindingen</w:t>
      </w:r>
    </w:p>
    <w:p>
      <w:pPr>
        <w:pStyle w:val="ListBullet"/>
      </w:pPr>
      <w:r>
        <w:t>End-of-Waste (EoW): Phoenix Metals MOET aantonen dat het terugwinningsproces voldoet aan de einde-afvalcriteria van artikel 6 van de Kaderrichtlijn Afval (2008/98/EG). Pas nádat het vanadiumhalffabrikaat als "einde-afval" is gekwalificeerd, treedt REACH in werking. Zolang het materiaal als afval wordt beschouwd, valt het buiten het toepassingsgebied van REACH (artikel 2, lid 2).</w:t>
      </w:r>
    </w:p>
    <w:p>
      <w:pPr>
        <w:pStyle w:val="ListBullet"/>
      </w:pPr>
      <w:r>
        <w:t>Registratievrijstelling (art. 2(7)(d)): Indien vanadium reeds als zodanig is geregistreerd bij de ECHA, en de teruggewonnen stof chemisch identiek is aan de geregistreerde stof, geldt een vrijstelling van registratie. Phoenix Metals MOET echter bewijzen dat aan alle drie voorwaarden wordt voldaan: (1) de stof is reeds geregistreerd, (2) stofidentiteit (SIP) is aantoonbaar identiek, en (3) de vereiste informatie uit een SDS is beschikbaar.</w:t>
      </w:r>
    </w:p>
    <w:p>
      <w:pPr>
        <w:pStyle w:val="ListBullet"/>
      </w:pPr>
      <w:r>
        <w:t>1-ton grens: De vrijstelling voor teruggewonnen stoffen (art. 2(7)(d)) is onafhankelijk van de 1-ton grens. Echter, indien de vrijstelling niet van toepassing is (bijv. omdat de stof niet identiek is of niet geregistreerd), geldt de standaard 1-ton registratiegrens van artikel 6 REACH.</w:t>
      </w:r>
    </w:p>
    <w:p>
      <w:pPr>
        <w:pStyle w:val="ListBullet"/>
      </w:pPr>
      <w:r>
        <w:t>Vergunningen: Phoenix Metals heeft naar alle waarschijnlijkheid een omgevingsvergunning milieubelastende activiteit nodig op basis van de Wet milieubeheer / Omgevingswet. Afhankelijk van de opgeslagen hoeveelheden vanadiumverbindingen en de aard van het proces, kan BRZO/Seveso van toepassing zijn. Dit vereist nadere inventarisatie.</w:t>
      </w:r>
    </w:p>
    <w:p>
      <w:pPr>
        <w:pStyle w:val="ListBullet"/>
      </w:pPr>
      <w:r>
        <w:t>SDS-verplichting: Phoenix Metals is verplicht een Veiligheidsinformatieblad (SDS) op te stellen en te verstrekken aan alle downstream users, overeenkomstig REACH artikel 31 en Bijlage II, zodra het vanadiumhalffabrikaat als gevaarlijk is ingedeeld krachtens CLP.</w:t>
      </w:r>
    </w:p>
    <w:p>
      <w:r>
        <w:br w:type="page"/>
      </w:r>
    </w:p>
    <w:p>
      <w:pPr>
        <w:pStyle w:val="Heading1"/>
      </w:pPr>
      <w:r>
        <w:t>2. Bedrijfscontext Phoenix Metals</w:t>
      </w:r>
    </w:p>
    <w:p>
      <w:r>
        <w:t>Phoenix Metals B.V. is een innovatieve onderneming in de circulaire economie met de volgende kernactiviteiten:</w:t>
      </w:r>
    </w:p>
    <w:p>
      <w:pPr>
        <w:pStyle w:val="ListBullet"/>
      </w:pPr>
      <w:r>
        <w:t>Grondstof: Staalslakken (afvalstroom uit de staalindustrie) die vanadium bevatten.</w:t>
      </w:r>
    </w:p>
    <w:p>
      <w:pPr>
        <w:pStyle w:val="ListBullet"/>
      </w:pPr>
      <w:r>
        <w:t>Proces: Thermische en/of chemische terugwinning van vanadium uit de staalslakken.</w:t>
      </w:r>
    </w:p>
    <w:p>
      <w:pPr>
        <w:pStyle w:val="ListBullet"/>
      </w:pPr>
      <w:r>
        <w:t>Product: Vanadiumhalffabrikaat (geen elektrolyt) — een tussenproduct voor de VRFB-industrie.</w:t>
      </w:r>
    </w:p>
    <w:p>
      <w:pPr>
        <w:pStyle w:val="ListBullet"/>
      </w:pPr>
      <w:r>
        <w:t>Afnemers: Producenten van vanadium-redox-flowbatterij-elektrolyt die het halffabrikaat verder verwerken.</w:t>
      </w:r>
    </w:p>
    <w:p>
      <w:pPr>
        <w:pStyle w:val="ListBullet"/>
      </w:pPr>
      <w:r>
        <w:t>Locatie: Nederland (EU) — volledig toepassingsgebied REACH en nationale milieuwetgeving.</w:t>
      </w:r>
    </w:p>
    <w:p>
      <w:r>
        <w:t>De keten is als volgt: Staalslak (afval) → Terugwinning (Phoenix Metals) → Vanadiumhalffabrikaat (product) → Elektrolytproducent (downstream user) → VRFB-elektrolyt (eindproduct). Phoenix Metals bevindt zich op het kritische overgangspunt tussen afvalwetgeving en chemische stoffenwetgeving.</w:t>
      </w:r>
    </w:p>
    <w:p>
      <w:r>
        <w:br w:type="page"/>
      </w:r>
    </w:p>
    <w:p>
      <w:pPr>
        <w:pStyle w:val="Heading1"/>
      </w:pPr>
      <w:r>
        <w:t>3. Juridische Status &amp; Trigger: End-of-Waste (Einde-Afval)</w:t>
      </w:r>
    </w:p>
    <w:p>
      <w:pPr>
        <w:pStyle w:val="Heading2"/>
      </w:pPr>
      <w:r>
        <w:t>3.1 Wanneer stopt de staalslak met afval te zijn?</w:t>
      </w:r>
    </w:p>
    <w:p>
      <w:r>
        <w:t>De staalslak stopt met afval te zijn op het moment dat aan alle einde-afvalcriteria van artikel 6, lid 1, van de Kaderrichtlijn Afval (2008/98/EG) is voldaan. Deze criteria zijn cumulatief:</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Criterium</w:t>
            </w:r>
          </w:p>
        </w:tc>
        <w:tc>
          <w:tcPr>
            <w:tcW w:type="dxa" w:w="2880"/>
          </w:tcPr>
          <w:p>
            <w:r>
              <w:rPr>
                <w:b/>
              </w:rPr>
              <w:t>Wettelijke Basis</w:t>
            </w:r>
          </w:p>
        </w:tc>
        <w:tc>
          <w:tcPr>
            <w:tcW w:type="dxa" w:w="2880"/>
          </w:tcPr>
          <w:p>
            <w:r>
              <w:rPr>
                <w:b/>
              </w:rPr>
              <w:t>Toepassing op Phoenix Metals</w:t>
            </w:r>
          </w:p>
        </w:tc>
      </w:tr>
      <w:tr>
        <w:tc>
          <w:tcPr>
            <w:tcW w:type="dxa" w:w="2880"/>
          </w:tcPr>
          <w:p>
            <w:r>
              <w:t>1. Het materiaal is bestemd voor specifieke toepassingen</w:t>
            </w:r>
          </w:p>
        </w:tc>
        <w:tc>
          <w:tcPr>
            <w:tcW w:type="dxa" w:w="2880"/>
          </w:tcPr>
          <w:p>
            <w:r>
              <w:t>KRA art. 6(1)(a)</w:t>
            </w:r>
          </w:p>
        </w:tc>
        <w:tc>
          <w:tcPr>
            <w:tcW w:type="dxa" w:w="2880"/>
          </w:tcPr>
          <w:p>
            <w:r>
              <w:t>Phoenix Metals produceert een vanadiumhalffabrikaat met het expliciete doel als grondstof te dienen voor VRFB-elektrolyt. Dit criterium is vervuld.</w:t>
            </w:r>
          </w:p>
        </w:tc>
      </w:tr>
      <w:tr>
        <w:tc>
          <w:tcPr>
            <w:tcW w:type="dxa" w:w="2880"/>
          </w:tcPr>
          <w:p>
            <w:r>
              <w:t>2. Er bestaat een markt of vraag voor het materiaal</w:t>
            </w:r>
          </w:p>
        </w:tc>
        <w:tc>
          <w:tcPr>
            <w:tcW w:type="dxa" w:w="2880"/>
          </w:tcPr>
          <w:p>
            <w:r>
              <w:t>KRA art. 6(1)(b)</w:t>
            </w:r>
          </w:p>
        </w:tc>
        <w:tc>
          <w:tcPr>
            <w:tcW w:type="dxa" w:w="2880"/>
          </w:tcPr>
          <w:p>
            <w:r>
              <w:t>De VRFB-markt groeit exponentieel. Er is een aantoonbare vraag naar vanadium als batterijgrondstof. Documenteer marktonderzoek en afnemerscontracten.</w:t>
            </w:r>
          </w:p>
        </w:tc>
      </w:tr>
      <w:tr>
        <w:tc>
          <w:tcPr>
            <w:tcW w:type="dxa" w:w="2880"/>
          </w:tcPr>
          <w:p>
            <w:r>
              <w:t>3. Het materiaal voldoet aan de technische eisen voor de toepassing</w:t>
            </w:r>
          </w:p>
        </w:tc>
        <w:tc>
          <w:tcPr>
            <w:tcW w:type="dxa" w:w="2880"/>
          </w:tcPr>
          <w:p>
            <w:r>
              <w:t>KRA art. 6(1)(c)</w:t>
            </w:r>
          </w:p>
        </w:tc>
        <w:tc>
          <w:tcPr>
            <w:tcW w:type="dxa" w:w="2880"/>
          </w:tcPr>
          <w:p>
            <w:r>
              <w:t>Het vanadiumhalffabrikaat moet voldoen aan de specificaties van de elektrolytproducent (zuiverheid, samenstelling). Documenteer productspecificaties en QC-protocollen.</w:t>
            </w:r>
          </w:p>
        </w:tc>
      </w:tr>
      <w:tr>
        <w:tc>
          <w:tcPr>
            <w:tcW w:type="dxa" w:w="2880"/>
          </w:tcPr>
          <w:p>
            <w:r>
              <w:t>4. Het gebruik zal niet leiden tot negatieve effecten op milieu of volksgezondheid</w:t>
            </w:r>
          </w:p>
        </w:tc>
        <w:tc>
          <w:tcPr>
            <w:tcW w:type="dxa" w:w="2880"/>
          </w:tcPr>
          <w:p>
            <w:r>
              <w:t>KRA art. 6(1)(d)</w:t>
            </w:r>
          </w:p>
        </w:tc>
        <w:tc>
          <w:tcPr>
            <w:tcW w:type="dxa" w:w="2880"/>
          </w:tcPr>
          <w:p>
            <w:r>
              <w:t>Phoenix Metals moet aantonen (via milieu-effectrapportage, toxicologische data en emissiecontrole) dat het vanadiumhalffabrikaat veilig kan worden gebruikt. Vereist chemische-analytische onderbouwing.</w:t>
            </w:r>
          </w:p>
        </w:tc>
      </w:tr>
    </w:tbl>
    <w:p/>
    <w:p>
      <w:r>
        <w:t>Referentie: Kaderrichtlijn Afval 2008/98/EG, artikel 6, lid 1. Zie ook het ECHA Richtsnoer voor afval en teruggewonnen stoffen ( Guidance on waste and recovered substances ).</w:t>
      </w:r>
    </w:p>
    <w:p>
      <w:pPr>
        <w:pStyle w:val="Heading2"/>
      </w:pPr>
      <w:r>
        <w:t>3.2 Criterium "product" vs "afval" onder REACH</w:t>
      </w:r>
    </w:p>
    <w:p>
      <w:r>
        <w:t>REACH kent geen eigen definitie van "afval". De verordening verwijst expliciet naar de Kaderrichtlijn Afval (artikel 2, lid 2 REACH). Het onderscheid is als volgt:</w:t>
      </w:r>
    </w:p>
    <w:tbl>
      <w:tblPr>
        <w:tblStyle w:val="TableGrid"/>
        <w:tblW w:type="auto" w:w="0"/>
        <w:tblLook w:firstColumn="1" w:firstRow="1" w:lastColumn="0" w:lastRow="0" w:noHBand="0" w:noVBand="1" w:val="04A0"/>
      </w:tblPr>
      <w:tblGrid>
        <w:gridCol w:w="4320"/>
        <w:gridCol w:w="4320"/>
      </w:tblGrid>
      <w:tr>
        <w:tc>
          <w:tcPr>
            <w:tcW w:type="dxa" w:w="4320"/>
          </w:tcPr>
          <w:p>
            <w:r>
              <w:rPr>
                <w:b/>
              </w:rPr>
              <w:t>Status</w:t>
            </w:r>
          </w:p>
        </w:tc>
        <w:tc>
          <w:tcPr>
            <w:tcW w:type="dxa" w:w="4320"/>
          </w:tcPr>
          <w:p>
            <w:r>
              <w:rPr>
                <w:b/>
              </w:rPr>
              <w:t>REACH-toepasselijkheid</w:t>
            </w:r>
          </w:p>
        </w:tc>
      </w:tr>
      <w:tr>
        <w:tc>
          <w:tcPr>
            <w:tcW w:type="dxa" w:w="4320"/>
          </w:tcPr>
          <w:p>
            <w:r>
              <w:t>AFVAL (pre-EoW)</w:t>
            </w:r>
          </w:p>
        </w:tc>
        <w:tc>
          <w:tcPr>
            <w:tcW w:type="dxa" w:w="4320"/>
          </w:tcPr>
          <w:p>
            <w:r>
              <w:t>REACH is NIET van toepassing (art. 2(2)). De staalslak valt onder afvalwetgeving (KRA 2008/98/EG). Geen registratieplicht, geen SDS-verplichting, geen CLP-verplichting in deze fase.</w:t>
            </w:r>
          </w:p>
        </w:tc>
      </w:tr>
      <w:tr>
        <w:tc>
          <w:tcPr>
            <w:tcW w:type="dxa" w:w="4320"/>
          </w:tcPr>
          <w:p>
            <w:r>
              <w:t>PRODUCT (post-EoW)</w:t>
            </w:r>
          </w:p>
        </w:tc>
        <w:tc>
          <w:tcPr>
            <w:tcW w:type="dxa" w:w="4320"/>
          </w:tcPr>
          <w:p>
            <w:r>
              <w:t>REACH is VOLLEDIG van toepassing. Het vanadiumhalffabrikaat is een "stof" in de zin van art. 3(1) REACH. Alle registratie-, SDS-, en CLP-verplichtingen gelden onverkort, tenzij een specifieke vrijstelling van toepassing is.</w:t>
            </w:r>
          </w:p>
        </w:tc>
      </w:tr>
    </w:tbl>
    <w:p/>
    <w:p>
      <w:r>
        <w:t>Strategisch advies: Phoenix Metals MOET het exacte EoW-moment documenteren. Dit is het kritieke compliance-punt waarop de wetgeving omslaat van afvalrecht naar chemischestoffenrecht. Onzekerheid hierover creëert juridisch risico bij zowel het toezicht op afval als bij REACH-handhaving.</w:t>
      </w:r>
    </w:p>
    <w:p>
      <w:pPr>
        <w:pStyle w:val="Heading2"/>
      </w:pPr>
      <w:r>
        <w:t>3.3 Relevante EU-richtlijnen</w:t>
      </w:r>
    </w:p>
    <w:p>
      <w:r>
        <w:rPr>
          <w:b/>
        </w:rPr>
        <w:t xml:space="preserve">Kaderrichtlijn Afval (2008/98/EG): </w:t>
      </w:r>
      <w:r>
        <w:t>Definieert afval, einde-afvalcriteria (art. 6), en terugwinningshandelingen (Bijlage II, R-codes). Vanadiumterugwinning kwalificeert als R4 (recycling van metalen) of R5 (recycling van andere anorganische stoffen).</w:t>
      </w:r>
    </w:p>
    <w:p>
      <w:r>
        <w:rPr>
          <w:b/>
        </w:rPr>
        <w:t xml:space="preserve">REACH-verordening (EG 1907/2006): </w:t>
      </w:r>
      <w:r>
        <w:t>Registratie, beoordeling, autorisatie en beperking van chemische stoffen. Van toepassing zodra het materiaal geen afval meer is. Artikel 2(7)(d) biedt mogelijke vrijstelling voor teruggewonnen stoffen.</w:t>
      </w:r>
    </w:p>
    <w:p>
      <w:r>
        <w:rPr>
          <w:b/>
        </w:rPr>
        <w:t xml:space="preserve">CLP-verordening (EG 1272/2008): </w:t>
      </w:r>
      <w:r>
        <w:t>Classificatie, etikettering en verpakking. Phoenix Metals moet het vanadiumhalffabrikaat classificeren en etiketteren zodra het als product op de markt wordt gebracht.</w:t>
      </w:r>
    </w:p>
    <w:p>
      <w:r>
        <w:rPr>
          <w:b/>
        </w:rPr>
        <w:t xml:space="preserve">Verordening (EU) nr. 1257/2013 (Scheepsrecycling): </w:t>
      </w:r>
      <w:r>
        <w:t>Niet direct van toepassing, tenzij staalslakken afkomstig zijn van scheepsrecycling.</w:t>
      </w:r>
    </w:p>
    <w:p>
      <w:r>
        <w:rPr>
          <w:b/>
        </w:rPr>
        <w:t xml:space="preserve">End-of-Waste verordeningen (specifieke materialen): </w:t>
      </w:r>
      <w:r>
        <w:t>De EU heeft EoW-criteria vastgesteld voor specifieke materialen (ijzer, staal, aluminium, koper, glas, papier). Voor vanadium uit staalslakken bestaat er géén specifieke EoW-verordening. Phoenix Metals moet daarom de algemene EoW-criteria van art. 6 KRA toepassen.</w:t>
      </w:r>
    </w:p>
    <w:p>
      <w:pPr>
        <w:pStyle w:val="Heading2"/>
      </w:pPr>
      <w:r>
        <w:t>3.4 Bewijslast Phoenix Metals</w:t>
      </w:r>
    </w:p>
    <w:p>
      <w:r>
        <w:t>De bewijslast voor het aantonen van het EoW-moment rust in eerste instantie op de producent/importeur, oftewel Phoenix Metals. Concreet betekent dit:</w:t>
      </w:r>
    </w:p>
    <w:p>
      <w:pPr>
        <w:pStyle w:val="ListBullet"/>
      </w:pPr>
      <w:r>
        <w:t>Documentatie van het terugwinningsproces: processtroomdiagrammen, massabalansen, reactoromstandigheden.</w:t>
      </w:r>
    </w:p>
    <w:p>
      <w:pPr>
        <w:pStyle w:val="ListBullet"/>
      </w:pPr>
      <w:r>
        <w:t>Chemische karakterisering van het eindproduct: analysecertificaten (zuiverheid, onzuiverhedenprofiel, elementaire samenstelling).</w:t>
      </w:r>
    </w:p>
    <w:p>
      <w:pPr>
        <w:pStyle w:val="ListBullet"/>
      </w:pPr>
      <w:r>
        <w:t>Bewijs van markt/vraag: afnemerscontracten, intentieverklaringen, marktrapportages.</w:t>
      </w:r>
    </w:p>
    <w:p>
      <w:pPr>
        <w:pStyle w:val="ListBullet"/>
      </w:pPr>
      <w:r>
        <w:t>Technische specificaties: productsheet met minimale kwaliteitsnormen die aantonen dat het halffabrikaat geschikt is als grondstof voor VRFB-elektrolyt.</w:t>
      </w:r>
    </w:p>
    <w:p>
      <w:pPr>
        <w:pStyle w:val="ListBullet"/>
      </w:pPr>
      <w:r>
        <w:t>Milieueffectbeoordeling: emissiedata, afvalwateranalyses, risicobeoordeling volgens REACH Bijlage I.</w:t>
      </w:r>
    </w:p>
    <w:p>
      <w:pPr>
        <w:pStyle w:val="ListBullet"/>
      </w:pPr>
      <w:r>
        <w:t>Indien beschikbaar: conformiteitsverklaring met bestaande EoW-besluiten of nationale begeleiding.</w:t>
      </w:r>
    </w:p>
    <w:p>
      <w:pPr>
        <w:pStyle w:val="Heading2"/>
      </w:pPr>
      <w:r>
        <w:t>3.5 Gevolgen voor REACH-registratieplicht</w:t>
      </w:r>
    </w:p>
    <w:p>
      <w:r>
        <w:t>Zodra het vanadiumhalffabrikaat het EoW-stadium heeft bereikt en als "product" kwalificeert:</w:t>
      </w:r>
    </w:p>
    <w:p>
      <w:pPr>
        <w:pStyle w:val="ListBullet"/>
      </w:pPr>
      <w:r>
        <w:t>Phoenix Metals is een "fabrikant" van een stof in de zin van artikel 3, lid 4 REACH (het produceren van een stof in de EU door een chemisch proces).</w:t>
      </w:r>
    </w:p>
    <w:p>
      <w:pPr>
        <w:pStyle w:val="ListBullet"/>
      </w:pPr>
      <w:r>
        <w:t>De registratieplicht van artikel 5 REACH wordt geactiveerd: stoffen die in de EU worden vervaardigd of ingevoerd in hoeveelheden van 1 ton of meer per jaar MOETEN worden geregistreerd.</w:t>
      </w:r>
    </w:p>
    <w:p>
      <w:pPr>
        <w:pStyle w:val="ListBullet"/>
      </w:pPr>
      <w:r>
        <w:t>CLP-artikel 4 verplicht Phoenix Metals om het vanadiumhalffabrikaat te classificeren op basis van beschikbare data over gevareneigenschappen.</w:t>
      </w:r>
    </w:p>
    <w:p>
      <w:pPr>
        <w:pStyle w:val="ListBullet"/>
      </w:pPr>
      <w:r>
        <w:t>De downstream user (elektrolytproducent) moet voldoen aan de voorwaarden van het veiligheidsinformatieblad en eventuele blootstellingsscenario's.</w:t>
      </w:r>
    </w:p>
    <w:p>
      <w:r>
        <w:t>Echter: de vrijstelling voor teruggewonnen stoffen (artikel 2, lid 7, sub d) kan van toepassing zijn. Zie hoofdstuk 4 voor de gedetailleerde analyse.</w:t>
      </w:r>
    </w:p>
    <w:p>
      <w:r>
        <w:br w:type="page"/>
      </w:r>
    </w:p>
    <w:p>
      <w:pPr>
        <w:pStyle w:val="Heading1"/>
      </w:pPr>
      <w:r>
        <w:t>4. Registratie vs. Uitzondering</w:t>
      </w:r>
    </w:p>
    <w:p>
      <w:pPr>
        <w:pStyle w:val="Heading2"/>
      </w:pPr>
      <w:r>
        <w:t>4.1 De 1-ton grens en teruggewonnen stoffen</w:t>
      </w:r>
    </w:p>
    <w:p>
      <w:r>
        <w:t>De algemene registratieplicht van REACH artikel 5, gelezen in combinatie met artikel 6, stelt dat elke stof die in hoeveelheden van 1 ton of meer per jaar wordt vervaardigd of ingevoerd, moet worden geregistreerd. De 1-ton grens geldt onverkort voor teruggewonnen stoffen, met de volgende important nuance:</w:t>
      </w:r>
    </w:p>
    <w:p>
      <w:pPr>
        <w:pStyle w:val="ListBullet"/>
      </w:pPr>
      <w:r>
        <w:t>Indien de vrijstelling van artikel 2(7)(d) van toepassing is, is er géén registratieplicht — ongeacht de tonnage. De vrijstelling is absoluut, mits aan de voorwaarden wordt voldaan.</w:t>
      </w:r>
    </w:p>
    <w:p>
      <w:pPr>
        <w:pStyle w:val="ListBullet"/>
      </w:pPr>
      <w:r>
        <w:t>Indien artikel 2(7)(d) NIET van toepassing is (bijv. omdat de teruggewonnen stof niet identiek is aan een geregistreerde stof), geldt de standaard 1-ton grens. Phoenix Metals moet dan een volledige registratie indienen.</w:t>
      </w:r>
    </w:p>
    <w:p>
      <w:pPr>
        <w:pStyle w:val="ListBullet"/>
      </w:pPr>
      <w:r>
        <w:t>De tonnageband bepaalt het informatieniveau (Bijlage VII t/m X): 1-10 ton (Bijlage VII), 10-100 ton (Bijlage VII-VIII), 100-1000 ton (Bijlage VII-IX), en &gt;1000 ton (Bijlage VII-X).</w:t>
      </w:r>
    </w:p>
    <w:p>
      <w:r>
        <w:t>Referentie: REACH artikel 5, 6 en 2(7)(d); ECHA Richtsnoer voor registratie, versie 4.0 (augustus 2021), subparagraaf 2.2.3.5.</w:t>
      </w:r>
    </w:p>
    <w:p>
      <w:pPr>
        <w:pStyle w:val="Heading2"/>
      </w:pPr>
      <w:r>
        <w:t>4.2 Artikel 2, lid 7, sub d REACH — Teruggewonnen stoffen</w:t>
      </w:r>
    </w:p>
    <w:p>
      <w:r>
        <w:t>Artikel 2, lid 7, sub d van de REACH-verordening biedt een vrijstelling van registratie voor stoffen die in de EU worden teruggewonnen, mits aan drie cumulatieve voorwaarden wordt voldaan:</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Voorwaarde</w:t>
            </w:r>
          </w:p>
        </w:tc>
        <w:tc>
          <w:tcPr>
            <w:tcW w:type="dxa" w:w="2880"/>
          </w:tcPr>
          <w:p>
            <w:r>
              <w:rPr>
                <w:b/>
              </w:rPr>
              <w:t>Wettelijke basis</w:t>
            </w:r>
          </w:p>
        </w:tc>
        <w:tc>
          <w:tcPr>
            <w:tcW w:type="dxa" w:w="2880"/>
          </w:tcPr>
          <w:p>
            <w:r>
              <w:rPr>
                <w:b/>
              </w:rPr>
              <w:t>Wat Phoenix Metals moet aantonen</w:t>
            </w:r>
          </w:p>
        </w:tc>
      </w:tr>
      <w:tr>
        <w:tc>
          <w:tcPr>
            <w:tcW w:type="dxa" w:w="2880"/>
          </w:tcPr>
          <w:p>
            <w:r>
              <w:t>1. De stof is reeds geregistreerd</w:t>
            </w:r>
          </w:p>
        </w:tc>
        <w:tc>
          <w:tcPr>
            <w:tcW w:type="dxa" w:w="2880"/>
          </w:tcPr>
          <w:p>
            <w:r>
              <w:t>Art. 2(7)(d), eerste streepje</w:t>
            </w:r>
          </w:p>
        </w:tc>
        <w:tc>
          <w:tcPr>
            <w:tcW w:type="dxa" w:w="2880"/>
          </w:tcPr>
          <w:p>
            <w:r>
              <w:t>Controleer via de ECHA-database of vanadium (CAS-nummer afhankelijk van de specifieke verbinding, bijv. V₂O₅ CAS 1314-62-1 of vanadiumhoudende stof) reeds is geregistreerd door een andere rechtspersoon. Zo ja → voorwaarde 1 vervuld. Zo nee → Phoenix Metals moet zelf registreren.</w:t>
            </w:r>
          </w:p>
        </w:tc>
      </w:tr>
      <w:tr>
        <w:tc>
          <w:tcPr>
            <w:tcW w:type="dxa" w:w="2880"/>
          </w:tcPr>
          <w:p>
            <w:r>
              <w:t>2. De teruggewonnen stof is identiek aan de geregistreerde stof</w:t>
            </w:r>
          </w:p>
        </w:tc>
        <w:tc>
          <w:tcPr>
            <w:tcW w:type="dxa" w:w="2880"/>
          </w:tcPr>
          <w:p>
            <w:r>
              <w:t>Art. 2(7)(d), tweede streepje; ECHA Richtsnoer identificatie en naamgeving v3.0 (december 2023)</w:t>
            </w:r>
          </w:p>
        </w:tc>
        <w:tc>
          <w:tcPr>
            <w:tcW w:type="dxa" w:w="2880"/>
          </w:tcPr>
          <w:p>
            <w:r>
              <w:t>Stofidentiteit (SIP) moet overeenkomen. Dit omvat: chemische samenstelling, concentratiebereiken van hoofdbestanddelen en onzuiverheden, analytische data (XRD, ICP-OES, XRF). Zie §4.4.</w:t>
            </w:r>
          </w:p>
        </w:tc>
      </w:tr>
      <w:tr>
        <w:tc>
          <w:tcPr>
            <w:tcW w:type="dxa" w:w="2880"/>
          </w:tcPr>
          <w:p>
            <w:r>
              <w:t>3. De vereiste informatie is beschikbaar bij de terugwinner</w:t>
            </w:r>
          </w:p>
        </w:tc>
        <w:tc>
          <w:tcPr>
            <w:tcW w:type="dxa" w:w="2880"/>
          </w:tcPr>
          <w:p>
            <w:r>
              <w:t>Art. 2(7)(d), derde streepje</w:t>
            </w:r>
          </w:p>
        </w:tc>
        <w:tc>
          <w:tcPr>
            <w:tcW w:type="dxa" w:w="2880"/>
          </w:tcPr>
          <w:p>
            <w:r>
              <w:t>Phoenix Metals moet beschikken over: (a) een geldig veiligheidsinformatieblad (SDS) van de oorspronkelijke geregistreerde stof, óf (b) de informatie uit het registratiedossier. Dit stelt Phoenix Metals in staat om het risico adequaat te beheren en een SDS op te stellen voor downstream users.</w:t>
            </w:r>
          </w:p>
        </w:tc>
      </w:tr>
    </w:tbl>
    <w:p/>
    <w:p>
      <w:pPr>
        <w:pStyle w:val="Heading3"/>
      </w:pPr>
      <w:r>
        <w:t>Strategische inschatting Phoenix Metals</w:t>
      </w:r>
    </w:p>
    <w:p>
      <w:r>
        <w:t>De toepasselijkheid van artikel 2(7)(d) is sterk afhankelijk van de vraag of het vanadiumhalffabrikaat "identiek" is aan een reeds geregistreerde vanadiumstof. Dit is het kritieke analysepunt:</w:t>
      </w:r>
    </w:p>
    <w:p>
      <w:pPr>
        <w:pStyle w:val="ListBullet"/>
      </w:pPr>
      <w:r>
        <w:t>Indien Phoenix Metals puur vanadium of een standaard vanadiumverbinding (zoals V₂O₅) produceert die overeenkomt met een reeds geregistreerde stof → vrijstelling toepasselijk.</w:t>
      </w:r>
    </w:p>
    <w:p>
      <w:pPr>
        <w:pStyle w:val="ListBullet"/>
      </w:pPr>
      <w:r>
        <w:t>Indien het terugwinningsproces een specifieke samenstelling oplevert die afwijkt van geregistreerde stoffen (bijv. andere onzuiverheden, andere concentratiebereiken, UVCB-karakter) → Phoenix Metals moet een eigen registratie indienen.</w:t>
      </w:r>
    </w:p>
    <w:p>
      <w:pPr>
        <w:pStyle w:val="ListBullet"/>
      </w:pPr>
      <w:r>
        <w:t>Vanadium uit staalslakken kan sporen bevatten van chroom, mangaan, silicium en andere metalen. De onzuiverhedenprofiel-bepaling is daarom essentieel voor de stofidentiteitsbeoordeling.</w:t>
      </w:r>
    </w:p>
    <w:p>
      <w:pPr>
        <w:pStyle w:val="Heading2"/>
      </w:pPr>
      <w:r>
        <w:t>4.3 Chemische en toxicologische data-eisen</w:t>
      </w:r>
    </w:p>
    <w:p>
      <w:r>
        <w:t>Indien Phoenix Metals een volledige registratie moet indienen (artikel 2(7)(d) niet van toepassing), zijn de volgende data vereist, afhankelijk van de tonnageband:</w:t>
      </w:r>
    </w:p>
    <w:tbl>
      <w:tblPr>
        <w:tblStyle w:val="TableGrid"/>
        <w:tblW w:type="auto" w:w="0"/>
        <w:tblLook w:firstColumn="1" w:firstRow="1" w:lastColumn="0" w:lastRow="0" w:noHBand="0" w:noVBand="1" w:val="04A0"/>
      </w:tblPr>
      <w:tblGrid>
        <w:gridCol w:w="4320"/>
        <w:gridCol w:w="4320"/>
      </w:tblGrid>
      <w:tr>
        <w:tc>
          <w:tcPr>
            <w:tcW w:type="dxa" w:w="4320"/>
          </w:tcPr>
          <w:p>
            <w:r>
              <w:rPr>
                <w:b/>
              </w:rPr>
              <w:t>Datacategorie</w:t>
            </w:r>
          </w:p>
        </w:tc>
        <w:tc>
          <w:tcPr>
            <w:tcW w:type="dxa" w:w="4320"/>
          </w:tcPr>
          <w:p>
            <w:r>
              <w:rPr>
                <w:b/>
              </w:rPr>
              <w:t>Reikwijdte (minimum Bijlage VII bij 1-10 ton)</w:t>
            </w:r>
          </w:p>
        </w:tc>
      </w:tr>
      <w:tr>
        <w:tc>
          <w:tcPr>
            <w:tcW w:type="dxa" w:w="4320"/>
          </w:tcPr>
          <w:p>
            <w:r>
              <w:t>Fysisch-chemische eigenschappen</w:t>
            </w:r>
          </w:p>
        </w:tc>
        <w:tc>
          <w:tcPr>
            <w:tcW w:type="dxa" w:w="4320"/>
          </w:tcPr>
          <w:p>
            <w:r>
              <w:t>Smeltpunt, kookpunt, dichtheid, wateroplosbaarheid, verdelingscoëfficiënt, ontvlambaarheid, explosiegevaar, oxidatie-eigenschappen (REACH Bijlage VII, punten 7.1-7.15).</w:t>
            </w:r>
          </w:p>
        </w:tc>
      </w:tr>
      <w:tr>
        <w:tc>
          <w:tcPr>
            <w:tcW w:type="dxa" w:w="4320"/>
          </w:tcPr>
          <w:p>
            <w:r>
              <w:t>Toxicologische data</w:t>
            </w:r>
          </w:p>
        </w:tc>
        <w:tc>
          <w:tcPr>
            <w:tcW w:type="dxa" w:w="4320"/>
          </w:tcPr>
          <w:p>
            <w:r>
              <w:t>Acute toxiciteit (oraal/dermaal/inhalatie), huidirritatie, oogirritatie, huidsensibilisatie, mutageniteit (in vitro Ames test), cytogeneticiteit (REACH Bijlage VII, punten 8.1-8.5).</w:t>
            </w:r>
          </w:p>
        </w:tc>
      </w:tr>
      <w:tr>
        <w:tc>
          <w:tcPr>
            <w:tcW w:type="dxa" w:w="4320"/>
          </w:tcPr>
          <w:p>
            <w:r>
              <w:t>Ecotoxicologische data</w:t>
            </w:r>
          </w:p>
        </w:tc>
        <w:tc>
          <w:tcPr>
            <w:tcW w:type="dxa" w:w="4320"/>
          </w:tcPr>
          <w:p>
            <w:r>
              <w:t>Korte-termijn toxiciteit voor Daphnia magna, groeiremming algae, afbraakbaarheid (REACH Bijlage VII, punten 9.1-9.2).</w:t>
            </w:r>
          </w:p>
        </w:tc>
      </w:tr>
      <w:tr>
        <w:tc>
          <w:tcPr>
            <w:tcW w:type="dxa" w:w="4320"/>
          </w:tcPr>
          <w:p>
            <w:r>
              <w:t>Stofidentificatie</w:t>
            </w:r>
          </w:p>
        </w:tc>
        <w:tc>
          <w:tcPr>
            <w:tcW w:type="dxa" w:w="4320"/>
          </w:tcPr>
          <w:p>
            <w:r>
              <w:t>Analytische methoden, spectrale data,zuiverheidsprofiel, onzuiverheden ≥1% of relevant voor classificatie/PBT (REACH Bijlage VI, punt 2).</w:t>
            </w:r>
          </w:p>
        </w:tc>
      </w:tr>
      <w:tr>
        <w:tc>
          <w:tcPr>
            <w:tcW w:type="dxa" w:w="4320"/>
          </w:tcPr>
          <w:p>
            <w:r>
              <w:t>Chemische veiligheidsrapport (CSR)</w:t>
            </w:r>
          </w:p>
        </w:tc>
        <w:tc>
          <w:tcPr>
            <w:tcW w:type="dxa" w:w="4320"/>
          </w:tcPr>
          <w:p>
            <w:r>
              <w:t>Verplicht bij tonnage ≥10 ton/jaar (REACH artikel 14). Bevat gevarenidentificatie, dosis-respons, blootstellingsbeoordeling en risicokarakterisering.</w:t>
            </w:r>
          </w:p>
        </w:tc>
      </w:tr>
    </w:tbl>
    <w:p/>
    <w:p>
      <w:r>
        <w:t>Referentie: REACH Bijlagen VI-X; ECHA Richtsnoer voor registratie v4.0, subparagraaf 2.2.3.5; ECHA Practical Guide: How to develop and prepare a Substance Identity Profile (SIP).</w:t>
      </w:r>
    </w:p>
    <w:p>
      <w:pPr>
        <w:pStyle w:val="Heading2"/>
      </w:pPr>
      <w:r>
        <w:t>4.4 Stofidentiteit / Substance Identity Profile (SIP)</w:t>
      </w:r>
    </w:p>
    <w:p>
      <w:r>
        <w:t>Het Stofidentiteitsprofiel (SIP) is het centrale instrument binnen REACH voor het vaststellen van de identiteit van een stof. Het SIP is bepalend voor (1) de toepasselijkheid van artikel 2(7)(d), (2) het OSOR-beginsel (One Substance, One Registration), en (3) de classificatie volgens CLP.</w:t>
      </w:r>
    </w:p>
    <w:p>
      <w:pPr>
        <w:pStyle w:val="Heading3"/>
      </w:pPr>
      <w:r>
        <w:t>Voor Phoenix Metals is het SIP kritiek om drie redenen:</w:t>
      </w:r>
    </w:p>
    <w:p>
      <w:pPr>
        <w:pStyle w:val="ListBullet"/>
      </w:pPr>
      <w:r>
        <w:t>Identiteitsbewijs: Het SIP bepaalt of het vanadiumhalffabrikaat "dezelfde stof" is als een reeds geregistreerde vanadiumstof. Alleen bij identiteit geldt de vrijstelling van art. 2(7)(d).</w:t>
      </w:r>
    </w:p>
    <w:p>
      <w:pPr>
        <w:pStyle w:val="ListBullet"/>
      </w:pPr>
      <w:r>
        <w:t>Onzuiverheden: Vanadium uit staalslakken bevat sporenelementen (Cr, Mn, Si, Fe, Ca, Mg). Deze onzuiverheden moeten worden gekarakteriseerd. Onzuiverheden ≥1% moeten worden gespecificeerd; onzuiverheden &lt;1% moeten worden gespecificeerd indien relevant voor classificatie of PBT-beoordeling (ECHA Richtsnoer identificatie v3.0, §4.2).</w:t>
      </w:r>
    </w:p>
    <w:p>
      <w:pPr>
        <w:pStyle w:val="ListBullet"/>
      </w:pPr>
      <w:r>
        <w:t>UVCB-classificatie: Indien de samenstelling van het halffabrikaat variabel is (afhankelijk van de samenstelling van de input-staalslak), kwalificeert het mogelijk als UVCB-stof (Substance of Unknown or Variable composition). Dit heeft gevolgen voor de naamgeving ("Reactiemassa van...") en de SIP-documentatie.</w:t>
      </w:r>
    </w:p>
    <w:p>
      <w:r>
        <w:t>Het SIP moet bevatten: IUPAC-naam, CAS-nummer, EG-nummer, molecuulformule, structuurformule, samenstelling (concentraties hoofdbestanddelen en onzuiverheden), analytische data (XRD, ICP-OES, XRF, SEM-EDS), en bron/procesdescriptoren bij UVCB-stoffen.</w:t>
      </w:r>
    </w:p>
    <w:p>
      <w:r>
        <w:t>Referentie: ECHA Richtsnoer voor identificatie en naamgeving van stoffen volgens REACH en CLP, versie 3.0 (december 2023); REACH Bijlage VI, punt 2; ECHA Practical Guide SIP.</w:t>
      </w:r>
    </w:p>
    <w:p>
      <w:pPr>
        <w:pStyle w:val="Heading2"/>
      </w:pPr>
      <w:r>
        <w:t>4.5 Volledige registratie vs. gerecycleerde-stof notificatie</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Aspect</w:t>
            </w:r>
          </w:p>
        </w:tc>
        <w:tc>
          <w:tcPr>
            <w:tcW w:type="dxa" w:w="2880"/>
          </w:tcPr>
          <w:p>
            <w:r>
              <w:rPr>
                <w:b/>
              </w:rPr>
              <w:t>Volledige registratie</w:t>
            </w:r>
          </w:p>
        </w:tc>
        <w:tc>
          <w:tcPr>
            <w:tcW w:type="dxa" w:w="2880"/>
          </w:tcPr>
          <w:p>
            <w:r>
              <w:rPr>
                <w:b/>
              </w:rPr>
              <w:t>Gerecycleerde stof (art. 2(7)(d))</w:t>
            </w:r>
          </w:p>
        </w:tc>
      </w:tr>
      <w:tr>
        <w:tc>
          <w:tcPr>
            <w:tcW w:type="dxa" w:w="2880"/>
          </w:tcPr>
          <w:p>
            <w:r>
              <w:t>Registratieplicht</w:t>
            </w:r>
          </w:p>
        </w:tc>
        <w:tc>
          <w:tcPr>
            <w:tcW w:type="dxa" w:w="2880"/>
          </w:tcPr>
          <w:p>
            <w:r>
              <w:t>Ja — dossier bij ECHA via REACH-IT</w:t>
            </w:r>
          </w:p>
        </w:tc>
        <w:tc>
          <w:tcPr>
            <w:tcW w:type="dxa" w:w="2880"/>
          </w:tcPr>
          <w:p>
            <w:r>
              <w:t>Nee — vrijstelling</w:t>
            </w:r>
          </w:p>
        </w:tc>
      </w:tr>
      <w:tr>
        <w:tc>
          <w:tcPr>
            <w:tcW w:type="dxa" w:w="2880"/>
          </w:tcPr>
          <w:p>
            <w:r>
              <w:t>Tonnage-drempel</w:t>
            </w:r>
          </w:p>
        </w:tc>
        <w:tc>
          <w:tcPr>
            <w:tcW w:type="dxa" w:w="2880"/>
          </w:tcPr>
          <w:p>
            <w:r>
              <w:t>1 ton/jaar</w:t>
            </w:r>
          </w:p>
        </w:tc>
        <w:tc>
          <w:tcPr>
            <w:tcW w:type="dxa" w:w="2880"/>
          </w:tcPr>
          <w:p>
            <w:r>
              <w:t>Geen (vrijstelling is absoluut)</w:t>
            </w:r>
          </w:p>
        </w:tc>
      </w:tr>
      <w:tr>
        <w:tc>
          <w:tcPr>
            <w:tcW w:type="dxa" w:w="2880"/>
          </w:tcPr>
          <w:p>
            <w:r>
              <w:t>Data-eisen</w:t>
            </w:r>
          </w:p>
        </w:tc>
        <w:tc>
          <w:tcPr>
            <w:tcW w:type="dxa" w:w="2880"/>
          </w:tcPr>
          <w:p>
            <w:r>
              <w:t>Bijlage VII-X afhankelijk van tonnage</w:t>
            </w:r>
          </w:p>
        </w:tc>
        <w:tc>
          <w:tcPr>
            <w:tcW w:type="dxa" w:w="2880"/>
          </w:tcPr>
          <w:p>
            <w:r>
              <w:t>Geen nieuwe data vereist (gebruik bestaand dossier)</w:t>
            </w:r>
          </w:p>
        </w:tc>
      </w:tr>
      <w:tr>
        <w:tc>
          <w:tcPr>
            <w:tcW w:type="dxa" w:w="2880"/>
          </w:tcPr>
          <w:p>
            <w:r>
              <w:t>Kosten</w:t>
            </w:r>
          </w:p>
        </w:tc>
        <w:tc>
          <w:tcPr>
            <w:tcW w:type="dxa" w:w="2880"/>
          </w:tcPr>
          <w:p>
            <w:r>
              <w:t>Hoog (testkosten, dossieropstelling, SIEF-contributie)</w:t>
            </w:r>
          </w:p>
        </w:tc>
        <w:tc>
          <w:tcPr>
            <w:tcW w:type="dxa" w:w="2880"/>
          </w:tcPr>
          <w:p>
            <w:r>
              <w:t>Laag (alleen stofidentiteitsbewijs)</w:t>
            </w:r>
          </w:p>
        </w:tc>
      </w:tr>
      <w:tr>
        <w:tc>
          <w:tcPr>
            <w:tcW w:type="dxa" w:w="2880"/>
          </w:tcPr>
          <w:p>
            <w:r>
              <w:t>SDS-verplichting</w:t>
            </w:r>
          </w:p>
        </w:tc>
        <w:tc>
          <w:tcPr>
            <w:tcW w:type="dxa" w:w="2880"/>
          </w:tcPr>
          <w:p>
            <w:r>
              <w:t>Ja (art. 31)</w:t>
            </w:r>
          </w:p>
        </w:tc>
        <w:tc>
          <w:tcPr>
            <w:tcW w:type="dxa" w:w="2880"/>
          </w:tcPr>
          <w:p>
            <w:r>
              <w:t>Ja (art. 31 blijft van toepassing)</w:t>
            </w:r>
          </w:p>
        </w:tc>
      </w:tr>
      <w:tr>
        <w:tc>
          <w:tcPr>
            <w:tcW w:type="dxa" w:w="2880"/>
          </w:tcPr>
          <w:p>
            <w:r>
              <w:t>Voorwaarde</w:t>
            </w:r>
          </w:p>
        </w:tc>
        <w:tc>
          <w:tcPr>
            <w:tcW w:type="dxa" w:w="2880"/>
          </w:tcPr>
          <w:p>
            <w:r>
              <w:t>Stof voldoet aan definitie art. 3(1)</w:t>
            </w:r>
          </w:p>
        </w:tc>
        <w:tc>
          <w:tcPr>
            <w:tcW w:type="dxa" w:w="2880"/>
          </w:tcPr>
          <w:p>
            <w:r>
              <w:t>Stof identiek aan reeds geregistreerde stof + SDS beschikbaar</w:t>
            </w:r>
          </w:p>
        </w:tc>
      </w:tr>
    </w:tbl>
    <w:p/>
    <w:p>
      <w:r>
        <w:t>Strategisch advies: Phoenix Metals dient in de eerste plaats te onderzoeken of artikel 2(7)(d) toepasselijk is. Dit is aanzienlijk goedkoper en sneller dan een volledige registratie. De sleutelvraag is: is het vanadiumhalffabrikaat identiek aan een reeds geregistreerde stof? Indien niet, is een volledige registratie onvermijdelijk.</w:t>
      </w:r>
    </w:p>
    <w:p>
      <w:r>
        <w:br w:type="page"/>
      </w:r>
    </w:p>
    <w:p>
      <w:pPr>
        <w:pStyle w:val="Heading1"/>
      </w:pPr>
      <w:r>
        <w:t>5. Vergunningseisen</w:t>
      </w:r>
    </w:p>
    <w:p>
      <w:pPr>
        <w:pStyle w:val="Heading2"/>
      </w:pPr>
      <w:r>
        <w:t>5.1 Milieugerelateerde vergunningen</w:t>
      </w:r>
    </w:p>
    <w:p>
      <w:r>
        <w:t>Voor de exploitatie van een installatie voor de terugwinning van vanadium uit staalslakken zijn de volgende milieuvergunningen relevant in het Nederlandse rechtskader:</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Vergunning/Wetgeving</w:t>
            </w:r>
          </w:p>
        </w:tc>
        <w:tc>
          <w:tcPr>
            <w:tcW w:type="dxa" w:w="2880"/>
          </w:tcPr>
          <w:p>
            <w:r>
              <w:rPr>
                <w:b/>
              </w:rPr>
              <w:t>Wettelijke basis</w:t>
            </w:r>
          </w:p>
        </w:tc>
        <w:tc>
          <w:tcPr>
            <w:tcW w:type="dxa" w:w="2880"/>
          </w:tcPr>
          <w:p>
            <w:r>
              <w:rPr>
                <w:b/>
              </w:rPr>
              <w:t>Relevantie voor Phoenix Metals</w:t>
            </w:r>
          </w:p>
        </w:tc>
      </w:tr>
      <w:tr>
        <w:tc>
          <w:tcPr>
            <w:tcW w:type="dxa" w:w="2880"/>
          </w:tcPr>
          <w:p>
            <w:r>
              <w:t>Omgevingsvergunning (milieubelastende activiteit)</w:t>
            </w:r>
          </w:p>
        </w:tc>
        <w:tc>
          <w:tcPr>
            <w:tcW w:type="dxa" w:w="2880"/>
          </w:tcPr>
          <w:p>
            <w:r>
              <w:t>Wet milieubeheer / Omgevingswet (Wm art. 2.1 / Ow art. 5.1)</w:t>
            </w:r>
          </w:p>
        </w:tc>
        <w:tc>
          <w:tcPr>
            <w:tcW w:type="dxa" w:w="2880"/>
          </w:tcPr>
          <w:p>
            <w:r>
              <w:t>VERPLICHT. Het terugwinningsproces (thermisch/chemisch) kwalificeert als een milieubelastende activiteit. Indien de installatie valt onder de categorieën van het Inrichtingen- en Vergunningenbesluit Milieubeheer (IVM/BIM), is een vergunning vereist. De nieuwe Omgevingswet (inwerking 1-1-2024) vervangt de Wm-vergunning door een omgevingsvergunning voor een milieubelastende activiteit.</w:t>
            </w:r>
          </w:p>
        </w:tc>
      </w:tr>
      <w:tr>
        <w:tc>
          <w:tcPr>
            <w:tcW w:type="dxa" w:w="2880"/>
          </w:tcPr>
          <w:p>
            <w:r>
              <w:t>Activiteitenbesluit milieubeheer</w:t>
            </w:r>
          </w:p>
        </w:tc>
        <w:tc>
          <w:tcPr>
            <w:tcW w:type="dxa" w:w="2880"/>
          </w:tcPr>
          <w:p>
            <w:r>
              <w:t>Besluit milieubelastende activiteiten (Bma) / Activiteitenbesluit</w:t>
            </w:r>
          </w:p>
        </w:tc>
        <w:tc>
          <w:tcPr>
            <w:tcW w:type="dxa" w:w="2880"/>
          </w:tcPr>
          <w:p>
            <w:r>
              <w:t>Van toepassing. Het besluit bevat algemene regels voor bedrijven. Afhankelijk van de classificatie van de installatie gelden specifieke emissie-eisen voor lucht, water en bodem.</w:t>
            </w:r>
          </w:p>
        </w:tc>
      </w:tr>
      <w:tr>
        <w:tc>
          <w:tcPr>
            <w:tcW w:type="dxa" w:w="2880"/>
          </w:tcPr>
          <w:p>
            <w:r>
              <w:t>Wet verontreiniging oppervlaktewateren (Wvo)</w:t>
            </w:r>
          </w:p>
        </w:tc>
        <w:tc>
          <w:tcPr>
            <w:tcW w:type="dxa" w:w="2880"/>
          </w:tcPr>
          <w:p>
            <w:r>
              <w:t>Wvo art. 1</w:t>
            </w:r>
          </w:p>
        </w:tc>
        <w:tc>
          <w:tcPr>
            <w:tcW w:type="dxa" w:w="2880"/>
          </w:tcPr>
          <w:p>
            <w:r>
              <w:t>Indien Phoenix Metals afvalwater loost op oppervlaktewater, is een lozingsvergunning vereist. Vanadiumverbindingen zijn potentieel toxisch voor aquatisch leven.</w:t>
            </w:r>
          </w:p>
        </w:tc>
      </w:tr>
      <w:tr>
        <w:tc>
          <w:tcPr>
            <w:tcW w:type="dxa" w:w="2880"/>
          </w:tcPr>
          <w:p>
            <w:r>
              <w:t>Wet bodembescherming</w:t>
            </w:r>
          </w:p>
        </w:tc>
        <w:tc>
          <w:tcPr>
            <w:tcW w:type="dxa" w:w="2880"/>
          </w:tcPr>
          <w:p>
            <w:r>
              <w:t>Wbb</w:t>
            </w:r>
          </w:p>
        </w:tc>
        <w:tc>
          <w:tcPr>
            <w:tcW w:type="dxa" w:w="2880"/>
          </w:tcPr>
          <w:p>
            <w:r>
              <w:t>De installatie moet voldoen aan bodembeschermingsmaatregelen. Bij opslag van vanadiumverbindingen moeten voorzieningen worden getroffen om bodemverontreiniging te voorkomen (vloeistofdichte vloer, opvangbakken).</w:t>
            </w:r>
          </w:p>
        </w:tc>
      </w:tr>
      <w:tr>
        <w:tc>
          <w:tcPr>
            <w:tcW w:type="dxa" w:w="2880"/>
          </w:tcPr>
          <w:p>
            <w:r>
              <w:t>Europese Industriële Emiteregister (E-PRTR)</w:t>
            </w:r>
          </w:p>
        </w:tc>
        <w:tc>
          <w:tcPr>
            <w:tcW w:type="dxa" w:w="2880"/>
          </w:tcPr>
          <w:p>
            <w:r>
              <w:t>Verordening (EG) 166/2006</w:t>
            </w:r>
          </w:p>
        </w:tc>
        <w:tc>
          <w:tcPr>
            <w:tcW w:type="dxa" w:w="2880"/>
          </w:tcPr>
          <w:p>
            <w:r>
              <w:t>Indien de productiecapaciteit boven de drempelwaarden valt, moet Phoenix Metals emissies rapporteren. Voor "metallurgische installaties" geldt een drempel van 20 ton/jaar voor vanadium en verbindingen.</w:t>
            </w:r>
          </w:p>
        </w:tc>
      </w:tr>
    </w:tbl>
    <w:p>
      <w:pPr>
        <w:pStyle w:val="Heading2"/>
      </w:pPr>
      <w:r>
        <w:t>5.2 BRZO/Seveso toepasselijkheid</w:t>
      </w:r>
    </w:p>
    <w:p>
      <w:r>
        <w:t>De toepasselijkheid van het Besluit risico's zware ongevallen (BRZO 2015, implementatie van Seveso-III richtlijn 2012/18/EU) is afhankelijk van de aard en hoeveelheid van de opgeslagen stoffen.</w:t>
      </w:r>
    </w:p>
    <w:p>
      <w:r>
        <w:t>Voor vanadiumverbindingen gelden de volgende overwegingen:</w:t>
      </w:r>
    </w:p>
    <w:p>
      <w:pPr>
        <w:pStyle w:val="ListBullet"/>
      </w:pPr>
      <w:r>
        <w:t>Vanadiumpentoxide (V₂O₅) is ingedeeld als Acute Tox. 2 (oraal), Acute Tox. 3 (inhalatie), Carc. 1B, Mut. 2, Repr. 2, STOT RE 1. Deze classificatie plaatst V₂O₅ in Seveso-categorie H1 (toxisch) of categorie 1 (carcinogeen).</w:t>
      </w:r>
    </w:p>
    <w:p>
      <w:pPr>
        <w:pStyle w:val="ListBullet"/>
      </w:pPr>
      <w:r>
        <w:t>Indien Phoenix Metals meer dan 5 ton V₂O₅ (of equivalente vanadiumverbinding) opslaat, valt de inrichting onder de lage drempelwaarde van BRZO. Bij meer dan 20 ton geldt de hoge drempelwaarde met strengere eisen (veiligheidsrapport, extern noodplan).</w:t>
      </w:r>
    </w:p>
    <w:p>
      <w:pPr>
        <w:pStyle w:val="ListBullet"/>
      </w:pPr>
      <w:r>
        <w:t>Indien het vanadiumhalffabrikaat een andere chemische vorm heeft (bijv. vanadiumtrioxide, vanadylsulfaat), moet de specifieke classificatie worden vastgesteld om de Seveso-categorie te bepalen.</w:t>
      </w:r>
    </w:p>
    <w:p>
      <w:pPr>
        <w:pStyle w:val="ListBullet"/>
      </w:pPr>
      <w:r>
        <w:t>Strategisch advies: Phoenix Metals MOET de BRZO-drempelwaarden berekenen zodra de chemische identiteit en opslagcapaciteit bekend zijn. Indien BRZO van toepassing is, heeft dit vergaande consequenties voor de inrichting van het terrein, veiligheidsmanagement en informatieverplichtingen richting overheid en omwonenden.</w:t>
      </w:r>
    </w:p>
    <w:p>
      <w:pPr>
        <w:pStyle w:val="Heading2"/>
      </w:pPr>
      <w:r>
        <w:t>5.3 REACH en vergunningen: interactie</w:t>
      </w:r>
    </w:p>
    <w:p>
      <w:r>
        <w:t>REACH-verplichtingen en milieuvergunningen opereren in parallelle wettelijke kaders, maar beïnvloeden elkaar op de volgende punten:</w:t>
      </w:r>
    </w:p>
    <w:p>
      <w:pPr>
        <w:pStyle w:val="ListBullet"/>
      </w:pPr>
      <w:r>
        <w:t>Een REACH-registratie (of toepasselijke vrijstelling) is een voorwaarde voor het wettig in de handel brengen van een stof. De omgevingsvergunning regelt de exploitatie van de installatie. Beide zijn vereist.</w:t>
      </w:r>
    </w:p>
    <w:p>
      <w:pPr>
        <w:pStyle w:val="ListBullet"/>
      </w:pPr>
      <w:r>
        <w:t>De chemische veiligheidsbeoordeling (CSA/CSR) uit het REACH-dossier kan dienen als input voor de risicobeoordeling in het kader van de omgevingsvergunning.</w:t>
      </w:r>
    </w:p>
    <w:p>
      <w:pPr>
        <w:pStyle w:val="ListBullet"/>
      </w:pPr>
      <w:r>
        <w:t>Het veiligheidsinformatieblad (SDS) moet beschikbaar zijn voor de vergunningverlener (gemeente/provincie) als onderdeel van het vergunningsdossier.</w:t>
      </w:r>
    </w:p>
    <w:p>
      <w:pPr>
        <w:pStyle w:val="ListBullet"/>
      </w:pPr>
      <w:r>
        <w:t>Indien BRZO van toepassing is, moet het veiligheidsrapport rekening houden met de eigenschappen van de vanadiumverbindingen zoals vastgelegd in het REACH-dossier en de CLP-classificatie.</w:t>
      </w:r>
    </w:p>
    <w:p>
      <w:pPr>
        <w:pStyle w:val="Heading2"/>
      </w:pPr>
      <w:r>
        <w:t>5.4 Opslag en transport van vanadiumverbindingen</w:t>
      </w:r>
    </w:p>
    <w:p>
      <w:r>
        <w:t>Afhankelijk van de specifieke vanadiumverbinding die Phoenix Metals produceert, gelden de volgende aanvullende eisen:</w:t>
      </w:r>
    </w:p>
    <w:p>
      <w:pPr>
        <w:pStyle w:val="ListBullet"/>
      </w:pPr>
      <w:r>
        <w:t>CLP-etikettering: Alle verpakkingen van het vanadiumhalffabrikaat moeten zijn voorzien van het correcte CLP-etiket (gevarenpictogrammen, H/P-zinnen, UFI indien het een mengsel betreft).</w:t>
      </w:r>
    </w:p>
    <w:p>
      <w:pPr>
        <w:pStyle w:val="ListBullet"/>
      </w:pPr>
      <w:r>
        <w:t>ADR/IMDG/IATA: Indien het vanadiumhalffabrikaat als gevaarlijk goed wordt ingedeeld (afhankelijk van de chemische vorm en fysische eigenschappen), gelden de transportregels van ADR (weg), IMDG (zee) en IATA (lucht). V₂O₅ is ADR-klasse 6.1 (UN 2862).</w:t>
      </w:r>
    </w:p>
    <w:p>
      <w:pPr>
        <w:pStyle w:val="ListBullet"/>
      </w:pPr>
      <w:r>
        <w:t>Opslag: Afhankelijk van de gevarencategorie moeten opslagvoorzieningen voldoen aan specifieke eisen (PGS 15 voor opslag van gevaarlijke stoffen, vloeistofdichte opvang, ventilatie, brandpreventie).</w:t>
      </w:r>
    </w:p>
    <w:p>
      <w:pPr>
        <w:pStyle w:val="ListBullet"/>
      </w:pPr>
      <w:r>
        <w:t>Worker protection: Blootstelling van werknemers aan vanadiumverbindingen moet worden geminimaliseerd conform de Arbowetgeving en de OEL (Occupational Exposure Limit) voor vanadiumpentoxide-stof (0,05 mg/m³ als TWA-8h in Nederland).</w:t>
      </w:r>
    </w:p>
    <w:p>
      <w:r>
        <w:br w:type="page"/>
      </w:r>
    </w:p>
    <w:p>
      <w:pPr>
        <w:pStyle w:val="Heading1"/>
      </w:pPr>
      <w:r>
        <w:t>6. Risico-inschatting &amp; Supply Chain</w:t>
      </w:r>
    </w:p>
    <w:p>
      <w:pPr>
        <w:pStyle w:val="Heading2"/>
      </w:pPr>
      <w:r>
        <w:t>6.1 REACH-verplichtingen richting downstream users</w:t>
      </w:r>
    </w:p>
    <w:p>
      <w:r>
        <w:t>Phoenix Metals heeft als producent/leverancier van een stof de volgende REACH-verplichtingen richting downstream users (artikel 1, lid 3 REACH; artikel 31, 32, 34 en 35):</w:t>
      </w:r>
    </w:p>
    <w:p>
      <w:pPr>
        <w:pStyle w:val="ListBullet"/>
      </w:pPr>
      <w:r>
        <w:t>SDS-verstrekking: Phoenix Metals MOET een SDS verstrekken aan elke downstream user die het vanadiumhalffabrikaat afneemt, indien de stof voldoet aan de criteria van artikel 31, lid 1 (gevaarlijk volgens CLP, PBT/vPvB, of op de kandidatenlijst SVHC).</w:t>
      </w:r>
    </w:p>
    <w:p>
      <w:pPr>
        <w:pStyle w:val="ListBullet"/>
      </w:pPr>
      <w:r>
        <w:t>Blootstellingsscenario's: Indien Phoenix Metals een CSR heeft opgesteld (bij tonnage ≥10 ton/jaar), moeten de blootstellingsscenario's als bijlage bij het SDS worden verstrekt (artikel 31, lid 7).</w:t>
      </w:r>
    </w:p>
    <w:p>
      <w:pPr>
        <w:pStyle w:val="ListBullet"/>
      </w:pPr>
      <w:r>
        <w:t>Informatie over "safe use": Het SDS moet informatie bevatten over veilig gebruik, waaronder risicobeheersmaatregelen, geschikte persoonlijke beschermingsmiddelen en eerste-hulpmaatregelen.</w:t>
      </w:r>
    </w:p>
    <w:p>
      <w:pPr>
        <w:pStyle w:val="ListBullet"/>
      </w:pPr>
      <w:r>
        <w:t>Toegang tot registratie-informatie: Downstream users hebben recht op toegang tot relevante informatie uit het registratiedossier, in het bijzonder de aanbevolen risicobeheersmaatregelen (artikel 32).</w:t>
      </w:r>
    </w:p>
    <w:p>
      <w:pPr>
        <w:pStyle w:val="ListBullet"/>
      </w:pPr>
      <w:r>
        <w:t>Doorvoer van nieuwe informatie: Indien nieuwe informatie over de risico's van de stof beschikbaar komt, moet Phoenix Metals het SDS bijwerken en de bijgewerkte versie verstrekken aan alle afnemers die de stof in de afgelopen 12 maanden hebben afgenomen (artikel 31, lid 9).</w:t>
      </w:r>
    </w:p>
    <w:p>
      <w:pPr>
        <w:pStyle w:val="Heading2"/>
      </w:pPr>
      <w:r>
        <w:t>6.2 Veiligheidsinformatieblad (SDS/e-VIB)</w:t>
      </w:r>
    </w:p>
    <w:p>
      <w:r>
        <w:t>Phoenix Metals MOET een SDS opstellen overeenkomstig REACH artikel 31 en Bijlage II. Het SDS moet de standaard 16-sectie structuur volgen:</w:t>
      </w:r>
    </w:p>
    <w:p>
      <w:pPr>
        <w:pStyle w:val="ListBullet"/>
      </w:pPr>
      <w:r>
        <w:t>1. Identificatie van de stof/het mengsel en van de vennootschap/onderneming</w:t>
      </w:r>
    </w:p>
    <w:p>
      <w:pPr>
        <w:pStyle w:val="ListBullet"/>
      </w:pPr>
      <w:r>
        <w:t>2. Identificatie van de gevaren</w:t>
      </w:r>
    </w:p>
    <w:p>
      <w:pPr>
        <w:pStyle w:val="ListBullet"/>
      </w:pPr>
      <w:r>
        <w:t>3. Samenstelling en informatie over de bestanddelen</w:t>
      </w:r>
    </w:p>
    <w:p>
      <w:pPr>
        <w:pStyle w:val="ListBullet"/>
      </w:pPr>
      <w:r>
        <w:t>4. Eerstehulpmaatregelen</w:t>
      </w:r>
    </w:p>
    <w:p>
      <w:pPr>
        <w:pStyle w:val="ListBullet"/>
      </w:pPr>
      <w:r>
        <w:t>5. Brandbestrijdingsmaatregelen</w:t>
      </w:r>
    </w:p>
    <w:p>
      <w:pPr>
        <w:pStyle w:val="ListBullet"/>
      </w:pPr>
      <w:r>
        <w:t>6. Maatregelen bij het vrijkomen per ongeluk</w:t>
      </w:r>
    </w:p>
    <w:p>
      <w:pPr>
        <w:pStyle w:val="ListBullet"/>
      </w:pPr>
      <w:r>
        <w:t>7. Hantering en opslag</w:t>
      </w:r>
    </w:p>
    <w:p>
      <w:pPr>
        <w:pStyle w:val="ListBullet"/>
      </w:pPr>
      <w:r>
        <w:t>8. Maatregelen ter beheersing van blootstelling/persoonlijke bescherming</w:t>
      </w:r>
    </w:p>
    <w:p>
      <w:pPr>
        <w:pStyle w:val="ListBullet"/>
      </w:pPr>
      <w:r>
        <w:t>9. Fysische en chemische eigenschappen</w:t>
      </w:r>
    </w:p>
    <w:p>
      <w:pPr>
        <w:pStyle w:val="ListBullet"/>
      </w:pPr>
      <w:r>
        <w:t>10. Stabiliteit en reactiviteit</w:t>
      </w:r>
    </w:p>
    <w:p>
      <w:pPr>
        <w:pStyle w:val="ListBullet"/>
      </w:pPr>
      <w:r>
        <w:t>11. Toxicologische informatie</w:t>
      </w:r>
    </w:p>
    <w:p>
      <w:pPr>
        <w:pStyle w:val="ListBullet"/>
      </w:pPr>
      <w:r>
        <w:t>12. Ecologische informatie</w:t>
      </w:r>
    </w:p>
    <w:p>
      <w:pPr>
        <w:pStyle w:val="ListBullet"/>
      </w:pPr>
      <w:r>
        <w:t>13. Instructies voor verwijdering</w:t>
      </w:r>
    </w:p>
    <w:p>
      <w:pPr>
        <w:pStyle w:val="ListBullet"/>
      </w:pPr>
      <w:r>
        <w:t>14. Informatie met betrekking tot het vervoer</w:t>
      </w:r>
    </w:p>
    <w:p>
      <w:pPr>
        <w:pStyle w:val="ListBullet"/>
      </w:pPr>
      <w:r>
        <w:t>15. Wettelijk verplichte informatie</w:t>
      </w:r>
    </w:p>
    <w:p>
      <w:pPr>
        <w:pStyle w:val="ListBullet"/>
      </w:pPr>
      <w:r>
        <w:t>16. Overige informatie</w:t>
      </w:r>
    </w:p>
    <w:p/>
    <w:p>
      <w:r>
        <w:t>Referentie: REACH artikel 31 en Bijlage II; ECHA Richtsnoer voor het samenstellen van veiligheidsinformatiebladen, versie 4.0 (december 2020). Het SDS moet worden opgesteld in de taal van de lidstaat waar de stof in de handel wordt gebracht (voor Nederland: Nederlands). Indien de downstream user in een andere lidstaat is gevestigd, moet het SDS ook in die taal beschikbaar zijn.</w:t>
      </w:r>
    </w:p>
    <w:p>
      <w:pPr>
        <w:pStyle w:val="Heading2"/>
      </w:pPr>
      <w:r>
        <w:t>6.3 Registratieplichten van de afnemer (elektrolyt-producent)</w:t>
      </w:r>
    </w:p>
    <w:p>
      <w:r>
        <w:t>De elektrolyt-producent die het vanadiumhalffabrikaat van Phoenix Metals betrekt, kwalificeert als "downstream user" (DU) in de zin van artikel 3, lid 13 REACH. De DU-verplichtingen omvatten:</w:t>
      </w:r>
    </w:p>
    <w:p>
      <w:pPr>
        <w:pStyle w:val="ListBullet"/>
      </w:pPr>
      <w:r>
        <w:t>De DU hoeft de stof NIET te registreren — dit is de plicht van de fabrikant/importeur (Phoenix Metals of de oorspronkelijke registrant).</w:t>
      </w:r>
    </w:p>
    <w:p>
      <w:pPr>
        <w:pStyle w:val="ListBullet"/>
      </w:pPr>
      <w:r>
        <w:t>De DU MOET voldoen aan de voorwaarden van het SDS en de blootstellingsscenario's (indien van toepassing).</w:t>
      </w:r>
    </w:p>
    <w:p>
      <w:pPr>
        <w:pStyle w:val="ListBullet"/>
      </w:pPr>
      <w:r>
        <w:t>De DU MOET een chemisch veiligheidsrapport (CSR) opstellen voor zijn eigen gebruik, uitsluitend indien: (a) het gebruik buiten de blootstellingsscenario's van de leverancier valt, of (b) de DU een stof in hoeveelheden ≥1 ton/jaar gebruikt voor een toepassing die niet door de leverancier is geïdentificeerd (artikel 37, lid 4).</w:t>
      </w:r>
    </w:p>
    <w:p>
      <w:pPr>
        <w:pStyle w:val="ListBullet"/>
      </w:pPr>
      <w:r>
        <w:t>Indien de elektrolyt-producent het vanadiumhalffabrikaat verwerkt tot een mengsel (elektrolyt), is hij verantwoordelijk voor de classificatie en etikettering van dat mengsel volgens CLP.</w:t>
      </w:r>
    </w:p>
    <w:p>
      <w:pPr>
        <w:pStyle w:val="ListBullet"/>
      </w:pPr>
      <w:r>
        <w:t>De elektrolyt-producent moet zijn eigen SDS opstellen voor het elektrolyt en dit doorgeven aan zijn afnemers (VRFB-fabrikanten of eindgebruikers).</w:t>
      </w:r>
    </w:p>
    <w:p>
      <w:r>
        <w:t>Referentie: REACH artikel 37; ECHA Richtsnoer voor downstream users, versie 2.0.</w:t>
      </w:r>
    </w:p>
    <w:p>
      <w:pPr>
        <w:pStyle w:val="Heading2"/>
      </w:pPr>
      <w:r>
        <w:t>6.4 Safe use en blootstellingsscenario's</w:t>
      </w:r>
    </w:p>
    <w:p>
      <w:r>
        <w:t>Blootstellingsscenario's (ES) zijn verplicht onderdeel van het CSR en het SDS bij tonnage ≥10 ton/jaar (REACH artikel 14 en 31). Een ES beschrijft de "safe use" condities voor een stof in de gehele levenscyclus. Voor Phoenix Metals en de toeleveringsketen betekent dit:</w:t>
      </w:r>
    </w:p>
    <w:p>
      <w:pPr>
        <w:pStyle w:val="ListBullet"/>
      </w:pPr>
      <w:r>
        <w:t>Phoenix Metals moet (bij tonnage ≥10 ton/jaar) een CSA uitvoeren en blootstellingsscenario's opstellen voor de identificerede gebruiksvormen: (1) het terugwinningsproces zelf, (2) het gebruik als halffabrikaat door de elektrolyt-producent, en (3) eventuele andere downstream toepassingen.</w:t>
      </w:r>
    </w:p>
    <w:p>
      <w:pPr>
        <w:pStyle w:val="ListBullet"/>
      </w:pPr>
      <w:r>
        <w:t>Het ES moet bevatten: operationele voorwaarden (PROC-codes), milieu-emissiecategorieën (ERC-codes), en risicobeheersmaatregelen.</w:t>
      </w:r>
    </w:p>
    <w:p>
      <w:pPr>
        <w:pStyle w:val="ListBullet"/>
      </w:pPr>
      <w:r>
        <w:t>De downstream user (elektrolyt-producent) moet aantonen dat zijn gebruik binnen het ES valt. Indien niet, moet hij een eigen ES opstellen of zijn gebruik melden aan Phoenix Metals (artikel 37, lid 2).</w:t>
      </w:r>
    </w:p>
    <w:p>
      <w:pPr>
        <w:pStyle w:val="ListBullet"/>
      </w:pPr>
      <w:r>
        <w:t>In de praktijk kan Phoenix Metals de communicatie in de keten stroomlijnen door een "ES voor downstream users" op te stellen dat de verwachte verwerking van het vanadiumhalffabrikaat tot elektrolyt afdekt.</w:t>
      </w:r>
    </w:p>
    <w:p>
      <w:r>
        <w:br w:type="page"/>
      </w:r>
    </w:p>
    <w:p>
      <w:pPr>
        <w:pStyle w:val="Heading1"/>
      </w:pPr>
      <w:r>
        <w:t>7. Strategisch Actieplan — Aanbevelingen</w:t>
      </w:r>
    </w:p>
    <w:p>
      <w:r>
        <w:t>Op basis van de bovenstaande analyse volgt hieronder een geprioriteerd actieplan voor Phoenix Metals: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w:t>
            </w:r>
          </w:p>
        </w:tc>
        <w:tc>
          <w:tcPr>
            <w:tcW w:type="dxa" w:w="2160"/>
          </w:tcPr>
          <w:p>
            <w:r>
              <w:rPr>
                <w:b/>
              </w:rPr>
              <w:t>Actie</w:t>
            </w:r>
          </w:p>
        </w:tc>
        <w:tc>
          <w:tcPr>
            <w:tcW w:type="dxa" w:w="2160"/>
          </w:tcPr>
          <w:p>
            <w:r>
              <w:rPr>
                <w:b/>
              </w:rPr>
              <w:t>Prioriteit</w:t>
            </w:r>
          </w:p>
        </w:tc>
        <w:tc>
          <w:tcPr>
            <w:tcW w:type="dxa" w:w="2160"/>
          </w:tcPr>
          <w:p>
            <w:r>
              <w:rPr>
                <w:b/>
              </w:rPr>
              <w:t>Deadline</w:t>
            </w:r>
          </w:p>
        </w:tc>
      </w:tr>
      <w:tr>
        <w:tc>
          <w:tcPr>
            <w:tcW w:type="dxa" w:w="2160"/>
          </w:tcPr>
          <w:p>
            <w:r>
              <w:t>1</w:t>
            </w:r>
          </w:p>
        </w:tc>
        <w:tc>
          <w:tcPr>
            <w:tcW w:type="dxa" w:w="2160"/>
          </w:tcPr>
          <w:p>
            <w:r>
              <w:t>Chemische karakterisering van het vanadiumhalffabrikaat (XRD, ICP-OES, XRF, SEM-EDS)</w:t>
            </w:r>
          </w:p>
        </w:tc>
        <w:tc>
          <w:tcPr>
            <w:tcW w:type="dxa" w:w="2160"/>
          </w:tcPr>
          <w:p>
            <w:r>
              <w:t>KRITIEK</w:t>
            </w:r>
          </w:p>
        </w:tc>
        <w:tc>
          <w:tcPr>
            <w:tcW w:type="dxa" w:w="2160"/>
          </w:tcPr>
          <w:p>
            <w:r>
              <w:t>Week 1-4</w:t>
            </w:r>
          </w:p>
        </w:tc>
      </w:tr>
      <w:tr>
        <w:tc>
          <w:tcPr>
            <w:tcW w:type="dxa" w:w="2160"/>
          </w:tcPr>
          <w:p>
            <w:r>
              <w:t>2</w:t>
            </w:r>
          </w:p>
        </w:tc>
        <w:tc>
          <w:tcPr>
            <w:tcW w:type="dxa" w:w="2160"/>
          </w:tcPr>
          <w:p>
            <w:r>
              <w:t>ECHA-database check: Is de teruggewonnen vanadiumstof reeds geregistreerd?</w:t>
            </w:r>
          </w:p>
        </w:tc>
        <w:tc>
          <w:tcPr>
            <w:tcW w:type="dxa" w:w="2160"/>
          </w:tcPr>
          <w:p>
            <w:r>
              <w:t>KRITIEK</w:t>
            </w:r>
          </w:p>
        </w:tc>
        <w:tc>
          <w:tcPr>
            <w:tcW w:type="dxa" w:w="2160"/>
          </w:tcPr>
          <w:p>
            <w:r>
              <w:t>Week 1-2</w:t>
            </w:r>
          </w:p>
        </w:tc>
      </w:tr>
      <w:tr>
        <w:tc>
          <w:tcPr>
            <w:tcW w:type="dxa" w:w="2160"/>
          </w:tcPr>
          <w:p>
            <w:r>
              <w:t>3</w:t>
            </w:r>
          </w:p>
        </w:tc>
        <w:tc>
          <w:tcPr>
            <w:tcW w:type="dxa" w:w="2160"/>
          </w:tcPr>
          <w:p>
            <w:r>
              <w:t>SIP-opstelling en identiteitsvergelijking met geregistreerde stoffen</w:t>
            </w:r>
          </w:p>
        </w:tc>
        <w:tc>
          <w:tcPr>
            <w:tcW w:type="dxa" w:w="2160"/>
          </w:tcPr>
          <w:p>
            <w:r>
              <w:t>KRITIEK</w:t>
            </w:r>
          </w:p>
        </w:tc>
        <w:tc>
          <w:tcPr>
            <w:tcW w:type="dxa" w:w="2160"/>
          </w:tcPr>
          <w:p>
            <w:r>
              <w:t>Week 3-6</w:t>
            </w:r>
          </w:p>
        </w:tc>
      </w:tr>
      <w:tr>
        <w:tc>
          <w:tcPr>
            <w:tcW w:type="dxa" w:w="2160"/>
          </w:tcPr>
          <w:p>
            <w:r>
              <w:t>4</w:t>
            </w:r>
          </w:p>
        </w:tc>
        <w:tc>
          <w:tcPr>
            <w:tcW w:type="dxa" w:w="2160"/>
          </w:tcPr>
          <w:p>
            <w:r>
              <w:t>EoW-dossier opstellen: bewijsvoering voor einde-afvalcriteria (art. 6 KRA)</w:t>
            </w:r>
          </w:p>
        </w:tc>
        <w:tc>
          <w:tcPr>
            <w:tcW w:type="dxa" w:w="2160"/>
          </w:tcPr>
          <w:p>
            <w:r>
              <w:t>KRITIEK</w:t>
            </w:r>
          </w:p>
        </w:tc>
        <w:tc>
          <w:tcPr>
            <w:tcW w:type="dxa" w:w="2160"/>
          </w:tcPr>
          <w:p>
            <w:r>
              <w:t>Week 2-8</w:t>
            </w:r>
          </w:p>
        </w:tc>
      </w:tr>
      <w:tr>
        <w:tc>
          <w:tcPr>
            <w:tcW w:type="dxa" w:w="2160"/>
          </w:tcPr>
          <w:p>
            <w:r>
              <w:t>5</w:t>
            </w:r>
          </w:p>
        </w:tc>
        <w:tc>
          <w:tcPr>
            <w:tcW w:type="dxa" w:w="2160"/>
          </w:tcPr>
          <w:p>
            <w:r>
              <w:t>CLP-classificatie van het vanadiumhalffabrikaat</w:t>
            </w:r>
          </w:p>
        </w:tc>
        <w:tc>
          <w:tcPr>
            <w:tcW w:type="dxa" w:w="2160"/>
          </w:tcPr>
          <w:p>
            <w:r>
              <w:t>HOOG</w:t>
            </w:r>
          </w:p>
        </w:tc>
        <w:tc>
          <w:tcPr>
            <w:tcW w:type="dxa" w:w="2160"/>
          </w:tcPr>
          <w:p>
            <w:r>
              <w:t>Week 4-6</w:t>
            </w:r>
          </w:p>
        </w:tc>
      </w:tr>
      <w:tr>
        <w:tc>
          <w:tcPr>
            <w:tcW w:type="dxa" w:w="2160"/>
          </w:tcPr>
          <w:p>
            <w:r>
              <w:t>6</w:t>
            </w:r>
          </w:p>
        </w:tc>
        <w:tc>
          <w:tcPr>
            <w:tcW w:type="dxa" w:w="2160"/>
          </w:tcPr>
          <w:p>
            <w:r>
              <w:t>SDS opstellen (16-sectie structuur, REACH Bijlage II)</w:t>
            </w:r>
          </w:p>
        </w:tc>
        <w:tc>
          <w:tcPr>
            <w:tcW w:type="dxa" w:w="2160"/>
          </w:tcPr>
          <w:p>
            <w:r>
              <w:t>HOOG</w:t>
            </w:r>
          </w:p>
        </w:tc>
        <w:tc>
          <w:tcPr>
            <w:tcW w:type="dxa" w:w="2160"/>
          </w:tcPr>
          <w:p>
            <w:r>
              <w:t>Week 6-8</w:t>
            </w:r>
          </w:p>
        </w:tc>
      </w:tr>
      <w:tr>
        <w:tc>
          <w:tcPr>
            <w:tcW w:type="dxa" w:w="2160"/>
          </w:tcPr>
          <w:p>
            <w:r>
              <w:t>7</w:t>
            </w:r>
          </w:p>
        </w:tc>
        <w:tc>
          <w:tcPr>
            <w:tcW w:type="dxa" w:w="2160"/>
          </w:tcPr>
          <w:p>
            <w:r>
              <w:t>Aanvraag omgevingsvergunning milieubelastende activiteit</w:t>
            </w:r>
          </w:p>
        </w:tc>
        <w:tc>
          <w:tcPr>
            <w:tcW w:type="dxa" w:w="2160"/>
          </w:tcPr>
          <w:p>
            <w:r>
              <w:t>HOOG</w:t>
            </w:r>
          </w:p>
        </w:tc>
        <w:tc>
          <w:tcPr>
            <w:tcW w:type="dxa" w:w="2160"/>
          </w:tcPr>
          <w:p>
            <w:r>
              <w:t>Week 4-12</w:t>
            </w:r>
          </w:p>
        </w:tc>
      </w:tr>
      <w:tr>
        <w:tc>
          <w:tcPr>
            <w:tcW w:type="dxa" w:w="2160"/>
          </w:tcPr>
          <w:p>
            <w:r>
              <w:t>8</w:t>
            </w:r>
          </w:p>
        </w:tc>
        <w:tc>
          <w:tcPr>
            <w:tcW w:type="dxa" w:w="2160"/>
          </w:tcPr>
          <w:p>
            <w:r>
              <w:t>BRZO-analyse: berekening opslagdrempels en classificatie</w:t>
            </w:r>
          </w:p>
        </w:tc>
        <w:tc>
          <w:tcPr>
            <w:tcW w:type="dxa" w:w="2160"/>
          </w:tcPr>
          <w:p>
            <w:r>
              <w:t>HOOG</w:t>
            </w:r>
          </w:p>
        </w:tc>
        <w:tc>
          <w:tcPr>
            <w:tcW w:type="dxa" w:w="2160"/>
          </w:tcPr>
          <w:p>
            <w:r>
              <w:t>Week 6-8</w:t>
            </w:r>
          </w:p>
        </w:tc>
      </w:tr>
    </w:tbl>
    <w:p>
      <w:r>
        <w:br w:type="page"/>
      </w:r>
    </w:p>
    <w:p>
      <w:pPr>
        <w:pStyle w:val="Heading1"/>
      </w:pPr>
      <w:r>
        <w:t>8. Referenties</w:t>
      </w:r>
    </w:p>
    <w:p>
      <w:pPr>
        <w:pStyle w:val="ListBullet"/>
      </w:pPr>
      <w:r>
        <w:t>REACH-verordening (Verordening (EG) nr. 1907/2006), artikel 2, 3, 5, 6, 14, 31, 32, 34, 35, 37; Bijlagen I-X.</w:t>
      </w:r>
    </w:p>
    <w:p>
      <w:pPr>
        <w:pStyle w:val="ListBullet"/>
      </w:pPr>
      <w:r>
        <w:t>CLP-verordening (Verordening (EG) nr. 1272/2008), artikel 4; Bijlagen I-VIII.</w:t>
      </w:r>
    </w:p>
    <w:p>
      <w:pPr>
        <w:pStyle w:val="ListBullet"/>
      </w:pPr>
      <w:r>
        <w:t>Kaderrichtlijn Afval (Richtlijn 2008/98/EG), artikel 6.</w:t>
      </w:r>
    </w:p>
    <w:p>
      <w:pPr>
        <w:pStyle w:val="ListBullet"/>
      </w:pPr>
      <w:r>
        <w:t>Seveso-III richtlijn (Richtlijn 2012/18/EU).</w:t>
      </w:r>
    </w:p>
    <w:p>
      <w:pPr>
        <w:pStyle w:val="ListBullet"/>
      </w:pPr>
      <w:r>
        <w:t>ECHA (2021), Richtsnoer voor registratie, versie 4.0, augustus 2021. Referentie: ECHA-21-G-07-NL.</w:t>
      </w:r>
    </w:p>
    <w:p>
      <w:pPr>
        <w:pStyle w:val="ListBullet"/>
      </w:pPr>
      <w:r>
        <w:t>ECHA (2023), Richtsnoer voor identificatie en naamgeving van stoffen volgens REACH en CLP, versie 3.0, december 2023. Referentie: ECHA-23-H-07-NL.</w:t>
      </w:r>
    </w:p>
    <w:p>
      <w:pPr>
        <w:pStyle w:val="ListBullet"/>
      </w:pPr>
      <w:r>
        <w:t>ECHA (2020), Richtsnoer voor het samenstellen van veiligheidsinformatiebladen, versie 4.0, december 2020. Referentie: ECHA-20-H-25-EN.</w:t>
      </w:r>
    </w:p>
    <w:p>
      <w:pPr>
        <w:pStyle w:val="ListBullet"/>
      </w:pPr>
      <w:r>
        <w:t>ECHA, Guidance on waste and recovered substances. Beschikbaar via: https://echa.europa.eu/guidance-documents/guidance-on-reach.</w:t>
      </w:r>
    </w:p>
    <w:p>
      <w:pPr>
        <w:pStyle w:val="ListBullet"/>
      </w:pPr>
      <w:r>
        <w:t>ECHA, Practical Guide: How to develop and prepare a Substance Identity Profile (SIP).</w:t>
      </w:r>
    </w:p>
    <w:p>
      <w:pPr>
        <w:pStyle w:val="ListBullet"/>
      </w:pPr>
      <w:r>
        <w:t>ECHA, Guidance on the preparation of an Annex XV dossier for the identification of SVHC, versie 2.1, oktober 2018.</w:t>
      </w:r>
    </w:p>
    <w:p>
      <w:pPr>
        <w:pStyle w:val="ListBullet"/>
      </w:pPr>
      <w:r>
        <w:t>Besluit risico's zware ongevallen (BRZO 2015), Stb. 2015, 338.</w:t>
      </w:r>
    </w:p>
    <w:p>
      <w:pPr>
        <w:pStyle w:val="ListBullet"/>
      </w:pPr>
      <w:r>
        <w:t>Wet milieubeheer / Omgevingswet (inwerking 1 januari 2024).</w:t>
      </w:r>
    </w:p>
    <w:p>
      <w:pPr>
        <w:pStyle w:val="ListBullet"/>
      </w:pPr>
      <w:r>
        <w:t>Activiteitenbesluit milieubeheer / Besluit milieubelastende activiteiten (Bma).</w:t>
      </w:r>
    </w:p>
    <w:p>
      <w:pPr>
        <w:pStyle w:val="ListBullet"/>
      </w:pPr>
      <w:r>
        <w:t>ADR (Accord européen relatif au transport international des marchandises Dangereuses par Route).</w:t>
      </w:r>
    </w:p>
    <w:p/>
    <w:p>
      <w:pPr>
        <w:jc w:val="center"/>
      </w:pPr>
      <w:r>
        <w:rPr>
          <w:b/>
          <w:color w:val="003D6B"/>
          <w:sz w:val="28"/>
        </w:rPr>
        <w:t>— EINDE DOCUMENT —</w:t>
      </w:r>
    </w:p>
    <w:p/>
    <w:p>
      <w:pPr>
        <w:jc w:val="center"/>
      </w:pPr>
      <w:r>
        <w:rPr>
          <w:color w:val="999999"/>
          <w:sz w:val="18"/>
        </w:rPr>
        <w:t>JvG Consultancy | REACH_Kennisdossier_Phoenix_Metals_D1_v1.0 | 16 april 2026 | Vertrouwelijk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D6B"/>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D6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D6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