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003366"/>
          <w:sz w:val="56"/>
        </w:rPr>
        <w:t>REACH Master SOP</w:t>
      </w:r>
    </w:p>
    <w:p>
      <w:pPr>
        <w:jc w:val="center"/>
      </w:pPr>
      <w:r>
        <w:rPr>
          <w:color w:val="003366"/>
          <w:sz w:val="44"/>
        </w:rPr>
        <w:t>Phoenix Metals</w:t>
      </w:r>
    </w:p>
    <w:p>
      <w:pPr>
        <w:jc w:val="center"/>
      </w:pPr>
      <w:r>
        <w:rPr>
          <w:color w:val="646464"/>
          <w:sz w:val="32"/>
        </w:rPr>
        <w:t>Versie 4.0</w:t>
      </w:r>
    </w:p>
    <w:p/>
    <w:p>
      <w:pPr>
        <w:jc w:val="center"/>
      </w:pPr>
      <w:r>
        <w:rPr>
          <w:sz w:val="22"/>
        </w:rPr>
        <w:t>Documentcode: PM-REACH-SOP-001</w:t>
      </w:r>
    </w:p>
    <w:p>
      <w:pPr>
        <w:jc w:val="center"/>
      </w:pPr>
      <w:r>
        <w:rPr>
          <w:sz w:val="22"/>
        </w:rPr>
        <w:t>Datum: 19 april 2026</w:t>
      </w:r>
    </w:p>
    <w:p/>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val="clear"/>
          </w:tcPr>
          <w:p>
            <w:pPr>
              <w:jc w:val="center"/>
            </w:pPr>
            <w:r>
              <w:rPr>
                <w:b/>
                <w:color w:val="FFFFFF"/>
                <w:sz w:val="18"/>
              </w:rPr>
              <w:t>Rol</w:t>
            </w:r>
          </w:p>
        </w:tc>
        <w:tc>
          <w:tcPr>
            <w:tcW w:type="dxa" w:w="2160"/>
            <w:shd w:fill="003366" w:val="clear"/>
          </w:tcPr>
          <w:p>
            <w:pPr>
              <w:jc w:val="center"/>
            </w:pPr>
            <w:r>
              <w:rPr>
                <w:b/>
                <w:color w:val="FFFFFF"/>
                <w:sz w:val="18"/>
              </w:rPr>
              <w:t>Naam</w:t>
            </w:r>
          </w:p>
        </w:tc>
        <w:tc>
          <w:tcPr>
            <w:tcW w:type="dxa" w:w="2160"/>
            <w:shd w:fill="003366" w:val="clear"/>
          </w:tcPr>
          <w:p>
            <w:pPr>
              <w:jc w:val="center"/>
            </w:pPr>
            <w:r>
              <w:rPr>
                <w:b/>
                <w:color w:val="FFFFFF"/>
                <w:sz w:val="18"/>
              </w:rPr>
              <w:t>Datum</w:t>
            </w:r>
          </w:p>
        </w:tc>
        <w:tc>
          <w:tcPr>
            <w:tcW w:type="dxa" w:w="2160"/>
            <w:shd w:fill="003366" w:val="clear"/>
          </w:tcPr>
          <w:p>
            <w:pPr>
              <w:jc w:val="center"/>
            </w:pPr>
            <w:r>
              <w:rPr>
                <w:b/>
                <w:color w:val="FFFFFF"/>
                <w:sz w:val="18"/>
              </w:rPr>
              <w:t>Handtekening</w:t>
            </w:r>
          </w:p>
        </w:tc>
      </w:tr>
      <w:tr>
        <w:tc>
          <w:tcPr>
            <w:tcW w:type="dxa" w:w="2160"/>
          </w:tcPr>
          <w:p>
            <w:r>
              <w:rPr>
                <w:sz w:val="18"/>
              </w:rPr>
              <w:t>Opsteller</w:t>
            </w:r>
          </w:p>
        </w:tc>
        <w:tc>
          <w:tcPr>
            <w:tcW w:type="dxa" w:w="2160"/>
          </w:tcPr>
          <w:p>
            <w:r>
              <w:rPr>
                <w:sz w:val="18"/>
              </w:rPr>
              <w:t>J. van Gemert, HSEQ Specialist</w:t>
            </w:r>
          </w:p>
        </w:tc>
        <w:tc>
          <w:tcPr>
            <w:tcW w:type="dxa" w:w="2160"/>
          </w:tcPr>
          <w:p>
            <w:r>
              <w:rPr>
                <w:sz w:val="18"/>
              </w:rPr>
              <w:t>19-04-2026</w:t>
            </w:r>
          </w:p>
        </w:tc>
        <w:tc>
          <w:tcPr>
            <w:tcW w:type="dxa" w:w="2160"/>
          </w:tcPr>
          <w:p>
            <w:r>
              <w:rPr>
                <w:sz w:val="18"/>
              </w:rPr>
            </w:r>
          </w:p>
        </w:tc>
      </w:tr>
      <w:tr>
        <w:tc>
          <w:tcPr>
            <w:tcW w:type="dxa" w:w="2160"/>
            <w:shd w:fill="E8EEF4" w:val="clear"/>
          </w:tcPr>
          <w:p>
            <w:r>
              <w:rPr>
                <w:sz w:val="18"/>
              </w:rPr>
              <w:t>Reviewer</w:t>
            </w:r>
          </w:p>
        </w:tc>
        <w:tc>
          <w:tcPr>
            <w:tcW w:type="dxa" w:w="2160"/>
            <w:shd w:fill="E8EEF4" w:val="clear"/>
          </w:tcPr>
          <w:p>
            <w:r>
              <w:rPr>
                <w:sz w:val="18"/>
              </w:rPr>
            </w:r>
          </w:p>
        </w:tc>
        <w:tc>
          <w:tcPr>
            <w:tcW w:type="dxa" w:w="2160"/>
            <w:shd w:fill="E8EEF4" w:val="clear"/>
          </w:tcPr>
          <w:p>
            <w:r>
              <w:rPr>
                <w:sz w:val="18"/>
              </w:rPr>
            </w:r>
          </w:p>
        </w:tc>
        <w:tc>
          <w:tcPr>
            <w:tcW w:type="dxa" w:w="2160"/>
            <w:shd w:fill="E8EEF4" w:val="clear"/>
          </w:tcPr>
          <w:p>
            <w:r>
              <w:rPr>
                <w:sz w:val="18"/>
              </w:rPr>
            </w:r>
          </w:p>
        </w:tc>
      </w:tr>
      <w:tr>
        <w:tc>
          <w:tcPr>
            <w:tcW w:type="dxa" w:w="2160"/>
          </w:tcPr>
          <w:p>
            <w:r>
              <w:rPr>
                <w:sz w:val="18"/>
              </w:rPr>
              <w:t>Goedkeuring (Directie)</w:t>
            </w:r>
          </w:p>
        </w:tc>
        <w:tc>
          <w:tcPr>
            <w:tcW w:type="dxa" w:w="2160"/>
          </w:tcPr>
          <w:p>
            <w:r>
              <w:rPr>
                <w:sz w:val="18"/>
              </w:rPr>
            </w:r>
          </w:p>
        </w:tc>
        <w:tc>
          <w:tcPr>
            <w:tcW w:type="dxa" w:w="2160"/>
          </w:tcPr>
          <w:p>
            <w:r>
              <w:rPr>
                <w:sz w:val="18"/>
              </w:rPr>
            </w:r>
          </w:p>
        </w:tc>
        <w:tc>
          <w:tcPr>
            <w:tcW w:type="dxa" w:w="2160"/>
          </w:tcPr>
          <w:p>
            <w:r>
              <w:rPr>
                <w:sz w:val="18"/>
              </w:rPr>
            </w:r>
          </w:p>
        </w:tc>
      </w:tr>
    </w:tbl>
    <w:p>
      <w:r>
        <w:br w:type="page"/>
      </w:r>
    </w:p>
    <w:p>
      <w:pPr>
        <w:pStyle w:val="Heading1"/>
      </w:pPr>
      <w:r>
        <w:t>Revisiegeschiedenis</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val="clear"/>
          </w:tcPr>
          <w:p>
            <w:pPr>
              <w:jc w:val="center"/>
            </w:pPr>
            <w:r>
              <w:rPr>
                <w:b/>
                <w:color w:val="FFFFFF"/>
                <w:sz w:val="18"/>
              </w:rPr>
              <w:t>Versie</w:t>
            </w:r>
          </w:p>
        </w:tc>
        <w:tc>
          <w:tcPr>
            <w:tcW w:type="dxa" w:w="2160"/>
            <w:shd w:fill="003366" w:val="clear"/>
          </w:tcPr>
          <w:p>
            <w:pPr>
              <w:jc w:val="center"/>
            </w:pPr>
            <w:r>
              <w:rPr>
                <w:b/>
                <w:color w:val="FFFFFF"/>
                <w:sz w:val="18"/>
              </w:rPr>
              <w:t>Datum</w:t>
            </w:r>
          </w:p>
        </w:tc>
        <w:tc>
          <w:tcPr>
            <w:tcW w:type="dxa" w:w="2160"/>
            <w:shd w:fill="003366" w:val="clear"/>
          </w:tcPr>
          <w:p>
            <w:pPr>
              <w:jc w:val="center"/>
            </w:pPr>
            <w:r>
              <w:rPr>
                <w:b/>
                <w:color w:val="FFFFFF"/>
                <w:sz w:val="18"/>
              </w:rPr>
              <w:t>Auteur</w:t>
            </w:r>
          </w:p>
        </w:tc>
        <w:tc>
          <w:tcPr>
            <w:tcW w:type="dxa" w:w="2160"/>
            <w:shd w:fill="003366" w:val="clear"/>
          </w:tcPr>
          <w:p>
            <w:pPr>
              <w:jc w:val="center"/>
            </w:pPr>
            <w:r>
              <w:rPr>
                <w:b/>
                <w:color w:val="FFFFFF"/>
                <w:sz w:val="18"/>
              </w:rPr>
              <w:t>Wijzigingen</w:t>
            </w:r>
          </w:p>
        </w:tc>
      </w:tr>
      <w:tr>
        <w:tc>
          <w:tcPr>
            <w:tcW w:type="dxa" w:w="2160"/>
          </w:tcPr>
          <w:p>
            <w:r>
              <w:rPr>
                <w:sz w:val="18"/>
              </w:rPr>
              <w:t>1.0</w:t>
            </w:r>
          </w:p>
        </w:tc>
        <w:tc>
          <w:tcPr>
            <w:tcW w:type="dxa" w:w="2160"/>
          </w:tcPr>
          <w:p>
            <w:r>
              <w:rPr>
                <w:sz w:val="18"/>
              </w:rPr>
              <w:t>Maart 2026</w:t>
            </w:r>
          </w:p>
        </w:tc>
        <w:tc>
          <w:tcPr>
            <w:tcW w:type="dxa" w:w="2160"/>
          </w:tcPr>
          <w:p>
            <w:r>
              <w:rPr>
                <w:sz w:val="18"/>
              </w:rPr>
              <w:t>J. van Gemert</w:t>
            </w:r>
          </w:p>
        </w:tc>
        <w:tc>
          <w:tcPr>
            <w:tcW w:type="dxa" w:w="2160"/>
          </w:tcPr>
          <w:p>
            <w:r>
              <w:rPr>
                <w:sz w:val="18"/>
              </w:rPr>
              <w:t>Eerste opzet</w:t>
            </w:r>
          </w:p>
        </w:tc>
      </w:tr>
      <w:tr>
        <w:tc>
          <w:tcPr>
            <w:tcW w:type="dxa" w:w="2160"/>
            <w:shd w:fill="E8EEF4" w:val="clear"/>
          </w:tcPr>
          <w:p>
            <w:r>
              <w:rPr>
                <w:sz w:val="18"/>
              </w:rPr>
              <w:t>2.0</w:t>
            </w:r>
          </w:p>
        </w:tc>
        <w:tc>
          <w:tcPr>
            <w:tcW w:type="dxa" w:w="2160"/>
            <w:shd w:fill="E8EEF4" w:val="clear"/>
          </w:tcPr>
          <w:p>
            <w:r>
              <w:rPr>
                <w:sz w:val="18"/>
              </w:rPr>
              <w:t>Maart 2026</w:t>
            </w:r>
          </w:p>
        </w:tc>
        <w:tc>
          <w:tcPr>
            <w:tcW w:type="dxa" w:w="2160"/>
            <w:shd w:fill="E8EEF4" w:val="clear"/>
          </w:tcPr>
          <w:p>
            <w:r>
              <w:rPr>
                <w:sz w:val="18"/>
              </w:rPr>
              <w:t>J. van Gemert</w:t>
            </w:r>
          </w:p>
        </w:tc>
        <w:tc>
          <w:tcPr>
            <w:tcW w:type="dxa" w:w="2160"/>
            <w:shd w:fill="E8EEF4" w:val="clear"/>
          </w:tcPr>
          <w:p>
            <w:r>
              <w:rPr>
                <w:sz w:val="18"/>
              </w:rPr>
              <w:t>Uitbreiding SOP-01 t/m SOP-05</w:t>
            </w:r>
          </w:p>
        </w:tc>
      </w:tr>
      <w:tr>
        <w:tc>
          <w:tcPr>
            <w:tcW w:type="dxa" w:w="2160"/>
          </w:tcPr>
          <w:p>
            <w:r>
              <w:rPr>
                <w:sz w:val="18"/>
              </w:rPr>
              <w:t>3.0</w:t>
            </w:r>
          </w:p>
        </w:tc>
        <w:tc>
          <w:tcPr>
            <w:tcW w:type="dxa" w:w="2160"/>
          </w:tcPr>
          <w:p>
            <w:r>
              <w:rPr>
                <w:sz w:val="18"/>
              </w:rPr>
              <w:t>April 2026</w:t>
            </w:r>
          </w:p>
        </w:tc>
        <w:tc>
          <w:tcPr>
            <w:tcW w:type="dxa" w:w="2160"/>
          </w:tcPr>
          <w:p>
            <w:r>
              <w:rPr>
                <w:sz w:val="18"/>
              </w:rPr>
              <w:t>J. van Gemert</w:t>
            </w:r>
          </w:p>
        </w:tc>
        <w:tc>
          <w:tcPr>
            <w:tcW w:type="dxa" w:w="2160"/>
          </w:tcPr>
          <w:p>
            <w:r>
              <w:rPr>
                <w:sz w:val="18"/>
              </w:rPr>
              <w:t>Toevoeging PPORD, Audit, bijlagen</w:t>
            </w:r>
          </w:p>
        </w:tc>
      </w:tr>
      <w:tr>
        <w:tc>
          <w:tcPr>
            <w:tcW w:type="dxa" w:w="2160"/>
            <w:shd w:fill="E8EEF4" w:val="clear"/>
          </w:tcPr>
          <w:p>
            <w:r>
              <w:rPr>
                <w:sz w:val="18"/>
              </w:rPr>
              <w:t>4.0</w:t>
            </w:r>
          </w:p>
        </w:tc>
        <w:tc>
          <w:tcPr>
            <w:tcW w:type="dxa" w:w="2160"/>
            <w:shd w:fill="E8EEF4" w:val="clear"/>
          </w:tcPr>
          <w:p>
            <w:r>
              <w:rPr>
                <w:sz w:val="18"/>
              </w:rPr>
              <w:t>19-04-2026</w:t>
            </w:r>
          </w:p>
        </w:tc>
        <w:tc>
          <w:tcPr>
            <w:tcW w:type="dxa" w:w="2160"/>
            <w:shd w:fill="E8EEF4" w:val="clear"/>
          </w:tcPr>
          <w:p>
            <w:r>
              <w:rPr>
                <w:sz w:val="18"/>
              </w:rPr>
              <w:t>J. van Gemert</w:t>
            </w:r>
          </w:p>
        </w:tc>
        <w:tc>
          <w:tcPr>
            <w:tcW w:type="dxa" w:w="2160"/>
            <w:shd w:fill="E8EEF4" w:val="clear"/>
          </w:tcPr>
          <w:p>
            <w:r>
              <w:rPr>
                <w:sz w:val="18"/>
              </w:rPr>
              <w:t>Volledige herschrijving; afstemming D1-D3 v4.0</w:t>
            </w:r>
          </w:p>
        </w:tc>
      </w:tr>
    </w:tbl>
    <w:p/>
    <w:p>
      <w:pPr>
        <w:pStyle w:val="Heading1"/>
      </w:pPr>
      <w:r>
        <w:t>Inhoudsopgave</w:t>
      </w:r>
    </w:p>
    <w:p>
      <w:pPr>
        <w:spacing w:after="40"/>
      </w:pPr>
      <w:r>
        <w:t>1. Doel &amp; Scope</w:t>
      </w:r>
    </w:p>
    <w:p>
      <w:pPr>
        <w:spacing w:after="40"/>
      </w:pPr>
      <w:r>
        <w:t>2. Definities &amp; Afkortingen</w:t>
      </w:r>
    </w:p>
    <w:p>
      <w:pPr>
        <w:spacing w:after="40"/>
      </w:pPr>
      <w:r>
        <w:t>3. SOP-01: Stofidentificatie &amp; Registratie</w:t>
      </w:r>
    </w:p>
    <w:p>
      <w:pPr>
        <w:spacing w:after="40"/>
      </w:pPr>
      <w:r>
        <w:t>4. SOP-02: SDS-beheer</w:t>
      </w:r>
    </w:p>
    <w:p>
      <w:pPr>
        <w:spacing w:after="40"/>
      </w:pPr>
      <w:r>
        <w:t>5. SOP-03: CMR-Protocol</w:t>
      </w:r>
    </w:p>
    <w:p>
      <w:pPr>
        <w:spacing w:after="40"/>
      </w:pPr>
      <w:r>
        <w:t>6. SOP-04: CLP &amp; Etikettering</w:t>
      </w:r>
    </w:p>
    <w:p>
      <w:pPr>
        <w:spacing w:after="40"/>
      </w:pPr>
      <w:r>
        <w:t>7. SOP-05: REACH-Registratie Voorbereiding</w:t>
      </w:r>
    </w:p>
    <w:p>
      <w:pPr>
        <w:spacing w:after="40"/>
      </w:pPr>
      <w:r>
        <w:t>8. SOP-06: PPORD-melding</w:t>
      </w:r>
    </w:p>
    <w:p>
      <w:pPr>
        <w:spacing w:after="40"/>
      </w:pPr>
      <w:r>
        <w:t>9. SOP-07: Audit &amp; Compliance Check</w:t>
      </w:r>
    </w:p>
    <w:p>
      <w:pPr>
        <w:spacing w:after="40"/>
      </w:pPr>
      <w:r>
        <w:t>10. Bijlagen</w:t>
      </w:r>
    </w:p>
    <w:p>
      <w:pPr>
        <w:spacing w:after="40"/>
      </w:pPr>
      <w:r>
        <w:t>11. Bronverwijzingen</w:t>
      </w:r>
    </w:p>
    <w:p>
      <w:r>
        <w:br w:type="page"/>
      </w:r>
    </w:p>
    <w:p>
      <w:pPr>
        <w:pStyle w:val="Heading1"/>
      </w:pPr>
      <w:r>
        <w:t>1. Doel &amp; Scope</w:t>
      </w:r>
    </w:p>
    <w:p>
      <w:pPr>
        <w:pStyle w:val="Heading2"/>
      </w:pPr>
      <w:r>
        <w:t>1.1 Doel</w:t>
      </w:r>
    </w:p>
    <w:p>
      <w:r>
        <w:t>Dit document is de Master Standard Operating Procedure (SOP) voor REACH-compliance bij Phoenix Metals. Het biedt operationele procedures voor de naleving van Verordening (EG) nr. 1907/2006 (REACH) en Verordening (EG) nr. 1272/2008 (CLP), toegespitst op de vanadium-recovery proceslijn.</w:t>
      </w:r>
    </w:p>
    <w:p>
      <w:r>
        <w:t>Het document fungeert als centraal sturingsinstrument voor alle REACH-gerelateerde werkzaamheden en is ontworpen voor dagelijks gebruik door operationeel personeel, de HSEQ-functionaris en het management.</w:t>
      </w:r>
    </w:p>
    <w:p>
      <w:pPr>
        <w:pStyle w:val="Heading2"/>
      </w:pPr>
      <w:r>
        <w:t>1.2 Scope</w:t>
      </w:r>
    </w:p>
    <w:p>
      <w:r>
        <w:t>De scope van deze SOP omvat twee fasen:</w:t>
      </w:r>
    </w:p>
    <w:p>
      <w:pPr>
        <w:pStyle w:val="ListBullet"/>
      </w:pPr>
      <w:r>
        <w:t>Demonstratiefase: laboratoriumschaal verwerking van SARU-ash (max. 60 kg) tot vanadium oxide sulfaat. Tonnage blijft ver beneden de 1 ton/jaar REACH-drempel.</w:t>
      </w:r>
    </w:p>
    <w:p>
      <w:pPr>
        <w:pStyle w:val="ListBullet"/>
      </w:pPr>
      <w:r>
        <w:t>Voorbereiding commerciële fase: opschaling naar industriële productie. REACH-registratieverplichtingen worden geactiveerd zodra de productie ≥ 1 ton/jaar bedraagt.</w:t>
      </w:r>
    </w:p>
    <w:p>
      <w:pPr>
        <w:pStyle w:val="Heading2"/>
      </w:pPr>
      <w:r>
        <w:t>1.3 Toepasselijkheid</w:t>
      </w:r>
    </w:p>
    <w:p>
      <w:r>
        <w:t>Deze SOP is van toepassing op alle medewerkers van Phoenix Metals die betrokken zijn bij de inkoop, opslag, verwerking, of afvoer van chemische stoffen. Dit omvat operationeel personeel, laboratoriummedewerkers, de HSEQ-functionaris en leidinggevenden.</w:t>
      </w:r>
    </w:p>
    <w:p>
      <w:pPr>
        <w:pStyle w:val="Heading2"/>
      </w:pPr>
      <w:r>
        <w:t>1.4 Referentiekader</w:t>
      </w:r>
    </w:p>
    <w:p>
      <w:pPr>
        <w:pStyle w:val="ListBullet"/>
      </w:pPr>
      <w:r>
        <w:t>Verordening (EG) nr. 1907/2006 — REACH</w:t>
      </w:r>
    </w:p>
    <w:p>
      <w:pPr>
        <w:pStyle w:val="ListBullet"/>
      </w:pPr>
      <w:r>
        <w:t>Verordening (EG) nr. 1272/2008 — CLP</w:t>
      </w:r>
    </w:p>
    <w:p>
      <w:pPr>
        <w:pStyle w:val="ListBullet"/>
      </w:pPr>
      <w:r>
        <w:t>Richtsnoer voor registratie (ECHA, v4.0, augustus 2021)</w:t>
      </w:r>
    </w:p>
    <w:p>
      <w:pPr>
        <w:pStyle w:val="ListBullet"/>
      </w:pPr>
      <w:r>
        <w:t>Guidance on labelling and packaging (ECHA, v4.2, maart 2021)</w:t>
      </w:r>
    </w:p>
    <w:p>
      <w:pPr>
        <w:pStyle w:val="ListBullet"/>
      </w:pPr>
      <w:r>
        <w:t>PGS 15 — Opslag van gevaarlijke stoffen</w:t>
      </w:r>
    </w:p>
    <w:p>
      <w:pPr>
        <w:pStyle w:val="ListBullet"/>
      </w:pPr>
      <w:r>
        <w:t>Arbowet / Arbobesluit — Titel 3 (gevaarlijke stoffen)</w:t>
      </w:r>
    </w:p>
    <w:p>
      <w:r>
        <w:br w:type="page"/>
      </w:r>
    </w:p>
    <w:p>
      <w:pPr>
        <w:pStyle w:val="Heading1"/>
      </w:pPr>
      <w:r>
        <w:t>2. Definities &amp; Afkortingen</w:t>
      </w:r>
    </w:p>
    <w:tbl>
      <w:tblPr>
        <w:tblStyle w:val="TableGrid"/>
        <w:tblW w:type="auto" w:w="0"/>
        <w:jc w:val="center"/>
        <w:tblLook w:firstColumn="1" w:firstRow="1" w:lastColumn="0" w:lastRow="0" w:noHBand="0" w:noVBand="1" w:val="04A0"/>
      </w:tblPr>
      <w:tblGrid>
        <w:gridCol w:w="4320"/>
        <w:gridCol w:w="4320"/>
      </w:tblGrid>
      <w:tr>
        <w:tc>
          <w:tcPr>
            <w:tcW w:type="dxa" w:w="4320"/>
            <w:shd w:fill="003366" w:val="clear"/>
          </w:tcPr>
          <w:p>
            <w:pPr>
              <w:jc w:val="center"/>
            </w:pPr>
            <w:r>
              <w:rPr>
                <w:b/>
                <w:color w:val="FFFFFF"/>
                <w:sz w:val="18"/>
              </w:rPr>
              <w:t>Term / Afkorting</w:t>
            </w:r>
          </w:p>
        </w:tc>
        <w:tc>
          <w:tcPr>
            <w:tcW w:type="dxa" w:w="4320"/>
            <w:shd w:fill="003366" w:val="clear"/>
          </w:tcPr>
          <w:p>
            <w:pPr>
              <w:jc w:val="center"/>
            </w:pPr>
            <w:r>
              <w:rPr>
                <w:b/>
                <w:color w:val="FFFFFF"/>
                <w:sz w:val="18"/>
              </w:rPr>
              <w:t>Definitie</w:t>
            </w:r>
          </w:p>
        </w:tc>
      </w:tr>
      <w:tr>
        <w:tc>
          <w:tcPr>
            <w:tcW w:type="dxa" w:w="4320"/>
          </w:tcPr>
          <w:p>
            <w:r>
              <w:rPr>
                <w:sz w:val="18"/>
              </w:rPr>
              <w:t>REACH</w:t>
            </w:r>
          </w:p>
        </w:tc>
        <w:tc>
          <w:tcPr>
            <w:tcW w:type="dxa" w:w="4320"/>
          </w:tcPr>
          <w:p>
            <w:r>
              <w:rPr>
                <w:sz w:val="18"/>
              </w:rPr>
              <w:t>Registration, Evaluation, Authorisation and Restriction of Chemicals (EG 1907/2006)</w:t>
            </w:r>
          </w:p>
        </w:tc>
      </w:tr>
      <w:tr>
        <w:tc>
          <w:tcPr>
            <w:tcW w:type="dxa" w:w="4320"/>
            <w:shd w:fill="E8EEF4" w:val="clear"/>
          </w:tcPr>
          <w:p>
            <w:r>
              <w:rPr>
                <w:sz w:val="18"/>
              </w:rPr>
              <w:t>CLP</w:t>
            </w:r>
          </w:p>
        </w:tc>
        <w:tc>
          <w:tcPr>
            <w:tcW w:type="dxa" w:w="4320"/>
            <w:shd w:fill="E8EEF4" w:val="clear"/>
          </w:tcPr>
          <w:p>
            <w:r>
              <w:rPr>
                <w:sz w:val="18"/>
              </w:rPr>
              <w:t>Classification, Labelling and Packaging (EG 1272/2008)</w:t>
            </w:r>
          </w:p>
        </w:tc>
      </w:tr>
      <w:tr>
        <w:tc>
          <w:tcPr>
            <w:tcW w:type="dxa" w:w="4320"/>
          </w:tcPr>
          <w:p>
            <w:r>
              <w:rPr>
                <w:sz w:val="18"/>
              </w:rPr>
              <w:t>SDS</w:t>
            </w:r>
          </w:p>
        </w:tc>
        <w:tc>
          <w:tcPr>
            <w:tcW w:type="dxa" w:w="4320"/>
          </w:tcPr>
          <w:p>
            <w:r>
              <w:rPr>
                <w:sz w:val="18"/>
              </w:rPr>
              <w:t>Safety Data Sheet (Veiligheidsinformatieblad)</w:t>
            </w:r>
          </w:p>
        </w:tc>
      </w:tr>
      <w:tr>
        <w:tc>
          <w:tcPr>
            <w:tcW w:type="dxa" w:w="4320"/>
            <w:shd w:fill="E8EEF4" w:val="clear"/>
          </w:tcPr>
          <w:p>
            <w:r>
              <w:rPr>
                <w:sz w:val="18"/>
              </w:rPr>
              <w:t>CMR</w:t>
            </w:r>
          </w:p>
        </w:tc>
        <w:tc>
          <w:tcPr>
            <w:tcW w:type="dxa" w:w="4320"/>
            <w:shd w:fill="E8EEF4" w:val="clear"/>
          </w:tcPr>
          <w:p>
            <w:r>
              <w:rPr>
                <w:sz w:val="18"/>
              </w:rPr>
              <w:t>Carcinogeen, Mutageen, Reproductietoxisch</w:t>
            </w:r>
          </w:p>
        </w:tc>
      </w:tr>
      <w:tr>
        <w:tc>
          <w:tcPr>
            <w:tcW w:type="dxa" w:w="4320"/>
          </w:tcPr>
          <w:p>
            <w:r>
              <w:rPr>
                <w:sz w:val="18"/>
              </w:rPr>
              <w:t>SVHC</w:t>
            </w:r>
          </w:p>
        </w:tc>
        <w:tc>
          <w:tcPr>
            <w:tcW w:type="dxa" w:w="4320"/>
          </w:tcPr>
          <w:p>
            <w:r>
              <w:rPr>
                <w:sz w:val="18"/>
              </w:rPr>
              <w:t>Substance of Very High Concern (Zeer zorgwekkende stof)</w:t>
            </w:r>
          </w:p>
        </w:tc>
      </w:tr>
      <w:tr>
        <w:tc>
          <w:tcPr>
            <w:tcW w:type="dxa" w:w="4320"/>
            <w:shd w:fill="E8EEF4" w:val="clear"/>
          </w:tcPr>
          <w:p>
            <w:r>
              <w:rPr>
                <w:sz w:val="18"/>
              </w:rPr>
              <w:t>ECHA</w:t>
            </w:r>
          </w:p>
        </w:tc>
        <w:tc>
          <w:tcPr>
            <w:tcW w:type="dxa" w:w="4320"/>
            <w:shd w:fill="E8EEF4" w:val="clear"/>
          </w:tcPr>
          <w:p>
            <w:r>
              <w:rPr>
                <w:sz w:val="18"/>
              </w:rPr>
              <w:t>European Chemicals Agency</w:t>
            </w:r>
          </w:p>
        </w:tc>
      </w:tr>
      <w:tr>
        <w:tc>
          <w:tcPr>
            <w:tcW w:type="dxa" w:w="4320"/>
          </w:tcPr>
          <w:p>
            <w:r>
              <w:rPr>
                <w:sz w:val="18"/>
              </w:rPr>
              <w:t>CAS</w:t>
            </w:r>
          </w:p>
        </w:tc>
        <w:tc>
          <w:tcPr>
            <w:tcW w:type="dxa" w:w="4320"/>
          </w:tcPr>
          <w:p>
            <w:r>
              <w:rPr>
                <w:sz w:val="18"/>
              </w:rPr>
              <w:t>Chemical Abstracts Service registratienummer</w:t>
            </w:r>
          </w:p>
        </w:tc>
      </w:tr>
      <w:tr>
        <w:tc>
          <w:tcPr>
            <w:tcW w:type="dxa" w:w="4320"/>
            <w:shd w:fill="E8EEF4" w:val="clear"/>
          </w:tcPr>
          <w:p>
            <w:r>
              <w:rPr>
                <w:sz w:val="18"/>
              </w:rPr>
              <w:t>EG</w:t>
            </w:r>
          </w:p>
        </w:tc>
        <w:tc>
          <w:tcPr>
            <w:tcW w:type="dxa" w:w="4320"/>
            <w:shd w:fill="E8EEF4" w:val="clear"/>
          </w:tcPr>
          <w:p>
            <w:r>
              <w:rPr>
                <w:sz w:val="18"/>
              </w:rPr>
              <w:t>Europese Gemeenschap nummer (EINECS/ELINCS)</w:t>
            </w:r>
          </w:p>
        </w:tc>
      </w:tr>
      <w:tr>
        <w:tc>
          <w:tcPr>
            <w:tcW w:type="dxa" w:w="4320"/>
          </w:tcPr>
          <w:p>
            <w:r>
              <w:rPr>
                <w:sz w:val="18"/>
              </w:rPr>
              <w:t>UFI</w:t>
            </w:r>
          </w:p>
        </w:tc>
        <w:tc>
          <w:tcPr>
            <w:tcW w:type="dxa" w:w="4320"/>
          </w:tcPr>
          <w:p>
            <w:r>
              <w:rPr>
                <w:sz w:val="18"/>
              </w:rPr>
              <w:t>Unique Formula Identifier (16-cijferige code voor PCN-melding)</w:t>
            </w:r>
          </w:p>
        </w:tc>
      </w:tr>
      <w:tr>
        <w:tc>
          <w:tcPr>
            <w:tcW w:type="dxa" w:w="4320"/>
            <w:shd w:fill="E8EEF4" w:val="clear"/>
          </w:tcPr>
          <w:p>
            <w:r>
              <w:rPr>
                <w:sz w:val="18"/>
              </w:rPr>
              <w:t>PCN</w:t>
            </w:r>
          </w:p>
        </w:tc>
        <w:tc>
          <w:tcPr>
            <w:tcW w:type="dxa" w:w="4320"/>
            <w:shd w:fill="E8EEF4" w:val="clear"/>
          </w:tcPr>
          <w:p>
            <w:r>
              <w:rPr>
                <w:sz w:val="18"/>
              </w:rPr>
              <w:t>Poison Centres Notification</w:t>
            </w:r>
          </w:p>
        </w:tc>
      </w:tr>
      <w:tr>
        <w:tc>
          <w:tcPr>
            <w:tcW w:type="dxa" w:w="4320"/>
          </w:tcPr>
          <w:p>
            <w:r>
              <w:rPr>
                <w:sz w:val="18"/>
              </w:rPr>
              <w:t>PPORD</w:t>
            </w:r>
          </w:p>
        </w:tc>
        <w:tc>
          <w:tcPr>
            <w:tcW w:type="dxa" w:w="4320"/>
          </w:tcPr>
          <w:p>
            <w:r>
              <w:rPr>
                <w:sz w:val="18"/>
              </w:rPr>
              <w:t>Product and Process Orientated Research and Development</w:t>
            </w:r>
          </w:p>
        </w:tc>
      </w:tr>
      <w:tr>
        <w:tc>
          <w:tcPr>
            <w:tcW w:type="dxa" w:w="4320"/>
            <w:shd w:fill="E8EEF4" w:val="clear"/>
          </w:tcPr>
          <w:p>
            <w:r>
              <w:rPr>
                <w:sz w:val="18"/>
              </w:rPr>
              <w:t>LoA</w:t>
            </w:r>
          </w:p>
        </w:tc>
        <w:tc>
          <w:tcPr>
            <w:tcW w:type="dxa" w:w="4320"/>
            <w:shd w:fill="E8EEF4" w:val="clear"/>
          </w:tcPr>
          <w:p>
            <w:r>
              <w:rPr>
                <w:sz w:val="18"/>
              </w:rPr>
              <w:t>Letter of Access (toegang tot consortium data)</w:t>
            </w:r>
          </w:p>
        </w:tc>
      </w:tr>
      <w:tr>
        <w:tc>
          <w:tcPr>
            <w:tcW w:type="dxa" w:w="4320"/>
          </w:tcPr>
          <w:p>
            <w:r>
              <w:rPr>
                <w:sz w:val="18"/>
              </w:rPr>
              <w:t>OSOR</w:t>
            </w:r>
          </w:p>
        </w:tc>
        <w:tc>
          <w:tcPr>
            <w:tcW w:type="dxa" w:w="4320"/>
          </w:tcPr>
          <w:p>
            <w:r>
              <w:rPr>
                <w:sz w:val="18"/>
              </w:rPr>
              <w:t>One Substance, One Registration (REACH-principe)</w:t>
            </w:r>
          </w:p>
        </w:tc>
      </w:tr>
      <w:tr>
        <w:tc>
          <w:tcPr>
            <w:tcW w:type="dxa" w:w="4320"/>
            <w:shd w:fill="E8EEF4" w:val="clear"/>
          </w:tcPr>
          <w:p>
            <w:r>
              <w:rPr>
                <w:sz w:val="18"/>
              </w:rPr>
              <w:t>DU</w:t>
            </w:r>
          </w:p>
        </w:tc>
        <w:tc>
          <w:tcPr>
            <w:tcW w:type="dxa" w:w="4320"/>
            <w:shd w:fill="E8EEF4" w:val="clear"/>
          </w:tcPr>
          <w:p>
            <w:r>
              <w:rPr>
                <w:sz w:val="18"/>
              </w:rPr>
              <w:t>Downstream User</w:t>
            </w:r>
          </w:p>
        </w:tc>
      </w:tr>
      <w:tr>
        <w:tc>
          <w:tcPr>
            <w:tcW w:type="dxa" w:w="4320"/>
          </w:tcPr>
          <w:p>
            <w:r>
              <w:rPr>
                <w:sz w:val="18"/>
              </w:rPr>
              <w:t>SARU-ash</w:t>
            </w:r>
          </w:p>
        </w:tc>
        <w:tc>
          <w:tcPr>
            <w:tcW w:type="dxa" w:w="4320"/>
          </w:tcPr>
          <w:p>
            <w:r>
              <w:rPr>
                <w:sz w:val="18"/>
              </w:rPr>
              <w:t>Secondary Alkali Residue Utilisation — reststroom vanadiumhoudende as</w:t>
            </w:r>
          </w:p>
        </w:tc>
      </w:tr>
    </w:tbl>
    <w:p>
      <w:r>
        <w:br w:type="page"/>
      </w:r>
    </w:p>
    <w:p>
      <w:pPr>
        <w:pStyle w:val="Heading1"/>
      </w:pPr>
      <w:r>
        <w:t>3. SOP-01: Stofidentificatie &amp; Registratie</w:t>
      </w:r>
    </w:p>
    <w:p>
      <w:pPr>
        <w:pStyle w:val="Heading2"/>
      </w:pPr>
      <w:r>
        <w:t>3.1 Doel</w:t>
      </w:r>
    </w:p>
    <w:p>
      <w:r>
        <w:t>Zorgen dat alle chemische stoffen die binnen Phoenix Metals worden gebruikt, geproduceerd, of opgeslagen eenduidig geïdentificeerd en geregistreerd zijn in het Chemicals Master Register.</w:t>
      </w:r>
    </w:p>
    <w:p>
      <w:pPr>
        <w:pStyle w:val="Heading2"/>
      </w:pPr>
      <w:r>
        <w:t>3.2 Verantwoordelijkheden</w:t>
      </w:r>
    </w:p>
    <w:tbl>
      <w:tblPr>
        <w:tblStyle w:val="TableGrid"/>
        <w:tblW w:type="auto" w:w="0"/>
        <w:jc w:val="center"/>
        <w:tblLook w:firstColumn="1" w:firstRow="1" w:lastColumn="0" w:lastRow="0" w:noHBand="0" w:noVBand="1" w:val="04A0"/>
      </w:tblPr>
      <w:tblGrid>
        <w:gridCol w:w="4320"/>
        <w:gridCol w:w="4320"/>
      </w:tblGrid>
      <w:tr>
        <w:tc>
          <w:tcPr>
            <w:tcW w:type="dxa" w:w="4320"/>
            <w:shd w:fill="003366" w:val="clear"/>
          </w:tcPr>
          <w:p>
            <w:pPr>
              <w:jc w:val="center"/>
            </w:pPr>
            <w:r>
              <w:rPr>
                <w:b/>
                <w:color w:val="FFFFFF"/>
                <w:sz w:val="18"/>
              </w:rPr>
              <w:t>Rol</w:t>
            </w:r>
          </w:p>
        </w:tc>
        <w:tc>
          <w:tcPr>
            <w:tcW w:type="dxa" w:w="4320"/>
            <w:shd w:fill="003366" w:val="clear"/>
          </w:tcPr>
          <w:p>
            <w:pPr>
              <w:jc w:val="center"/>
            </w:pPr>
            <w:r>
              <w:rPr>
                <w:b/>
                <w:color w:val="FFFFFF"/>
                <w:sz w:val="18"/>
              </w:rPr>
              <w:t>Verantwoordelijkheid</w:t>
            </w:r>
          </w:p>
        </w:tc>
      </w:tr>
      <w:tr>
        <w:tc>
          <w:tcPr>
            <w:tcW w:type="dxa" w:w="4320"/>
          </w:tcPr>
          <w:p>
            <w:r>
              <w:rPr>
                <w:sz w:val="18"/>
              </w:rPr>
              <w:t>HSEQ-functionaris</w:t>
            </w:r>
          </w:p>
        </w:tc>
        <w:tc>
          <w:tcPr>
            <w:tcW w:type="dxa" w:w="4320"/>
          </w:tcPr>
          <w:p>
            <w:r>
              <w:rPr>
                <w:sz w:val="18"/>
              </w:rPr>
              <w:t>Beheer en actualisatie Chemicals Master Register</w:t>
            </w:r>
          </w:p>
        </w:tc>
      </w:tr>
      <w:tr>
        <w:tc>
          <w:tcPr>
            <w:tcW w:type="dxa" w:w="4320"/>
            <w:shd w:fill="E8EEF4" w:val="clear"/>
          </w:tcPr>
          <w:p>
            <w:r>
              <w:rPr>
                <w:sz w:val="18"/>
              </w:rPr>
              <w:t>Inkoop / Labmedewerker</w:t>
            </w:r>
          </w:p>
        </w:tc>
        <w:tc>
          <w:tcPr>
            <w:tcW w:type="dxa" w:w="4320"/>
            <w:shd w:fill="E8EEF4" w:val="clear"/>
          </w:tcPr>
          <w:p>
            <w:r>
              <w:rPr>
                <w:sz w:val="18"/>
              </w:rPr>
              <w:t>Melding nieuwe stoffen bij binnenkomst</w:t>
            </w:r>
          </w:p>
        </w:tc>
      </w:tr>
      <w:tr>
        <w:tc>
          <w:tcPr>
            <w:tcW w:type="dxa" w:w="4320"/>
          </w:tcPr>
          <w:p>
            <w:r>
              <w:rPr>
                <w:sz w:val="18"/>
              </w:rPr>
              <w:t>Leidinggevende</w:t>
            </w:r>
          </w:p>
        </w:tc>
        <w:tc>
          <w:tcPr>
            <w:tcW w:type="dxa" w:w="4320"/>
          </w:tcPr>
          <w:p>
            <w:r>
              <w:rPr>
                <w:sz w:val="18"/>
              </w:rPr>
              <w:t>Goedkeuring introductie nieuwe stoffen</w:t>
            </w:r>
          </w:p>
        </w:tc>
      </w:tr>
    </w:tbl>
    <w:p>
      <w:pPr>
        <w:pStyle w:val="Heading2"/>
      </w:pPr>
      <w:r>
        <w:t>3.3 Procedure</w:t>
      </w:r>
    </w:p>
    <w:p>
      <w:pPr>
        <w:pStyle w:val="Heading3"/>
      </w:pPr>
      <w:r>
        <w:t>3.3.1 Identificatie per stof</w:t>
      </w:r>
    </w:p>
    <w:p>
      <w:r>
        <w:t>Voor elke stof in het proces worden de volgende gegevens vastgelegd:</w:t>
      </w:r>
    </w:p>
    <w:p>
      <w:pPr>
        <w:pStyle w:val="ListBullet"/>
      </w:pPr>
      <w:r>
        <w:t>Chemische naam (IUPAC-nomenclatuur)</w:t>
      </w:r>
    </w:p>
    <w:p>
      <w:pPr>
        <w:pStyle w:val="ListBullet"/>
      </w:pPr>
      <w:r>
        <w:t>CAS-nummer en EG-nummer</w:t>
      </w:r>
    </w:p>
    <w:p>
      <w:pPr>
        <w:pStyle w:val="ListBullet"/>
      </w:pPr>
      <w:r>
        <w:t>CLP-classificatie (H-zinnen, pictogrammen, signaalwoord)</w:t>
      </w:r>
    </w:p>
    <w:p>
      <w:pPr>
        <w:pStyle w:val="ListBullet"/>
      </w:pPr>
      <w:r>
        <w:t>Fysieke vorm (vast, vloeibaar, poeder, oplossing)</w:t>
      </w:r>
    </w:p>
    <w:p>
      <w:pPr>
        <w:pStyle w:val="ListBullet"/>
      </w:pPr>
      <w:r>
        <w:t>Concentratie / zuiverheid</w:t>
      </w:r>
    </w:p>
    <w:p>
      <w:pPr>
        <w:pStyle w:val="ListBullet"/>
      </w:pPr>
      <w:r>
        <w:t>Leverancier + contactgegevens</w:t>
      </w:r>
    </w:p>
    <w:p>
      <w:pPr>
        <w:pStyle w:val="ListBullet"/>
      </w:pPr>
      <w:r>
        <w:t>SDS beschikbaar (ja/nee) + versienummer</w:t>
      </w:r>
    </w:p>
    <w:p>
      <w:pPr>
        <w:pStyle w:val="ListBullet"/>
      </w:pPr>
      <w:r>
        <w:t>ADR-klasse en UN-nummer (indien van toepassing)</w:t>
      </w:r>
    </w:p>
    <w:p>
      <w:pPr>
        <w:pStyle w:val="ListBullet"/>
      </w:pPr>
      <w:r>
        <w:t>SVHC-status (controle kandidatenlijst ECHA)</w:t>
      </w:r>
    </w:p>
    <w:p>
      <w:pPr>
        <w:pStyle w:val="ListBullet"/>
      </w:pPr>
      <w:r>
        <w:t>Opslaglocatie en -condities</w:t>
      </w:r>
    </w:p>
    <w:p>
      <w:pPr>
        <w:pStyle w:val="Heading3"/>
      </w:pPr>
      <w:r>
        <w:t>3.3.2 Huidig stoffenbestand Phoenix Metals</w:t>
      </w:r>
    </w:p>
    <w:p>
      <w:r>
        <w:t>Op basis van het Chemicals Master Register (v2.1.0, november 2024) bevat Phoenix Metals de volgende stoffen:</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003366" w:val="clear"/>
          </w:tcPr>
          <w:p>
            <w:pPr>
              <w:jc w:val="center"/>
            </w:pPr>
            <w:r>
              <w:rPr>
                <w:b/>
                <w:color w:val="FFFFFF"/>
                <w:sz w:val="18"/>
              </w:rPr>
              <w:t>#</w:t>
            </w:r>
          </w:p>
        </w:tc>
        <w:tc>
          <w:tcPr>
            <w:tcW w:type="dxa" w:w="1440"/>
            <w:shd w:fill="003366" w:val="clear"/>
          </w:tcPr>
          <w:p>
            <w:pPr>
              <w:jc w:val="center"/>
            </w:pPr>
            <w:r>
              <w:rPr>
                <w:b/>
                <w:color w:val="FFFFFF"/>
                <w:sz w:val="18"/>
              </w:rPr>
              <w:t>Stof</w:t>
            </w:r>
          </w:p>
        </w:tc>
        <w:tc>
          <w:tcPr>
            <w:tcW w:type="dxa" w:w="1440"/>
            <w:shd w:fill="003366" w:val="clear"/>
          </w:tcPr>
          <w:p>
            <w:pPr>
              <w:jc w:val="center"/>
            </w:pPr>
            <w:r>
              <w:rPr>
                <w:b/>
                <w:color w:val="FFFFFF"/>
                <w:sz w:val="18"/>
              </w:rPr>
              <w:t>CAS-nummer</w:t>
            </w:r>
          </w:p>
        </w:tc>
        <w:tc>
          <w:tcPr>
            <w:tcW w:type="dxa" w:w="1440"/>
            <w:shd w:fill="003366" w:val="clear"/>
          </w:tcPr>
          <w:p>
            <w:pPr>
              <w:jc w:val="center"/>
            </w:pPr>
            <w:r>
              <w:rPr>
                <w:b/>
                <w:color w:val="FFFFFF"/>
                <w:sz w:val="18"/>
              </w:rPr>
              <w:t>CLP-classificatie</w:t>
            </w:r>
          </w:p>
        </w:tc>
        <w:tc>
          <w:tcPr>
            <w:tcW w:type="dxa" w:w="1440"/>
            <w:shd w:fill="003366" w:val="clear"/>
          </w:tcPr>
          <w:p>
            <w:pPr>
              <w:jc w:val="center"/>
            </w:pPr>
            <w:r>
              <w:rPr>
                <w:b/>
                <w:color w:val="FFFFFF"/>
                <w:sz w:val="18"/>
              </w:rPr>
              <w:t>Hoeveelheid</w:t>
            </w:r>
          </w:p>
        </w:tc>
        <w:tc>
          <w:tcPr>
            <w:tcW w:type="dxa" w:w="1440"/>
            <w:shd w:fill="003366" w:val="clear"/>
          </w:tcPr>
          <w:p>
            <w:pPr>
              <w:jc w:val="center"/>
            </w:pPr>
            <w:r>
              <w:rPr>
                <w:b/>
                <w:color w:val="FFFFFF"/>
                <w:sz w:val="18"/>
              </w:rPr>
              <w:t>Leverancier</w:t>
            </w:r>
          </w:p>
        </w:tc>
      </w:tr>
      <w:tr>
        <w:tc>
          <w:tcPr>
            <w:tcW w:type="dxa" w:w="1440"/>
          </w:tcPr>
          <w:p>
            <w:r>
              <w:rPr>
                <w:sz w:val="18"/>
              </w:rPr>
              <w:t>1</w:t>
            </w:r>
          </w:p>
        </w:tc>
        <w:tc>
          <w:tcPr>
            <w:tcW w:type="dxa" w:w="1440"/>
          </w:tcPr>
          <w:p>
            <w:r>
              <w:rPr>
                <w:sz w:val="18"/>
              </w:rPr>
              <w:t>Sodium hydroxide, 50% in water</w:t>
            </w:r>
          </w:p>
        </w:tc>
        <w:tc>
          <w:tcPr>
            <w:tcW w:type="dxa" w:w="1440"/>
          </w:tcPr>
          <w:p>
            <w:r>
              <w:rPr>
                <w:sz w:val="18"/>
              </w:rPr>
              <w:t>1310-73-2</w:t>
            </w:r>
          </w:p>
        </w:tc>
        <w:tc>
          <w:tcPr>
            <w:tcW w:type="dxa" w:w="1440"/>
          </w:tcPr>
          <w:p>
            <w:r>
              <w:rPr>
                <w:sz w:val="18"/>
              </w:rPr>
              <w:t>Skin Corr. 1A</w:t>
            </w:r>
          </w:p>
        </w:tc>
        <w:tc>
          <w:tcPr>
            <w:tcW w:type="dxa" w:w="1440"/>
          </w:tcPr>
          <w:p>
            <w:r>
              <w:rPr>
                <w:sz w:val="18"/>
              </w:rPr>
              <w:t>4 × 25 L</w:t>
            </w:r>
          </w:p>
        </w:tc>
        <w:tc>
          <w:tcPr>
            <w:tcW w:type="dxa" w:w="1440"/>
          </w:tcPr>
          <w:p>
            <w:r>
              <w:rPr>
                <w:sz w:val="18"/>
              </w:rPr>
              <w:t>Carl Roth</w:t>
            </w:r>
          </w:p>
        </w:tc>
      </w:tr>
      <w:tr>
        <w:tc>
          <w:tcPr>
            <w:tcW w:type="dxa" w:w="1440"/>
            <w:shd w:fill="E8EEF4" w:val="clear"/>
          </w:tcPr>
          <w:p>
            <w:r>
              <w:rPr>
                <w:sz w:val="18"/>
              </w:rPr>
              <w:t>2</w:t>
            </w:r>
          </w:p>
        </w:tc>
        <w:tc>
          <w:tcPr>
            <w:tcW w:type="dxa" w:w="1440"/>
            <w:shd w:fill="E8EEF4" w:val="clear"/>
          </w:tcPr>
          <w:p>
            <w:r>
              <w:rPr>
                <w:sz w:val="18"/>
              </w:rPr>
              <w:t>Sulfuric acid, 75% in water</w:t>
            </w:r>
          </w:p>
        </w:tc>
        <w:tc>
          <w:tcPr>
            <w:tcW w:type="dxa" w:w="1440"/>
            <w:shd w:fill="E8EEF4" w:val="clear"/>
          </w:tcPr>
          <w:p>
            <w:r>
              <w:rPr>
                <w:sz w:val="18"/>
              </w:rPr>
              <w:t>7664-93-9</w:t>
            </w:r>
          </w:p>
        </w:tc>
        <w:tc>
          <w:tcPr>
            <w:tcW w:type="dxa" w:w="1440"/>
            <w:shd w:fill="E8EEF4" w:val="clear"/>
          </w:tcPr>
          <w:p>
            <w:r>
              <w:rPr>
                <w:sz w:val="18"/>
              </w:rPr>
              <w:t>Skin Corr. 1A</w:t>
            </w:r>
          </w:p>
        </w:tc>
        <w:tc>
          <w:tcPr>
            <w:tcW w:type="dxa" w:w="1440"/>
            <w:shd w:fill="E8EEF4" w:val="clear"/>
          </w:tcPr>
          <w:p>
            <w:r>
              <w:rPr>
                <w:sz w:val="18"/>
              </w:rPr>
              <w:t>3 × 10 L</w:t>
            </w:r>
          </w:p>
        </w:tc>
        <w:tc>
          <w:tcPr>
            <w:tcW w:type="dxa" w:w="1440"/>
            <w:shd w:fill="E8EEF4" w:val="clear"/>
          </w:tcPr>
          <w:p>
            <w:r>
              <w:rPr>
                <w:sz w:val="18"/>
              </w:rPr>
              <w:t>Carl Roth</w:t>
            </w:r>
          </w:p>
        </w:tc>
      </w:tr>
      <w:tr>
        <w:tc>
          <w:tcPr>
            <w:tcW w:type="dxa" w:w="1440"/>
          </w:tcPr>
          <w:p>
            <w:r>
              <w:rPr>
                <w:sz w:val="18"/>
              </w:rPr>
              <w:t>3</w:t>
            </w:r>
          </w:p>
        </w:tc>
        <w:tc>
          <w:tcPr>
            <w:tcW w:type="dxa" w:w="1440"/>
          </w:tcPr>
          <w:p>
            <w:r>
              <w:rPr>
                <w:sz w:val="18"/>
              </w:rPr>
              <w:t>Sulfuric acid, 50% in water</w:t>
            </w:r>
          </w:p>
        </w:tc>
        <w:tc>
          <w:tcPr>
            <w:tcW w:type="dxa" w:w="1440"/>
          </w:tcPr>
          <w:p>
            <w:r>
              <w:rPr>
                <w:sz w:val="18"/>
              </w:rPr>
              <w:t>7664-93-9</w:t>
            </w:r>
          </w:p>
        </w:tc>
        <w:tc>
          <w:tcPr>
            <w:tcW w:type="dxa" w:w="1440"/>
          </w:tcPr>
          <w:p>
            <w:r>
              <w:rPr>
                <w:sz w:val="18"/>
              </w:rPr>
              <w:t>Skin Corr. 1A</w:t>
            </w:r>
          </w:p>
        </w:tc>
        <w:tc>
          <w:tcPr>
            <w:tcW w:type="dxa" w:w="1440"/>
          </w:tcPr>
          <w:p>
            <w:r>
              <w:rPr>
                <w:sz w:val="18"/>
              </w:rPr>
              <w:t>7 × 10 L</w:t>
            </w:r>
          </w:p>
        </w:tc>
        <w:tc>
          <w:tcPr>
            <w:tcW w:type="dxa" w:w="1440"/>
          </w:tcPr>
          <w:p>
            <w:r>
              <w:rPr>
                <w:sz w:val="18"/>
              </w:rPr>
              <w:t>Carl Roth</w:t>
            </w:r>
          </w:p>
        </w:tc>
      </w:tr>
      <w:tr>
        <w:tc>
          <w:tcPr>
            <w:tcW w:type="dxa" w:w="1440"/>
            <w:shd w:fill="E8EEF4" w:val="clear"/>
          </w:tcPr>
          <w:p>
            <w:r>
              <w:rPr>
                <w:sz w:val="18"/>
              </w:rPr>
              <w:t>4</w:t>
            </w:r>
          </w:p>
        </w:tc>
        <w:tc>
          <w:tcPr>
            <w:tcW w:type="dxa" w:w="1440"/>
            <w:shd w:fill="E8EEF4" w:val="clear"/>
          </w:tcPr>
          <w:p>
            <w:r>
              <w:rPr>
                <w:sz w:val="18"/>
              </w:rPr>
              <w:t>Sulfuric acid, 25% in water</w:t>
            </w:r>
          </w:p>
        </w:tc>
        <w:tc>
          <w:tcPr>
            <w:tcW w:type="dxa" w:w="1440"/>
            <w:shd w:fill="E8EEF4" w:val="clear"/>
          </w:tcPr>
          <w:p>
            <w:r>
              <w:rPr>
                <w:sz w:val="18"/>
              </w:rPr>
              <w:t>7664-93-9</w:t>
            </w:r>
          </w:p>
        </w:tc>
        <w:tc>
          <w:tcPr>
            <w:tcW w:type="dxa" w:w="1440"/>
            <w:shd w:fill="E8EEF4" w:val="clear"/>
          </w:tcPr>
          <w:p>
            <w:r>
              <w:rPr>
                <w:sz w:val="18"/>
              </w:rPr>
              <w:t>Skin Corr. 1A</w:t>
            </w:r>
          </w:p>
        </w:tc>
        <w:tc>
          <w:tcPr>
            <w:tcW w:type="dxa" w:w="1440"/>
            <w:shd w:fill="E8EEF4" w:val="clear"/>
          </w:tcPr>
          <w:p>
            <w:r>
              <w:rPr>
                <w:sz w:val="18"/>
              </w:rPr>
              <w:t>4 × 25 L</w:t>
            </w:r>
          </w:p>
        </w:tc>
        <w:tc>
          <w:tcPr>
            <w:tcW w:type="dxa" w:w="1440"/>
            <w:shd w:fill="E8EEF4" w:val="clear"/>
          </w:tcPr>
          <w:p>
            <w:r>
              <w:rPr>
                <w:sz w:val="18"/>
              </w:rPr>
              <w:t>Carl Roth</w:t>
            </w:r>
          </w:p>
        </w:tc>
      </w:tr>
      <w:tr>
        <w:tc>
          <w:tcPr>
            <w:tcW w:type="dxa" w:w="1440"/>
          </w:tcPr>
          <w:p>
            <w:r>
              <w:rPr>
                <w:sz w:val="18"/>
              </w:rPr>
              <w:t>5</w:t>
            </w:r>
          </w:p>
        </w:tc>
        <w:tc>
          <w:tcPr>
            <w:tcW w:type="dxa" w:w="1440"/>
          </w:tcPr>
          <w:p>
            <w:r>
              <w:rPr>
                <w:sz w:val="18"/>
              </w:rPr>
              <w:t>Aluminium sulphate octadecahydrate</w:t>
            </w:r>
          </w:p>
        </w:tc>
        <w:tc>
          <w:tcPr>
            <w:tcW w:type="dxa" w:w="1440"/>
          </w:tcPr>
          <w:p>
            <w:r>
              <w:rPr>
                <w:sz w:val="18"/>
              </w:rPr>
              <w:t>7784-31-8</w:t>
            </w:r>
          </w:p>
        </w:tc>
        <w:tc>
          <w:tcPr>
            <w:tcW w:type="dxa" w:w="1440"/>
          </w:tcPr>
          <w:p>
            <w:r>
              <w:rPr>
                <w:sz w:val="18"/>
              </w:rPr>
              <w:t>Geen gevarenklasse</w:t>
            </w:r>
          </w:p>
        </w:tc>
        <w:tc>
          <w:tcPr>
            <w:tcW w:type="dxa" w:w="1440"/>
          </w:tcPr>
          <w:p>
            <w:r>
              <w:rPr>
                <w:sz w:val="18"/>
              </w:rPr>
              <w:t>2 × 2,5 kg</w:t>
            </w:r>
          </w:p>
        </w:tc>
        <w:tc>
          <w:tcPr>
            <w:tcW w:type="dxa" w:w="1440"/>
          </w:tcPr>
          <w:p>
            <w:r>
              <w:rPr>
                <w:sz w:val="18"/>
              </w:rPr>
              <w:t>Carl Roth</w:t>
            </w:r>
          </w:p>
        </w:tc>
      </w:tr>
      <w:tr>
        <w:tc>
          <w:tcPr>
            <w:tcW w:type="dxa" w:w="1440"/>
            <w:shd w:fill="E8EEF4" w:val="clear"/>
          </w:tcPr>
          <w:p>
            <w:r>
              <w:rPr>
                <w:sz w:val="18"/>
              </w:rPr>
              <w:t>6</w:t>
            </w:r>
          </w:p>
        </w:tc>
        <w:tc>
          <w:tcPr>
            <w:tcW w:type="dxa" w:w="1440"/>
            <w:shd w:fill="E8EEF4" w:val="clear"/>
          </w:tcPr>
          <w:p>
            <w:r>
              <w:rPr>
                <w:sz w:val="18"/>
              </w:rPr>
              <w:t>Calcium oxide</w:t>
            </w:r>
          </w:p>
        </w:tc>
        <w:tc>
          <w:tcPr>
            <w:tcW w:type="dxa" w:w="1440"/>
            <w:shd w:fill="E8EEF4" w:val="clear"/>
          </w:tcPr>
          <w:p>
            <w:r>
              <w:rPr>
                <w:sz w:val="18"/>
              </w:rPr>
              <w:t>1305-78-8</w:t>
            </w:r>
          </w:p>
        </w:tc>
        <w:tc>
          <w:tcPr>
            <w:tcW w:type="dxa" w:w="1440"/>
            <w:shd w:fill="E8EEF4" w:val="clear"/>
          </w:tcPr>
          <w:p>
            <w:r>
              <w:rPr>
                <w:sz w:val="18"/>
              </w:rPr>
              <w:t>Skin Corr. 1B / Eye Dam. 1</w:t>
            </w:r>
          </w:p>
        </w:tc>
        <w:tc>
          <w:tcPr>
            <w:tcW w:type="dxa" w:w="1440"/>
            <w:shd w:fill="E8EEF4" w:val="clear"/>
          </w:tcPr>
          <w:p>
            <w:r>
              <w:rPr>
                <w:sz w:val="18"/>
              </w:rPr>
              <w:t>2 × 5 kg</w:t>
            </w:r>
          </w:p>
        </w:tc>
        <w:tc>
          <w:tcPr>
            <w:tcW w:type="dxa" w:w="1440"/>
            <w:shd w:fill="E8EEF4" w:val="clear"/>
          </w:tcPr>
          <w:p>
            <w:r>
              <w:rPr>
                <w:sz w:val="18"/>
              </w:rPr>
              <w:t>Carl Roth</w:t>
            </w:r>
          </w:p>
        </w:tc>
      </w:tr>
    </w:tbl>
    <w:p/>
    <w:p>
      <w:r>
        <w:t>Daarnaast wordt SARU-ash (vanadiumhoudend) verwerkt als grondstof. Natriummetavanaat (CAS 13718-26-8) is een relevant bestanddeel van deze as. Het eindproduct vanadium oxide sulfaat (CAS 27774-13-6) wordt nog bepaald op basis van de demo-resultaten.</w:t>
      </w:r>
    </w:p>
    <w:p>
      <w:pPr>
        <w:pStyle w:val="Heading3"/>
      </w:pPr>
      <w:r>
        <w:t>3.3.3 Workflow: Nieuwe stof toevoegen</w:t>
      </w:r>
    </w:p>
    <w:p>
      <w:r>
        <w:t>Stap 1: Melding: Inkoop of labmedewerker meldt nieuwe stof via het Stof Intake Formulier.</w:t>
      </w:r>
    </w:p>
    <w:p>
      <w:r>
        <w:t>Stap 2: SDS-verzoek: HSEQ-functionaris vraagt de SDS op bij de leverancier (verplicht vóór eerste gebruik).</w:t>
      </w:r>
    </w:p>
    <w:p>
      <w:r>
        <w:t>Stap 3: CLP-classificatie: Controleer de classificatie op basis van de SDS en de ECHA-database.</w:t>
      </w:r>
    </w:p>
    <w:p>
      <w:r>
        <w:t>Stap 4: SVHC-check: Controleer of de stof op de ECHA-kandidatenlijst staat.</w:t>
      </w:r>
    </w:p>
    <w:p>
      <w:r>
        <w:t>Stap 5: RI&amp;E-update: Werk de Risico-Inventarisatie &amp; -Evaluatie bij indien de stof gevaarlijk is.</w:t>
      </w:r>
    </w:p>
    <w:p>
      <w:r>
        <w:t>Stap 6: Registratie: Voeg de stof toe aan het Chemicals Master Register met alle verplichte velden.</w:t>
      </w:r>
    </w:p>
    <w:p>
      <w:r>
        <w:t>Stap 7: PBM-matrix: Bepal persoonsgebonden beschermingsmiddelen voor deze stof.</w:t>
      </w:r>
    </w:p>
    <w:p>
      <w:r>
        <w:t>Stap 8: Opslag: Wijs een opslaglocatie toe conform PGS 15.</w:t>
      </w:r>
    </w:p>
    <w:p>
      <w:r>
        <w:t>Stap 9: Goedkeuring: Leidinggevende tekent af op de introductie.</w:t>
      </w:r>
    </w:p>
    <w:p>
      <w:pPr>
        <w:pStyle w:val="Heading2"/>
      </w:pPr>
      <w:r>
        <w:t>3.4 Frequentie</w:t>
      </w:r>
    </w:p>
    <w:p>
      <w:pPr>
        <w:pStyle w:val="ListBullet"/>
      </w:pPr>
      <w:r>
        <w:t>Continue: bij elke nieuwe stof introductie</w:t>
      </w:r>
    </w:p>
    <w:p>
      <w:pPr>
        <w:pStyle w:val="ListBullet"/>
      </w:pPr>
      <w:r>
        <w:t>Jaarlijks: volledige review van het Chemicals Master Register (zie SOP-07)</w:t>
      </w:r>
    </w:p>
    <w:p>
      <w:r>
        <w:br w:type="page"/>
      </w:r>
    </w:p>
    <w:p>
      <w:pPr>
        <w:pStyle w:val="Heading1"/>
      </w:pPr>
      <w:r>
        <w:t>4. SOP-02: SDS-beheer</w:t>
      </w:r>
    </w:p>
    <w:p>
      <w:pPr>
        <w:pStyle w:val="Heading2"/>
      </w:pPr>
      <w:r>
        <w:t>4.1 Doel</w:t>
      </w:r>
    </w:p>
    <w:p>
      <w:r>
        <w:t>Waarborgen dat voor alle chemische stoffen op de werkplek een actueel, volledig en toegankelijk Veiligheidsinformatieblad (SDS) beschikbaar is, conform REACH Bijlage II.</w:t>
      </w:r>
    </w:p>
    <w:p>
      <w:pPr>
        <w:pStyle w:val="Heading2"/>
      </w:pPr>
      <w:r>
        <w:t>4.2 Verantwoordelijkheden</w:t>
      </w:r>
    </w:p>
    <w:tbl>
      <w:tblPr>
        <w:tblStyle w:val="TableGrid"/>
        <w:tblW w:type="auto" w:w="0"/>
        <w:jc w:val="center"/>
        <w:tblLook w:firstColumn="1" w:firstRow="1" w:lastColumn="0" w:lastRow="0" w:noHBand="0" w:noVBand="1" w:val="04A0"/>
      </w:tblPr>
      <w:tblGrid>
        <w:gridCol w:w="4320"/>
        <w:gridCol w:w="4320"/>
      </w:tblGrid>
      <w:tr>
        <w:tc>
          <w:tcPr>
            <w:tcW w:type="dxa" w:w="4320"/>
            <w:shd w:fill="003366" w:val="clear"/>
          </w:tcPr>
          <w:p>
            <w:pPr>
              <w:jc w:val="center"/>
            </w:pPr>
            <w:r>
              <w:rPr>
                <w:b/>
                <w:color w:val="FFFFFF"/>
                <w:sz w:val="18"/>
              </w:rPr>
              <w:t>Rol</w:t>
            </w:r>
          </w:p>
        </w:tc>
        <w:tc>
          <w:tcPr>
            <w:tcW w:type="dxa" w:w="4320"/>
            <w:shd w:fill="003366" w:val="clear"/>
          </w:tcPr>
          <w:p>
            <w:pPr>
              <w:jc w:val="center"/>
            </w:pPr>
            <w:r>
              <w:rPr>
                <w:b/>
                <w:color w:val="FFFFFF"/>
                <w:sz w:val="18"/>
              </w:rPr>
              <w:t>Verantwoordelijkheid</w:t>
            </w:r>
          </w:p>
        </w:tc>
      </w:tr>
      <w:tr>
        <w:tc>
          <w:tcPr>
            <w:tcW w:type="dxa" w:w="4320"/>
          </w:tcPr>
          <w:p>
            <w:r>
              <w:rPr>
                <w:sz w:val="18"/>
              </w:rPr>
              <w:t>HSEQ-functionaris</w:t>
            </w:r>
          </w:p>
        </w:tc>
        <w:tc>
          <w:tcPr>
            <w:tcW w:type="dxa" w:w="4320"/>
          </w:tcPr>
          <w:p>
            <w:r>
              <w:rPr>
                <w:sz w:val="18"/>
              </w:rPr>
              <w:t>SDS-beheerder; actualiteit, distributie, archivering</w:t>
            </w:r>
          </w:p>
        </w:tc>
      </w:tr>
      <w:tr>
        <w:tc>
          <w:tcPr>
            <w:tcW w:type="dxa" w:w="4320"/>
            <w:shd w:fill="E8EEF4" w:val="clear"/>
          </w:tcPr>
          <w:p>
            <w:r>
              <w:rPr>
                <w:sz w:val="18"/>
              </w:rPr>
              <w:t>Inkoop</w:t>
            </w:r>
          </w:p>
        </w:tc>
        <w:tc>
          <w:tcPr>
            <w:tcW w:type="dxa" w:w="4320"/>
            <w:shd w:fill="E8EEF4" w:val="clear"/>
          </w:tcPr>
          <w:p>
            <w:r>
              <w:rPr>
                <w:sz w:val="18"/>
              </w:rPr>
              <w:t>SDS aanleveren bij elke nieuwe levering of leverancierswijziging</w:t>
            </w:r>
          </w:p>
        </w:tc>
      </w:tr>
      <w:tr>
        <w:tc>
          <w:tcPr>
            <w:tcW w:type="dxa" w:w="4320"/>
          </w:tcPr>
          <w:p>
            <w:r>
              <w:rPr>
                <w:sz w:val="18"/>
              </w:rPr>
              <w:t>Labmedewerkers</w:t>
            </w:r>
          </w:p>
        </w:tc>
        <w:tc>
          <w:tcPr>
            <w:tcW w:type="dxa" w:w="4320"/>
          </w:tcPr>
          <w:p>
            <w:r>
              <w:rPr>
                <w:sz w:val="18"/>
              </w:rPr>
              <w:t>SDS raadplegen vóór het werken met een stof</w:t>
            </w:r>
          </w:p>
        </w:tc>
      </w:tr>
    </w:tbl>
    <w:p>
      <w:pPr>
        <w:pStyle w:val="Heading2"/>
      </w:pPr>
      <w:r>
        <w:t>4.3 Procedure</w:t>
      </w:r>
    </w:p>
    <w:p>
      <w:pPr>
        <w:pStyle w:val="Heading3"/>
      </w:pPr>
      <w:r>
        <w:t>4.3.1 SDS raadplegen</w:t>
      </w:r>
    </w:p>
    <w:p>
      <w:r>
        <w:t>SDS'en zijn beschikbaar in:</w:t>
      </w:r>
    </w:p>
    <w:p>
      <w:pPr>
        <w:pStyle w:val="ListBullet"/>
      </w:pPr>
      <w:r>
        <w:t>Harde kopie: ordner in het laboratorium (gecolourcodeerd per categorie)</w:t>
      </w:r>
    </w:p>
    <w:p>
      <w:pPr>
        <w:pStyle w:val="ListBullet"/>
      </w:pPr>
      <w:r>
        <w:t>Digitale kopie: gedeelde map op het netwerk (Phoenix Metals &gt; HSEQ &gt; SDS)</w:t>
      </w:r>
    </w:p>
    <w:p>
      <w:r>
        <w:t>Elke medewerker is verplicht de SDS te raadplegen alvorens met een stof te werken. Specifieke aandacht voor rubriek 2 (gevaaridentificatie), rubriek 7 (veilig hanteren) en rubriek 8 (PBM / blootstellingscontrole).</w:t>
      </w:r>
    </w:p>
    <w:p>
      <w:pPr>
        <w:pStyle w:val="Heading3"/>
      </w:pPr>
      <w:r>
        <w:t>4.3.2 SDS opstellen (eigen stoffen)</w:t>
      </w:r>
    </w:p>
    <w:p>
      <w:r>
        <w:t>Indien Phoenix Metals als fabrikant of importeur fungeert en ≥ 1 ton/jaar produceert/importeert, moet een eigen SDS worden opgesteld conform REACH Bijlage II. In de demo-fase (tonnage &lt; 1 ton/jaar) is dit niet verplicht, maar wel aanbevolen voor best-practice.</w:t>
      </w:r>
    </w:p>
    <w:p>
      <w:pPr>
        <w:pStyle w:val="Heading3"/>
      </w:pPr>
      <w:r>
        <w:t>4.3.3 SDS distributie downstream users</w:t>
      </w:r>
    </w:p>
    <w:p>
      <w:r>
        <w:t>Wanneer Phoenix Metals stoffen of mengsels levert aan downstream users, wordt de actuele SDS meegestuurd bij de eerste levering en bij elke significante wijziging. De distributie wordt gedocumenteerd in het SDS-distributielog.</w:t>
      </w:r>
    </w:p>
    <w:p>
      <w:pPr>
        <w:pStyle w:val="Heading3"/>
      </w:pPr>
      <w:r>
        <w:t>4.3.4 Versiebeheer</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val="clear"/>
          </w:tcPr>
          <w:p>
            <w:pPr>
              <w:jc w:val="center"/>
            </w:pPr>
            <w:r>
              <w:rPr>
                <w:b/>
                <w:color w:val="FFFFFF"/>
                <w:sz w:val="18"/>
              </w:rPr>
              <w:t>Actie</w:t>
            </w:r>
          </w:p>
        </w:tc>
        <w:tc>
          <w:tcPr>
            <w:tcW w:type="dxa" w:w="2880"/>
            <w:shd w:fill="003366" w:val="clear"/>
          </w:tcPr>
          <w:p>
            <w:pPr>
              <w:jc w:val="center"/>
            </w:pPr>
            <w:r>
              <w:rPr>
                <w:b/>
                <w:color w:val="FFFFFF"/>
                <w:sz w:val="18"/>
              </w:rPr>
              <w:t>Trigger</w:t>
            </w:r>
          </w:p>
        </w:tc>
        <w:tc>
          <w:tcPr>
            <w:tcW w:type="dxa" w:w="2880"/>
            <w:shd w:fill="003366" w:val="clear"/>
          </w:tcPr>
          <w:p>
            <w:pPr>
              <w:jc w:val="center"/>
            </w:pPr>
            <w:r>
              <w:rPr>
                <w:b/>
                <w:color w:val="FFFFFF"/>
                <w:sz w:val="18"/>
              </w:rPr>
              <w:t>Door wie</w:t>
            </w:r>
          </w:p>
        </w:tc>
      </w:tr>
      <w:tr>
        <w:tc>
          <w:tcPr>
            <w:tcW w:type="dxa" w:w="2880"/>
          </w:tcPr>
          <w:p>
            <w:r>
              <w:rPr>
                <w:sz w:val="18"/>
              </w:rPr>
              <w:t>SDS-update</w:t>
            </w:r>
          </w:p>
        </w:tc>
        <w:tc>
          <w:tcPr>
            <w:tcW w:type="dxa" w:w="2880"/>
          </w:tcPr>
          <w:p>
            <w:r>
              <w:rPr>
                <w:sz w:val="18"/>
              </w:rPr>
              <w:t>Nieuwe classificatie, nieuwe H-zinnen, wijziging samenstelling</w:t>
            </w:r>
          </w:p>
        </w:tc>
        <w:tc>
          <w:tcPr>
            <w:tcW w:type="dxa" w:w="2880"/>
          </w:tcPr>
          <w:p>
            <w:r>
              <w:rPr>
                <w:sz w:val="18"/>
              </w:rPr>
              <w:t>Leverancier → HSEQ</w:t>
            </w:r>
          </w:p>
        </w:tc>
      </w:tr>
      <w:tr>
        <w:tc>
          <w:tcPr>
            <w:tcW w:type="dxa" w:w="2880"/>
            <w:shd w:fill="E8EEF4" w:val="clear"/>
          </w:tcPr>
          <w:p>
            <w:r>
              <w:rPr>
                <w:sz w:val="18"/>
              </w:rPr>
              <w:t>Versie registratie</w:t>
            </w:r>
          </w:p>
        </w:tc>
        <w:tc>
          <w:tcPr>
            <w:tcW w:type="dxa" w:w="2880"/>
            <w:shd w:fill="E8EEF4" w:val="clear"/>
          </w:tcPr>
          <w:p>
            <w:r>
              <w:rPr>
                <w:sz w:val="18"/>
              </w:rPr>
              <w:t>Elke update</w:t>
            </w:r>
          </w:p>
        </w:tc>
        <w:tc>
          <w:tcPr>
            <w:tcW w:type="dxa" w:w="2880"/>
            <w:shd w:fill="E8EEF4" w:val="clear"/>
          </w:tcPr>
          <w:p>
            <w:r>
              <w:rPr>
                <w:sz w:val="18"/>
              </w:rPr>
              <w:t>HSEQ-functionaris</w:t>
            </w:r>
          </w:p>
        </w:tc>
      </w:tr>
      <w:tr>
        <w:tc>
          <w:tcPr>
            <w:tcW w:type="dxa" w:w="2880"/>
          </w:tcPr>
          <w:p>
            <w:r>
              <w:rPr>
                <w:sz w:val="18"/>
              </w:rPr>
              <w:t>Oude SDS archiveren</w:t>
            </w:r>
          </w:p>
        </w:tc>
        <w:tc>
          <w:tcPr>
            <w:tcW w:type="dxa" w:w="2880"/>
          </w:tcPr>
          <w:p>
            <w:r>
              <w:rPr>
                <w:sz w:val="18"/>
              </w:rPr>
              <w:t>Bij ontvangst nieuwe versie</w:t>
            </w:r>
          </w:p>
        </w:tc>
        <w:tc>
          <w:tcPr>
            <w:tcW w:type="dxa" w:w="2880"/>
          </w:tcPr>
          <w:p>
            <w:r>
              <w:rPr>
                <w:sz w:val="18"/>
              </w:rPr>
              <w:t>HSEQ-functionaris</w:t>
            </w:r>
          </w:p>
        </w:tc>
      </w:tr>
      <w:tr>
        <w:tc>
          <w:tcPr>
            <w:tcW w:type="dxa" w:w="2880"/>
            <w:shd w:fill="E8EEF4" w:val="clear"/>
          </w:tcPr>
          <w:p>
            <w:r>
              <w:rPr>
                <w:sz w:val="18"/>
              </w:rPr>
              <w:t>Distributie update</w:t>
            </w:r>
          </w:p>
        </w:tc>
        <w:tc>
          <w:tcPr>
            <w:tcW w:type="dxa" w:w="2880"/>
            <w:shd w:fill="E8EEF4" w:val="clear"/>
          </w:tcPr>
          <w:p>
            <w:r>
              <w:rPr>
                <w:sz w:val="18"/>
              </w:rPr>
              <w:t>Significante wijzigingen</w:t>
            </w:r>
          </w:p>
        </w:tc>
        <w:tc>
          <w:tcPr>
            <w:tcW w:type="dxa" w:w="2880"/>
            <w:shd w:fill="E8EEF4" w:val="clear"/>
          </w:tcPr>
          <w:p>
            <w:r>
              <w:rPr>
                <w:sz w:val="18"/>
              </w:rPr>
              <w:t>HSEQ-functionaris</w:t>
            </w:r>
          </w:p>
        </w:tc>
      </w:tr>
    </w:tbl>
    <w:p>
      <w:pPr>
        <w:pStyle w:val="Heading3"/>
      </w:pPr>
      <w:r>
        <w:t>4.3.5 Jaarlijkse review</w:t>
      </w:r>
    </w:p>
    <w:p>
      <w:r>
        <w:t>Eens per jaar (Q1) voert de HSEQ-functionaris een volledige SDS-review uit:</w:t>
      </w:r>
    </w:p>
    <w:p>
      <w:pPr>
        <w:pStyle w:val="ListBullet"/>
      </w:pPr>
      <w:r>
        <w:t>Controle of alle SDS'en in het register een versiedatum ≤ 3 jaar geleden hebben</w:t>
      </w:r>
    </w:p>
    <w:p>
      <w:pPr>
        <w:pStyle w:val="ListBullet"/>
      </w:pPr>
      <w:r>
        <w:t>Controle op nieuwe SVHC-kandidatenlijst entries</w:t>
      </w:r>
    </w:p>
    <w:p>
      <w:pPr>
        <w:pStyle w:val="ListBullet"/>
      </w:pPr>
      <w:r>
        <w:t>Controle actualiteit CLP-classificatie</w:t>
      </w:r>
    </w:p>
    <w:p>
      <w:pPr>
        <w:pStyle w:val="ListBullet"/>
      </w:pPr>
      <w:r>
        <w:t>Verouderde SDS'en worden bij de leverancier aangevraagd</w:t>
      </w:r>
    </w:p>
    <w:p>
      <w:r>
        <w:br w:type="page"/>
      </w:r>
    </w:p>
    <w:p>
      <w:pPr>
        <w:pStyle w:val="Heading1"/>
      </w:pPr>
      <w:r>
        <w:t>5. SOP-03: CMR-Protocol</w:t>
      </w:r>
    </w:p>
    <w:p>
      <w:pPr>
        <w:pStyle w:val="Heading2"/>
      </w:pPr>
      <w:r>
        <w:t>5.1 Doel</w:t>
      </w:r>
    </w:p>
    <w:p>
      <w:r>
        <w:t>Identificeren, registreren en beheren van CMR-stoffen (Carcinogeen, Mutageen, Reproductietoxisch) op de werkplek, conform het Arbobesluit (art. 4.15 en 4.16) en REACH Titel IV.</w:t>
      </w:r>
    </w:p>
    <w:p>
      <w:pPr>
        <w:pStyle w:val="Heading2"/>
      </w:pPr>
      <w:r>
        <w:t>5.2 Herkenning CMR-stoffen</w:t>
      </w:r>
    </w:p>
    <w:p>
      <w:r>
        <w:t>CMR-stoffen worden geïdentificeerd via:</w:t>
      </w:r>
    </w:p>
    <w:p>
      <w:pPr>
        <w:pStyle w:val="ListBullet"/>
      </w:pPr>
      <w:r>
        <w:t>SDS rubriek 2: gevarenaanduidingen met H-zinnen H340, H350, H360 (cat. 1A/1B) of H341, H351, H361 (cat. 2)</w:t>
      </w:r>
    </w:p>
    <w:p>
      <w:pPr>
        <w:pStyle w:val="ListBullet"/>
      </w:pPr>
      <w:r>
        <w:t>Etiket: signaalwoord "Gevaar" + gezondheidsgevaar-pictogram</w:t>
      </w:r>
    </w:p>
    <w:p>
      <w:pPr>
        <w:pStyle w:val="ListBullet"/>
      </w:pPr>
      <w:r>
        <w:t>ECHA-classificatie- en etiketteringsinventaris (C&amp;L Inventory)</w:t>
      </w:r>
    </w:p>
    <w:p>
      <w:pPr>
        <w:pStyle w:val="ListBullet"/>
      </w:pPr>
      <w:r>
        <w:t>Arbowet-lijst van CMR-stoffen (SZW-publicatie)</w:t>
      </w:r>
    </w:p>
    <w:p>
      <w:pPr>
        <w:pStyle w:val="Heading2"/>
      </w:pPr>
      <w:r>
        <w:t>5.3 CMR Namelist (art. 4.15 Arbobesluit)</w:t>
      </w:r>
    </w:p>
    <w:p>
      <w:r>
        <w:t>Phoenix Metals is verplicht een namelist bij te houden van medewerkers die werken met CMR-stoffen (categorie 1A of 1B). De namelist bevat:</w:t>
      </w:r>
    </w:p>
    <w:p>
      <w:pPr>
        <w:pStyle w:val="ListBullet"/>
      </w:pPr>
      <w:r>
        <w:t>Naam en functie van de medewerker</w:t>
      </w:r>
    </w:p>
    <w:p>
      <w:pPr>
        <w:pStyle w:val="ListBullet"/>
      </w:pPr>
      <w:r>
        <w:t>De betreffende CMR-stof(fen)</w:t>
      </w:r>
    </w:p>
    <w:p>
      <w:pPr>
        <w:pStyle w:val="ListBullet"/>
      </w:pPr>
      <w:r>
        <w:t>Aard en duur van de blootstelling</w:t>
      </w:r>
    </w:p>
    <w:p>
      <w:pPr>
        <w:pStyle w:val="ListBullet"/>
      </w:pPr>
      <w:r>
        <w:t>Datum van eerste en laatste blootstelling</w:t>
      </w:r>
    </w:p>
    <w:p>
      <w:r>
        <w:t>De namelist wordt voor de duur van de dienstbetrekking + 40 jaar bewaard conform de Arbowet.</w:t>
      </w:r>
    </w:p>
    <w:p>
      <w:pPr>
        <w:pStyle w:val="Heading2"/>
      </w:pPr>
      <w:r>
        <w:t>5.4 Blootstellingsregistratie</w:t>
      </w:r>
    </w:p>
    <w:p>
      <w:r>
        <w:t>Voor elke werkactiviteit met een CMR-stof wordt geregistreerd:</w:t>
      </w:r>
    </w:p>
    <w:tbl>
      <w:tblPr>
        <w:tblStyle w:val="TableGrid"/>
        <w:tblW w:type="auto" w:w="0"/>
        <w:jc w:val="center"/>
        <w:tblLook w:firstColumn="1" w:firstRow="1" w:lastColumn="0" w:lastRow="0" w:noHBand="0" w:noVBand="1" w:val="04A0"/>
      </w:tblPr>
      <w:tblGrid>
        <w:gridCol w:w="4320"/>
        <w:gridCol w:w="4320"/>
      </w:tblGrid>
      <w:tr>
        <w:tc>
          <w:tcPr>
            <w:tcW w:type="dxa" w:w="4320"/>
            <w:shd w:fill="003366" w:val="clear"/>
          </w:tcPr>
          <w:p>
            <w:pPr>
              <w:jc w:val="center"/>
            </w:pPr>
            <w:r>
              <w:rPr>
                <w:b/>
                <w:color w:val="FFFFFF"/>
                <w:sz w:val="18"/>
              </w:rPr>
              <w:t>Veld</w:t>
            </w:r>
          </w:p>
        </w:tc>
        <w:tc>
          <w:tcPr>
            <w:tcW w:type="dxa" w:w="4320"/>
            <w:shd w:fill="003366" w:val="clear"/>
          </w:tcPr>
          <w:p>
            <w:pPr>
              <w:jc w:val="center"/>
            </w:pPr>
            <w:r>
              <w:rPr>
                <w:b/>
                <w:color w:val="FFFFFF"/>
                <w:sz w:val="18"/>
              </w:rPr>
              <w:t>Beschrijving</w:t>
            </w:r>
          </w:p>
        </w:tc>
      </w:tr>
      <w:tr>
        <w:tc>
          <w:tcPr>
            <w:tcW w:type="dxa" w:w="4320"/>
          </w:tcPr>
          <w:p>
            <w:r>
              <w:rPr>
                <w:sz w:val="18"/>
              </w:rPr>
              <w:t>Datum</w:t>
            </w:r>
          </w:p>
        </w:tc>
        <w:tc>
          <w:tcPr>
            <w:tcW w:type="dxa" w:w="4320"/>
          </w:tcPr>
          <w:p>
            <w:r>
              <w:rPr>
                <w:sz w:val="18"/>
              </w:rPr>
              <w:t>Datum van de werkactiviteit</w:t>
            </w:r>
          </w:p>
        </w:tc>
      </w:tr>
      <w:tr>
        <w:tc>
          <w:tcPr>
            <w:tcW w:type="dxa" w:w="4320"/>
            <w:shd w:fill="E8EEF4" w:val="clear"/>
          </w:tcPr>
          <w:p>
            <w:r>
              <w:rPr>
                <w:sz w:val="18"/>
              </w:rPr>
              <w:t>Medewerker</w:t>
            </w:r>
          </w:p>
        </w:tc>
        <w:tc>
          <w:tcPr>
            <w:tcW w:type="dxa" w:w="4320"/>
            <w:shd w:fill="E8EEF4" w:val="clear"/>
          </w:tcPr>
          <w:p>
            <w:r>
              <w:rPr>
                <w:sz w:val="18"/>
              </w:rPr>
              <w:t>Naam en personeelsnummer</w:t>
            </w:r>
          </w:p>
        </w:tc>
      </w:tr>
      <w:tr>
        <w:tc>
          <w:tcPr>
            <w:tcW w:type="dxa" w:w="4320"/>
          </w:tcPr>
          <w:p>
            <w:r>
              <w:rPr>
                <w:sz w:val="18"/>
              </w:rPr>
              <w:t>Stof</w:t>
            </w:r>
          </w:p>
        </w:tc>
        <w:tc>
          <w:tcPr>
            <w:tcW w:type="dxa" w:w="4320"/>
          </w:tcPr>
          <w:p>
            <w:r>
              <w:rPr>
                <w:sz w:val="18"/>
              </w:rPr>
              <w:t>Chemische naam + CAS-nummer</w:t>
            </w:r>
          </w:p>
        </w:tc>
      </w:tr>
      <w:tr>
        <w:tc>
          <w:tcPr>
            <w:tcW w:type="dxa" w:w="4320"/>
            <w:shd w:fill="E8EEF4" w:val="clear"/>
          </w:tcPr>
          <w:p>
            <w:r>
              <w:rPr>
                <w:sz w:val="18"/>
              </w:rPr>
              <w:t>Activiteit</w:t>
            </w:r>
          </w:p>
        </w:tc>
        <w:tc>
          <w:tcPr>
            <w:tcW w:type="dxa" w:w="4320"/>
            <w:shd w:fill="E8EEF4" w:val="clear"/>
          </w:tcPr>
          <w:p>
            <w:r>
              <w:rPr>
                <w:sz w:val="18"/>
              </w:rPr>
              <w:t>Beschrijving van de verrichte werkzaamheden</w:t>
            </w:r>
          </w:p>
        </w:tc>
      </w:tr>
      <w:tr>
        <w:tc>
          <w:tcPr>
            <w:tcW w:type="dxa" w:w="4320"/>
          </w:tcPr>
          <w:p>
            <w:r>
              <w:rPr>
                <w:sz w:val="18"/>
              </w:rPr>
              <w:t>Duur</w:t>
            </w:r>
          </w:p>
        </w:tc>
        <w:tc>
          <w:tcPr>
            <w:tcW w:type="dxa" w:w="4320"/>
          </w:tcPr>
          <w:p>
            <w:r>
              <w:rPr>
                <w:sz w:val="18"/>
              </w:rPr>
              <w:t>Geschatte blootstellingsduur (minuten)</w:t>
            </w:r>
          </w:p>
        </w:tc>
      </w:tr>
      <w:tr>
        <w:tc>
          <w:tcPr>
            <w:tcW w:type="dxa" w:w="4320"/>
            <w:shd w:fill="E8EEF4" w:val="clear"/>
          </w:tcPr>
          <w:p>
            <w:r>
              <w:rPr>
                <w:sz w:val="18"/>
              </w:rPr>
              <w:t>PBM</w:t>
            </w:r>
          </w:p>
        </w:tc>
        <w:tc>
          <w:tcPr>
            <w:tcW w:type="dxa" w:w="4320"/>
            <w:shd w:fill="E8EEF4" w:val="clear"/>
          </w:tcPr>
          <w:p>
            <w:r>
              <w:rPr>
                <w:sz w:val="18"/>
              </w:rPr>
              <w:t>Welke PBM zijn gedragen?</w:t>
            </w:r>
          </w:p>
        </w:tc>
      </w:tr>
      <w:tr>
        <w:tc>
          <w:tcPr>
            <w:tcW w:type="dxa" w:w="4320"/>
          </w:tcPr>
          <w:p>
            <w:r>
              <w:rPr>
                <w:sz w:val="18"/>
              </w:rPr>
              <w:t>LEVS</w:t>
            </w:r>
          </w:p>
        </w:tc>
        <w:tc>
          <w:tcPr>
            <w:tcW w:type="dxa" w:w="4320"/>
          </w:tcPr>
          <w:p>
            <w:r>
              <w:rPr>
                <w:sz w:val="18"/>
              </w:rPr>
              <w:t>Is lokale afzuiging gebruikt? (ja/nee)</w:t>
            </w:r>
          </w:p>
        </w:tc>
      </w:tr>
      <w:tr>
        <w:tc>
          <w:tcPr>
            <w:tcW w:type="dxa" w:w="4320"/>
            <w:shd w:fill="E8EEF4" w:val="clear"/>
          </w:tcPr>
          <w:p>
            <w:r>
              <w:rPr>
                <w:sz w:val="18"/>
              </w:rPr>
              <w:t>Incidenten</w:t>
            </w:r>
          </w:p>
        </w:tc>
        <w:tc>
          <w:tcPr>
            <w:tcW w:type="dxa" w:w="4320"/>
            <w:shd w:fill="E8EEF4" w:val="clear"/>
          </w:tcPr>
          <w:p>
            <w:r>
              <w:rPr>
                <w:sz w:val="18"/>
              </w:rPr>
              <w:t>Eventuele incidenten of afwijkingen</w:t>
            </w:r>
          </w:p>
        </w:tc>
      </w:tr>
    </w:tbl>
    <w:p>
      <w:pPr>
        <w:pStyle w:val="Heading2"/>
      </w:pPr>
      <w:r>
        <w:t>5.5 Gezondheidssurveillance</w:t>
      </w:r>
    </w:p>
    <w:p>
      <w:r>
        <w:t>Medewerkers die structureel werken met CMR-stoffen (cat. 1A/1B) worden in overleg met de bedrijfsarts opgenomen in een gezondheidssurveillanceprogramma. Dit omvat minimaal:</w:t>
      </w:r>
    </w:p>
    <w:p>
      <w:pPr>
        <w:pStyle w:val="ListBullet"/>
      </w:pPr>
      <w:r>
        <w:t>Periodiek arbeidsgezondheidskundig onderzoek (PAGO) — frequentie conform advies bedrijfsarts</w:t>
      </w:r>
    </w:p>
    <w:p>
      <w:pPr>
        <w:pStyle w:val="ListBullet"/>
      </w:pPr>
      <w:r>
        <w:t>Specifiek onderzoek gericht op de blootgestelde stof(fen)</w:t>
      </w:r>
    </w:p>
    <w:p>
      <w:pPr>
        <w:pStyle w:val="ListBullet"/>
      </w:pPr>
      <w:r>
        <w:t>Registratie van bevindingen in het dossier van de medewerker</w:t>
      </w:r>
    </w:p>
    <w:p>
      <w:pPr>
        <w:pStyle w:val="Heading2"/>
      </w:pPr>
      <w:r>
        <w:t>5.6 Huidige CMR-status Phoenix Metals</w:t>
      </w:r>
    </w:p>
    <w:p>
      <w:r>
        <w:t>Op basis van de huidige stoffenlijst (v2.1.0) bevat Phoenix Metals geen stoffen met een CMR-classificatie categorie 1A of 1B. Zwavelzuur is geclassificeerd als Skin Corr. 1A (corrosief, niet CMR). De SARU-ash bevat vanadiumverbindingen; natriummetavanaat is geclassificeerd als Repr. 1B (H360D — kan het ongeboren kind schaden) en Spec. Tox. 2 (H335). Dit betekent dat zodra SARU-ash structureel wordt verwerkt, het CMR-protocol geactiveerd moet worden.</w:t>
      </w:r>
    </w:p>
    <w:p>
      <w:r>
        <w:br w:type="page"/>
      </w:r>
    </w:p>
    <w:p>
      <w:pPr>
        <w:pStyle w:val="Heading1"/>
      </w:pPr>
      <w:r>
        <w:t>6. SOP-04: CLP &amp; Etikettering</w:t>
      </w:r>
    </w:p>
    <w:p>
      <w:pPr>
        <w:pStyle w:val="Heading2"/>
      </w:pPr>
      <w:r>
        <w:t>6.1 Doel</w:t>
      </w:r>
    </w:p>
    <w:p>
      <w:r>
        <w:t>Waarborgen dat alle chemische stoffen en mengsels op de werkplek correct etiket zijn conform de CLP-verordening (EG 1272/2008). Dit geldt zowel voor ontvangen stoffen als voor intern geproduceerde mengsels.</w:t>
      </w:r>
    </w:p>
    <w:p>
      <w:pPr>
        <w:pStyle w:val="Heading2"/>
      </w:pPr>
      <w:r>
        <w:t>6.2 Etikettering incoming chemicals</w:t>
      </w:r>
    </w:p>
    <w:p>
      <w:r>
        <w:t>Bij ontvangst van chemische stoffen controleert de inkoop/labmedewerker:</w:t>
      </w:r>
    </w:p>
    <w:p>
      <w:pPr>
        <w:pStyle w:val="ListBullet"/>
      </w:pPr>
      <w:r>
        <w:t>CLP-etiket aanwezig en leesbaar op de verpakking</w:t>
      </w:r>
    </w:p>
    <w:p>
      <w:pPr>
        <w:pStyle w:val="ListBullet"/>
      </w:pPr>
      <w:r>
        <w:t>Identiteit van de stof (naam, CAS)</w:t>
      </w:r>
    </w:p>
    <w:p>
      <w:pPr>
        <w:pStyle w:val="ListBullet"/>
      </w:pPr>
      <w:r>
        <w:t>Gevaarpictogrammen (GHS-diamanten)</w:t>
      </w:r>
    </w:p>
    <w:p>
      <w:pPr>
        <w:pStyle w:val="ListBullet"/>
      </w:pPr>
      <w:r>
        <w:t>Signaalwoord (Gevaar / Waarschuwing)</w:t>
      </w:r>
    </w:p>
    <w:p>
      <w:pPr>
        <w:pStyle w:val="ListBullet"/>
      </w:pPr>
      <w:r>
        <w:t>H-zinnen en P-zinnen</w:t>
      </w:r>
    </w:p>
    <w:p>
      <w:pPr>
        <w:pStyle w:val="ListBullet"/>
      </w:pPr>
      <w:r>
        <w:t>Naam + adres leverancier</w:t>
      </w:r>
    </w:p>
    <w:p>
      <w:pPr>
        <w:pStyle w:val="ListBullet"/>
      </w:pPr>
      <w:r>
        <w:t>Bij afwijkingen: stof niet in gebruik nemen; HSEQ-functionaris informeren.</w:t>
      </w:r>
    </w:p>
    <w:p>
      <w:pPr>
        <w:pStyle w:val="Heading2"/>
      </w:pPr>
      <w:r>
        <w:t>6.3 Etikettering eigen producten</w:t>
      </w:r>
    </w:p>
    <w:p>
      <w:r>
        <w:t>Indien Phoenix Metals eigen mengsels of oplossingen bereidt (bijv. verdund zwavelzuur, tussenproducten uit het vanadium-extractieproces), worden deze etiket conform CLP:</w:t>
      </w:r>
    </w:p>
    <w:p>
      <w:pPr>
        <w:pStyle w:val="ListBullet"/>
      </w:pPr>
      <w:r>
        <w:t>Gevaarlijkheidsbeoordeling op basis van de ingrediënten</w:t>
      </w:r>
    </w:p>
    <w:p>
      <w:pPr>
        <w:pStyle w:val="ListBullet"/>
      </w:pPr>
      <w:r>
        <w:t>Correct CLP-etiket aanbrengen met: productnaam, gevarenpictogrammen, H/P-zinnen, UFI (indien vereist)</w:t>
      </w:r>
    </w:p>
    <w:p>
      <w:pPr>
        <w:pStyle w:val="ListBullet"/>
      </w:pPr>
      <w:r>
        <w:t>UFI-toewijzing via de ECHA PCN-portal</w:t>
      </w:r>
    </w:p>
    <w:p>
      <w:pPr>
        <w:pStyle w:val="Heading2"/>
      </w:pPr>
      <w:r>
        <w:t>6.4 UFI-toewijzing procedure</w:t>
      </w:r>
    </w:p>
    <w:p>
      <w:pPr>
        <w:pStyle w:val="ListNumber"/>
      </w:pPr>
      <w:r>
        <w:t>Stap 1: Genereer een UFI via de ECHA Submission portal (https://poisoncentres.echa.europa.eu)</w:t>
      </w:r>
    </w:p>
    <w:p>
      <w:pPr>
        <w:pStyle w:val="ListNumber"/>
      </w:pPr>
      <w:r>
        <w:t>Stap 2: Registreer de UFI in het interne UFI-register</w:t>
      </w:r>
    </w:p>
    <w:p>
      <w:pPr>
        <w:pStyle w:val="ListNumber"/>
      </w:pPr>
      <w:r>
        <w:t>Stap 3: Breng de UFI aan op het etiket van het mengsel</w:t>
      </w:r>
    </w:p>
    <w:p>
      <w:pPr>
        <w:pStyle w:val="ListNumber"/>
      </w:pPr>
      <w:r>
        <w:t>Stap 4: Dien de PCN-melding in bij het Nationaal Vergiftigingen Informatie Centrum (NVIC)</w:t>
      </w:r>
    </w:p>
    <w:p>
      <w:pPr>
        <w:pStyle w:val="Heading2"/>
      </w:pPr>
      <w:r>
        <w:t>6.5 Opslaglabels</w:t>
      </w:r>
    </w:p>
    <w:p>
      <w:r>
        <w:t>Alle opslaglocaties voor gevaarlijke stoffen zijn voorzien van opslaglabels conform PGS 15:</w:t>
      </w:r>
    </w:p>
    <w:p>
      <w:pPr>
        <w:pStyle w:val="ListBullet"/>
      </w:pPr>
      <w:r>
        <w:t>Gevaarlijkheids pictogrammen op de kast/kluis/rek</w:t>
      </w:r>
    </w:p>
    <w:p>
      <w:pPr>
        <w:pStyle w:val="ListBullet"/>
      </w:pPr>
      <w:r>
        <w:t>H-zinnen zichtbaar bij de opslaglocatie</w:t>
      </w:r>
    </w:p>
    <w:p>
      <w:pPr>
        <w:pStyle w:val="ListBullet"/>
      </w:pPr>
      <w:r>
        <w:t>Noodprocedure-informatie bij de locatie (inclusief bereikbaarheid oogdouches / nooddouches)</w:t>
      </w:r>
    </w:p>
    <w:p>
      <w:r>
        <w:br w:type="page"/>
      </w:r>
    </w:p>
    <w:p>
      <w:pPr>
        <w:pStyle w:val="Heading1"/>
      </w:pPr>
      <w:r>
        <w:t>7. SOP-05: REACH-Registratie Voorbereiding</w:t>
      </w:r>
    </w:p>
    <w:p>
      <w:pPr>
        <w:pStyle w:val="Heading2"/>
      </w:pPr>
      <w:r>
        <w:t>7.1 Doel</w:t>
      </w:r>
    </w:p>
    <w:p>
      <w:r>
        <w:t>Voorbereiden op REACH-registratie voor het geval Phoenix Metals ≥ 1 ton/jaar van een stof produceert of importeert. Deze SOP beschrijft de stappen om een registratie voor te bereiden via het Vanadium Consortium.</w:t>
      </w:r>
    </w:p>
    <w:p>
      <w:pPr>
        <w:pStyle w:val="Heading2"/>
      </w:pPr>
      <w:r>
        <w:t>7.2 Achtergrond</w:t>
      </w:r>
    </w:p>
    <w:p>
      <w:r>
        <w:t>REACH hanteert het "one substance, one registration" (OSOR) principe. Fabrikanten en importeurs van dezelfde stof moeten gezamenlijk registreren via een SIEF (Substance Information Exchange Forum) of consortium.</w:t>
      </w:r>
    </w:p>
    <w:p>
      <w:r>
        <w:t>Het Vanadium REACH Consortium (vanadiumconsortium.com) heeft reeds 19 vanadiumverbindingen geregistreerd, waaronder natriummetavanaat (EC 237-272-7) en vanadium oxide sulfaat (EC 248-652-7). Phoenix Metals kan aansluiten via Full Membership of een Letter of Access (LoA) aanschaffen.</w:t>
      </w:r>
    </w:p>
    <w:p>
      <w:pPr>
        <w:pStyle w:val="Heading2"/>
      </w:pPr>
      <w:r>
        <w:t>7.3 Sameness Check Procedure</w:t>
      </w:r>
    </w:p>
    <w:p>
      <w:r>
        <w:t>Voordat registratie wordt gestart, moet worden vastgesteld of de stof die Phoenix Metals produceert "hetzelfde" is als de reeds geregistreerde stof in het consortium:</w:t>
      </w:r>
    </w:p>
    <w:tbl>
      <w:tblPr>
        <w:tblStyle w:val="TableGrid"/>
        <w:tblW w:type="auto" w:w="0"/>
        <w:jc w:val="center"/>
        <w:tblLook w:firstColumn="1" w:firstRow="1" w:lastColumn="0" w:lastRow="0" w:noHBand="0" w:noVBand="1" w:val="04A0"/>
      </w:tblPr>
      <w:tblGrid>
        <w:gridCol w:w="4320"/>
        <w:gridCol w:w="4320"/>
      </w:tblGrid>
      <w:tr>
        <w:tc>
          <w:tcPr>
            <w:tcW w:type="dxa" w:w="4320"/>
            <w:shd w:fill="003366" w:val="clear"/>
          </w:tcPr>
          <w:p>
            <w:pPr>
              <w:jc w:val="center"/>
            </w:pPr>
            <w:r>
              <w:rPr>
                <w:b/>
                <w:color w:val="FFFFFF"/>
                <w:sz w:val="18"/>
              </w:rPr>
              <w:t>Stap</w:t>
            </w:r>
          </w:p>
        </w:tc>
        <w:tc>
          <w:tcPr>
            <w:tcW w:type="dxa" w:w="4320"/>
            <w:shd w:fill="003366" w:val="clear"/>
          </w:tcPr>
          <w:p>
            <w:pPr>
              <w:jc w:val="center"/>
            </w:pPr>
            <w:r>
              <w:rPr>
                <w:b/>
                <w:color w:val="FFFFFF"/>
                <w:sz w:val="18"/>
              </w:rPr>
              <w:t>Omschrijving</w:t>
            </w:r>
          </w:p>
        </w:tc>
      </w:tr>
      <w:tr>
        <w:tc>
          <w:tcPr>
            <w:tcW w:type="dxa" w:w="4320"/>
          </w:tcPr>
          <w:p>
            <w:r>
              <w:rPr>
                <w:sz w:val="18"/>
              </w:rPr>
              <w:t>Stofidentificatie</w:t>
            </w:r>
          </w:p>
        </w:tc>
        <w:tc>
          <w:tcPr>
            <w:tcW w:type="dxa" w:w="4320"/>
          </w:tcPr>
          <w:p>
            <w:r>
              <w:rPr>
                <w:sz w:val="18"/>
              </w:rPr>
              <w:t>Bepaal de exacte chemische identiteit: naam, CAS, EG, molecuulformule, structuur.</w:t>
            </w:r>
          </w:p>
        </w:tc>
      </w:tr>
      <w:tr>
        <w:tc>
          <w:tcPr>
            <w:tcW w:type="dxa" w:w="4320"/>
            <w:shd w:fill="E8EEF4" w:val="clear"/>
          </w:tcPr>
          <w:p>
            <w:r>
              <w:rPr>
                <w:sz w:val="18"/>
              </w:rPr>
              <w:t>Same constituent?</w:t>
            </w:r>
          </w:p>
        </w:tc>
        <w:tc>
          <w:tcPr>
            <w:tcW w:type="dxa" w:w="4320"/>
            <w:shd w:fill="E8EEF4" w:val="clear"/>
          </w:tcPr>
          <w:p>
            <w:r>
              <w:rPr>
                <w:sz w:val="18"/>
              </w:rPr>
              <w:t>Controleer of het hoofdbestanddeel ≥ 80% is (mono-constituent) of 10-80% (multi-constituent) overeenkomt met de consortium-registratie.</w:t>
            </w:r>
          </w:p>
        </w:tc>
      </w:tr>
      <w:tr>
        <w:tc>
          <w:tcPr>
            <w:tcW w:type="dxa" w:w="4320"/>
          </w:tcPr>
          <w:p>
            <w:r>
              <w:rPr>
                <w:sz w:val="18"/>
              </w:rPr>
              <w:t>Verontreinigingen</w:t>
            </w:r>
          </w:p>
        </w:tc>
        <w:tc>
          <w:tcPr>
            <w:tcW w:type="dxa" w:w="4320"/>
          </w:tcPr>
          <w:p>
            <w:r>
              <w:rPr>
                <w:sz w:val="18"/>
              </w:rPr>
              <w:t>Identificeer relevante verontreinigingen (&gt; 0,1%). Vergelijk met het consortium-profiel.</w:t>
            </w:r>
          </w:p>
        </w:tc>
      </w:tr>
      <w:tr>
        <w:tc>
          <w:tcPr>
            <w:tcW w:type="dxa" w:w="4320"/>
            <w:shd w:fill="E8EEF4" w:val="clear"/>
          </w:tcPr>
          <w:p>
            <w:r>
              <w:rPr>
                <w:sz w:val="18"/>
              </w:rPr>
              <w:t>Spectroscopische data</w:t>
            </w:r>
          </w:p>
        </w:tc>
        <w:tc>
          <w:tcPr>
            <w:tcW w:type="dxa" w:w="4320"/>
            <w:shd w:fill="E8EEF4" w:val="clear"/>
          </w:tcPr>
          <w:p>
            <w:r>
              <w:rPr>
                <w:sz w:val="18"/>
              </w:rPr>
              <w:t>Vergelijk analytische data (XRD, XRF, ICP-OES) met het referentiedossier.</w:t>
            </w:r>
          </w:p>
        </w:tc>
      </w:tr>
      <w:tr>
        <w:tc>
          <w:tcPr>
            <w:tcW w:type="dxa" w:w="4320"/>
          </w:tcPr>
          <w:p>
            <w:r>
              <w:rPr>
                <w:sz w:val="18"/>
              </w:rPr>
              <w:t>Conclusie</w:t>
            </w:r>
          </w:p>
        </w:tc>
        <w:tc>
          <w:tcPr>
            <w:tcW w:type="dxa" w:w="4320"/>
          </w:tcPr>
          <w:p>
            <w:r>
              <w:rPr>
                <w:sz w:val="18"/>
              </w:rPr>
              <w:t>Documenteer de sameness-beoordeling. Bij twijfel: neem contact op met het consortium secretariaat.</w:t>
            </w:r>
          </w:p>
        </w:tc>
      </w:tr>
    </w:tbl>
    <w:p>
      <w:pPr>
        <w:pStyle w:val="Heading2"/>
      </w:pPr>
      <w:r>
        <w:t>7.4 Contact Vanadium Consortium</w:t>
      </w:r>
    </w:p>
    <w:p>
      <w:r>
        <w:t>Contactgegevens: Vanadium REACH Consortium — https://vanadiumconsortium.com</w:t>
      </w:r>
    </w:p>
    <w:p>
      <w:r>
        <w:t>Neem contact op voor:</w:t>
      </w:r>
    </w:p>
    <w:p>
      <w:pPr>
        <w:pStyle w:val="ListBullet"/>
      </w:pPr>
      <w:r>
        <w:t>Verzoek om Sameness Check ondersteuning</w:t>
      </w:r>
    </w:p>
    <w:p>
      <w:pPr>
        <w:pStyle w:val="ListBullet"/>
      </w:pPr>
      <w:r>
        <w:t>Informatie over LoA-kosten per tonnage band</w:t>
      </w:r>
    </w:p>
    <w:p>
      <w:pPr>
        <w:pStyle w:val="ListBullet"/>
      </w:pPr>
      <w:r>
        <w:t>Full Membership voorwaarden</w:t>
      </w:r>
    </w:p>
    <w:p>
      <w:pPr>
        <w:pStyle w:val="ListBullet"/>
      </w:pPr>
      <w:r>
        <w:t>Toegang tot het joint registration dossier</w:t>
      </w:r>
    </w:p>
    <w:p>
      <w:pPr>
        <w:pStyle w:val="Heading2"/>
      </w:pPr>
      <w:r>
        <w:t>7.5 LoA aanschaffen workflow</w:t>
      </w:r>
    </w:p>
    <w:p>
      <w:r>
        <w:t>Stap 1: Bepaal de tonnage band (1-10 t/j, 10-100 t/j, 100-1000 t/j, &gt;1000 t/j).</w:t>
      </w:r>
    </w:p>
    <w:p>
      <w:r>
        <w:t>Stap 2: Vraag een offerte aan bij het Vanadium Consortium secretariaat.</w:t>
      </w:r>
    </w:p>
    <w:p>
      <w:r>
        <w:t>Stap 3: Budgetbeschikking door directie Phoenix Metals.</w:t>
      </w:r>
    </w:p>
    <w:p>
      <w:r>
        <w:t>Stap 4: Ondertekening LoA-overeenkomst door bevoegd vertegenwoordiger.</w:t>
      </w:r>
    </w:p>
    <w:p>
      <w:r>
        <w:t>Stap 5: Betaling van de LoA fee.</w:t>
      </w:r>
    </w:p>
    <w:p>
      <w:r>
        <w:t>Stap 6: Ontvangst van de LoA en referentienummer.</w:t>
      </w:r>
    </w:p>
    <w:p>
      <w:r>
        <w:t>Stap 7: Bewaar de LoA in het REACH-compliance archief.</w:t>
      </w:r>
    </w:p>
    <w:p>
      <w:pPr>
        <w:pStyle w:val="Heading2"/>
      </w:pPr>
      <w:r>
        <w:t>7.6 Route B: Eigen registratiedossier</w:t>
      </w:r>
    </w:p>
    <w:p>
      <w:r>
        <w:t>Indien de sameness check negatief uitvalt (de stof komt niet overeen met een consortium-registratie), moet Phoenix Metals een eigen registratiedossier opstellen (Route B). Dit omvat:</w:t>
      </w:r>
    </w:p>
    <w:p>
      <w:pPr>
        <w:pStyle w:val="ListBullet"/>
      </w:pPr>
      <w:r>
        <w:t>IUCLID-dossier opstellen met alle verplichte bijlagen</w:t>
      </w:r>
    </w:p>
    <w:p>
      <w:pPr>
        <w:pStyle w:val="ListBullet"/>
      </w:pPr>
      <w:r>
        <w:t>Technisch dossier (stofidentiteit, fys.-chem. eigenschappen, toxicologie, ecotoxicologie)</w:t>
      </w:r>
    </w:p>
    <w:p>
      <w:pPr>
        <w:pStyle w:val="ListBullet"/>
      </w:pPr>
      <w:r>
        <w:t>Chemical Safety Report (CSR) bij ≥ 10 ton/jaar</w:t>
      </w:r>
    </w:p>
    <w:p>
      <w:pPr>
        <w:pStyle w:val="ListBullet"/>
      </w:pPr>
      <w:r>
        <w:t>Indiening via REACH-IT (ECHA-portaal)</w:t>
      </w:r>
    </w:p>
    <w:p>
      <w:r>
        <w:t>Route B is aanzienlijk kostbaarder en tijdrovender. Preferentie gaat uit naar Route A (LoA via consortium).</w:t>
      </w:r>
    </w:p>
    <w:p>
      <w:r>
        <w:br w:type="page"/>
      </w:r>
    </w:p>
    <w:p>
      <w:pPr>
        <w:pStyle w:val="Heading1"/>
      </w:pPr>
      <w:r>
        <w:t>8. SOP-06: PPORD-melding</w:t>
      </w:r>
    </w:p>
    <w:p>
      <w:pPr>
        <w:pStyle w:val="Heading2"/>
      </w:pPr>
      <w:r>
        <w:t>8.1 Doel</w:t>
      </w:r>
    </w:p>
    <w:p>
      <w:r>
        <w:t>Procedure voor het doen van een PPORD-melding (Product and Process Orientated Research and Development) bij het ECHA, conform REACH art. 9. Dit is relevant wanneer Phoenix Metals een niet-geregistreerde stof wil gebruiken voor onderzoek- en ontwikkelingsdoeleinden.</w:t>
      </w:r>
    </w:p>
    <w:p>
      <w:pPr>
        <w:pStyle w:val="Heading2"/>
      </w:pPr>
      <w:r>
        <w:t>8.2 Wanneer een PPORD-melding?</w:t>
      </w:r>
    </w:p>
    <w:p>
      <w:r>
        <w:t>Een PPORD-melding is vereist wanneer:</w:t>
      </w:r>
    </w:p>
    <w:p>
      <w:pPr>
        <w:pStyle w:val="ListBullet"/>
      </w:pPr>
      <w:r>
        <w:t>Phoenix Metals een niet-geregistreerde stof wil produceren of importeren voor R&amp;D</w:t>
      </w:r>
    </w:p>
    <w:p>
      <w:pPr>
        <w:pStyle w:val="ListBullet"/>
      </w:pPr>
      <w:r>
        <w:t>De hoeveelheid ≥ 1 ton/jaar bedraagt</w:t>
      </w:r>
    </w:p>
    <w:p>
      <w:pPr>
        <w:pStyle w:val="ListBullet"/>
      </w:pPr>
      <w:r>
        <w:t>De stof niet anderszins is vrijgesteld (bijv. ≤ 1 ton/jaar of vermeld in Bijlage V)</w:t>
      </w:r>
    </w:p>
    <w:p>
      <w:r>
        <w:t>In de huidige demo-fase (&lt; 1 ton/jaar) is een PPORD-melding niet verplicht. Bij opschaling naar &gt; 1 ton/jaar zonder volledige REACH-registratie moet PPORD worden overwogen.</w:t>
      </w:r>
    </w:p>
    <w:p>
      <w:pPr>
        <w:pStyle w:val="Heading2"/>
      </w:pPr>
      <w:r>
        <w:t>8.3 Inhoud PPORD-melding</w:t>
      </w:r>
    </w:p>
    <w:tbl>
      <w:tblPr>
        <w:tblStyle w:val="TableGrid"/>
        <w:tblW w:type="auto" w:w="0"/>
        <w:jc w:val="center"/>
        <w:tblLook w:firstColumn="1" w:firstRow="1" w:lastColumn="0" w:lastRow="0" w:noHBand="0" w:noVBand="1" w:val="04A0"/>
      </w:tblPr>
      <w:tblGrid>
        <w:gridCol w:w="4320"/>
        <w:gridCol w:w="4320"/>
      </w:tblGrid>
      <w:tr>
        <w:tc>
          <w:tcPr>
            <w:tcW w:type="dxa" w:w="4320"/>
            <w:shd w:fill="003366" w:val="clear"/>
          </w:tcPr>
          <w:p>
            <w:pPr>
              <w:jc w:val="center"/>
            </w:pPr>
            <w:r>
              <w:rPr>
                <w:b/>
                <w:color w:val="FFFFFF"/>
                <w:sz w:val="18"/>
              </w:rPr>
              <w:t>Element</w:t>
            </w:r>
          </w:p>
        </w:tc>
        <w:tc>
          <w:tcPr>
            <w:tcW w:type="dxa" w:w="4320"/>
            <w:shd w:fill="003366" w:val="clear"/>
          </w:tcPr>
          <w:p>
            <w:pPr>
              <w:jc w:val="center"/>
            </w:pPr>
            <w:r>
              <w:rPr>
                <w:b/>
                <w:color w:val="FFFFFF"/>
                <w:sz w:val="18"/>
              </w:rPr>
              <w:t>Beschrijving</w:t>
            </w:r>
          </w:p>
        </w:tc>
      </w:tr>
      <w:tr>
        <w:tc>
          <w:tcPr>
            <w:tcW w:type="dxa" w:w="4320"/>
          </w:tcPr>
          <w:p>
            <w:r>
              <w:rPr>
                <w:sz w:val="18"/>
              </w:rPr>
              <w:t>Identiteit van de stof</w:t>
            </w:r>
          </w:p>
        </w:tc>
        <w:tc>
          <w:tcPr>
            <w:tcW w:type="dxa" w:w="4320"/>
          </w:tcPr>
          <w:p>
            <w:r>
              <w:rPr>
                <w:sz w:val="18"/>
              </w:rPr>
              <w:t>Naam, CAS, EG, molecuulformule</w:t>
            </w:r>
          </w:p>
        </w:tc>
      </w:tr>
      <w:tr>
        <w:tc>
          <w:tcPr>
            <w:tcW w:type="dxa" w:w="4320"/>
            <w:shd w:fill="E8EEF4" w:val="clear"/>
          </w:tcPr>
          <w:p>
            <w:r>
              <w:rPr>
                <w:sz w:val="18"/>
              </w:rPr>
              <w:t>Producent / importeur</w:t>
            </w:r>
          </w:p>
        </w:tc>
        <w:tc>
          <w:tcPr>
            <w:tcW w:type="dxa" w:w="4320"/>
            <w:shd w:fill="E8EEF4" w:val="clear"/>
          </w:tcPr>
          <w:p>
            <w:r>
              <w:rPr>
                <w:sz w:val="18"/>
              </w:rPr>
              <w:t>Bedrijfsnaam, adres, contactpersoon</w:t>
            </w:r>
          </w:p>
        </w:tc>
      </w:tr>
      <w:tr>
        <w:tc>
          <w:tcPr>
            <w:tcW w:type="dxa" w:w="4320"/>
          </w:tcPr>
          <w:p>
            <w:r>
              <w:rPr>
                <w:sz w:val="18"/>
              </w:rPr>
              <w:t>Onderzoeksdoel</w:t>
            </w:r>
          </w:p>
        </w:tc>
        <w:tc>
          <w:tcPr>
            <w:tcW w:type="dxa" w:w="4320"/>
          </w:tcPr>
          <w:p>
            <w:r>
              <w:rPr>
                <w:sz w:val="18"/>
              </w:rPr>
              <w:t>Beschrijving van het R&amp;D-programma</w:t>
            </w:r>
          </w:p>
        </w:tc>
      </w:tr>
      <w:tr>
        <w:tc>
          <w:tcPr>
            <w:tcW w:type="dxa" w:w="4320"/>
            <w:shd w:fill="E8EEF4" w:val="clear"/>
          </w:tcPr>
          <w:p>
            <w:r>
              <w:rPr>
                <w:sz w:val="18"/>
              </w:rPr>
              <w:t>Locatie R&amp;D</w:t>
            </w:r>
          </w:p>
        </w:tc>
        <w:tc>
          <w:tcPr>
            <w:tcW w:type="dxa" w:w="4320"/>
            <w:shd w:fill="E8EEF4" w:val="clear"/>
          </w:tcPr>
          <w:p>
            <w:r>
              <w:rPr>
                <w:sz w:val="18"/>
              </w:rPr>
              <w:t>Adres(sen) waar het onderzoek plaatsvindt</w:t>
            </w:r>
          </w:p>
        </w:tc>
      </w:tr>
      <w:tr>
        <w:tc>
          <w:tcPr>
            <w:tcW w:type="dxa" w:w="4320"/>
          </w:tcPr>
          <w:p>
            <w:r>
              <w:rPr>
                <w:sz w:val="18"/>
              </w:rPr>
              <w:t>Verwachte tonnage</w:t>
            </w:r>
          </w:p>
        </w:tc>
        <w:tc>
          <w:tcPr>
            <w:tcW w:type="dxa" w:w="4320"/>
          </w:tcPr>
          <w:p>
            <w:r>
              <w:rPr>
                <w:sz w:val="18"/>
              </w:rPr>
              <w:t>Geschatte hoeveelheid per jaar</w:t>
            </w:r>
          </w:p>
        </w:tc>
      </w:tr>
      <w:tr>
        <w:tc>
          <w:tcPr>
            <w:tcW w:type="dxa" w:w="4320"/>
            <w:shd w:fill="E8EEF4" w:val="clear"/>
          </w:tcPr>
          <w:p>
            <w:r>
              <w:rPr>
                <w:sz w:val="18"/>
              </w:rPr>
              <w:t>Tijdsbestek</w:t>
            </w:r>
          </w:p>
        </w:tc>
        <w:tc>
          <w:tcPr>
            <w:tcW w:type="dxa" w:w="4320"/>
            <w:shd w:fill="E8EEF4" w:val="clear"/>
          </w:tcPr>
          <w:p>
            <w:r>
              <w:rPr>
                <w:sz w:val="18"/>
              </w:rPr>
              <w:t>Verwachte duur van het R&amp;D-programma (max. 5 jaar)</w:t>
            </w:r>
          </w:p>
        </w:tc>
      </w:tr>
      <w:tr>
        <w:tc>
          <w:tcPr>
            <w:tcW w:type="dxa" w:w="4320"/>
          </w:tcPr>
          <w:p>
            <w:r>
              <w:rPr>
                <w:sz w:val="18"/>
              </w:rPr>
              <w:t>Risicobeheersing</w:t>
            </w:r>
          </w:p>
        </w:tc>
        <w:tc>
          <w:tcPr>
            <w:tcW w:type="dxa" w:w="4320"/>
          </w:tcPr>
          <w:p>
            <w:r>
              <w:rPr>
                <w:sz w:val="18"/>
              </w:rPr>
              <w:t>Beschrijving van maatregelen ter beheersing van risico's</w:t>
            </w:r>
          </w:p>
        </w:tc>
      </w:tr>
    </w:tbl>
    <w:p>
      <w:pPr>
        <w:pStyle w:val="Heading2"/>
      </w:pPr>
      <w:r>
        <w:t>8.4 Tijdslimieten</w:t>
      </w:r>
    </w:p>
    <w:p>
      <w:pPr>
        <w:pStyle w:val="ListBullet"/>
      </w:pPr>
      <w:r>
        <w:t>Standaardduur: 5 jaar</w:t>
      </w:r>
    </w:p>
    <w:p>
      <w:pPr>
        <w:pStyle w:val="ListBullet"/>
      </w:pPr>
      <w:r>
        <w:t>Verlenging: mogelijk op verzoek bij ECHA (gemotiveerd verzoek, voorafgaand aan afloop)</w:t>
      </w:r>
    </w:p>
    <w:p>
      <w:pPr>
        <w:pStyle w:val="ListBullet"/>
      </w:pPr>
      <w:r>
        <w:t>Tijdens de PPORD-periode is de stof vrijgesteld van registratie (mits binnen de gemelde hoeveelheid en toepassing)</w:t>
      </w:r>
    </w:p>
    <w:p>
      <w:pPr>
        <w:pStyle w:val="Heading2"/>
      </w:pPr>
      <w:r>
        <w:t>8.5 Overgang naar volledige registratie</w:t>
      </w:r>
    </w:p>
    <w:p>
      <w:r>
        <w:t>Bij het verstrijken van de PPORD-periode of bij commerciële productie:</w:t>
      </w:r>
    </w:p>
    <w:p>
      <w:pPr>
        <w:pStyle w:val="ListBullet"/>
      </w:pPr>
      <w:r>
        <w:t>Start de REACH-registratieprocedure (SOP-05) minimaal 12 maanden vóór afloop PPORD</w:t>
      </w:r>
    </w:p>
    <w:p>
      <w:pPr>
        <w:pStyle w:val="ListBullet"/>
      </w:pPr>
      <w:r>
        <w:t>Zorg dat de productie niet onderbroken wordt — overgangsregelingen via ECHA indienen indien nodig</w:t>
      </w:r>
    </w:p>
    <w:p>
      <w:pPr>
        <w:pStyle w:val="ListBullet"/>
      </w:pPr>
      <w:r>
        <w:t>Archiveer alle PPORD-documentatie als onderdeel van het registratiedossier</w:t>
      </w:r>
    </w:p>
    <w:p>
      <w:r>
        <w:br w:type="page"/>
      </w:r>
    </w:p>
    <w:p>
      <w:pPr>
        <w:pStyle w:val="Heading1"/>
      </w:pPr>
      <w:r>
        <w:t>9. SOP-07: Audit &amp; Compliance Check</w:t>
      </w:r>
    </w:p>
    <w:p>
      <w:pPr>
        <w:pStyle w:val="Heading2"/>
      </w:pPr>
      <w:r>
        <w:t>9.1 Doel</w:t>
      </w:r>
    </w:p>
    <w:p>
      <w:r>
        <w:t>Structureel en periodiek evalueren of Phoenix Metals voldoet aan alle REACH- en CLP-verplichtingen. De jaarlijkse compliance check borgt dat afwijkingen tijdig worden geïdentificeerd en gecorrigeerd.</w:t>
      </w:r>
    </w:p>
    <w:p>
      <w:pPr>
        <w:pStyle w:val="Heading2"/>
      </w:pPr>
      <w:r>
        <w:t>9.2 Frequentie</w:t>
      </w:r>
    </w:p>
    <w:p>
      <w:pPr>
        <w:pStyle w:val="ListBullet"/>
      </w:pPr>
      <w:r>
        <w:t>Jaarlijkse REACH-compliance check: Q1 van elk kalenderjaar</w:t>
      </w:r>
    </w:p>
    <w:p>
      <w:pPr>
        <w:pStyle w:val="ListBullet"/>
      </w:pPr>
      <w:r>
        <w:t>Interim check: bij significante wijzigingen (nieuwe stoffen, proceswijzigingen, wetgevingwijzigingen)</w:t>
      </w:r>
    </w:p>
    <w:p>
      <w:pPr>
        <w:pStyle w:val="ListBullet"/>
      </w:pPr>
      <w:r>
        <w:t>Incidenteel: naar aanleiding van audits van toezichthouders (ILenT, Inspectie SZW)</w:t>
      </w:r>
    </w:p>
    <w:p>
      <w:pPr>
        <w:pStyle w:val="Heading2"/>
      </w:pPr>
      <w:r>
        <w:t>9.3 Checklist items</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val="clear"/>
          </w:tcPr>
          <w:p>
            <w:pPr>
              <w:jc w:val="center"/>
            </w:pPr>
            <w:r>
              <w:rPr>
                <w:b/>
                <w:color w:val="FFFFFF"/>
                <w:sz w:val="18"/>
              </w:rPr>
              <w:t>#</w:t>
            </w:r>
          </w:p>
        </w:tc>
        <w:tc>
          <w:tcPr>
            <w:tcW w:type="dxa" w:w="2880"/>
            <w:shd w:fill="003366" w:val="clear"/>
          </w:tcPr>
          <w:p>
            <w:pPr>
              <w:jc w:val="center"/>
            </w:pPr>
            <w:r>
              <w:rPr>
                <w:b/>
                <w:color w:val="FFFFFF"/>
                <w:sz w:val="18"/>
              </w:rPr>
              <w:t>Onderdeel</w:t>
            </w:r>
          </w:p>
        </w:tc>
        <w:tc>
          <w:tcPr>
            <w:tcW w:type="dxa" w:w="2880"/>
            <w:shd w:fill="003366" w:val="clear"/>
          </w:tcPr>
          <w:p>
            <w:pPr>
              <w:jc w:val="center"/>
            </w:pPr>
            <w:r>
              <w:rPr>
                <w:b/>
                <w:color w:val="FFFFFF"/>
                <w:sz w:val="18"/>
              </w:rPr>
              <w:t>Check</w:t>
            </w:r>
          </w:p>
        </w:tc>
      </w:tr>
      <w:tr>
        <w:tc>
          <w:tcPr>
            <w:tcW w:type="dxa" w:w="2880"/>
          </w:tcPr>
          <w:p>
            <w:r>
              <w:rPr>
                <w:sz w:val="18"/>
              </w:rPr>
              <w:t>1</w:t>
            </w:r>
          </w:p>
        </w:tc>
        <w:tc>
          <w:tcPr>
            <w:tcW w:type="dxa" w:w="2880"/>
          </w:tcPr>
          <w:p>
            <w:r>
              <w:rPr>
                <w:sz w:val="18"/>
              </w:rPr>
              <w:t>Chemicals Master Register</w:t>
            </w:r>
          </w:p>
        </w:tc>
        <w:tc>
          <w:tcPr>
            <w:tcW w:type="dxa" w:w="2880"/>
          </w:tcPr>
          <w:p>
            <w:r>
              <w:rPr>
                <w:sz w:val="18"/>
              </w:rPr>
              <w:t>Compleet en actueel? Alle stoffen geregistreerd?</w:t>
            </w:r>
          </w:p>
        </w:tc>
      </w:tr>
      <w:tr>
        <w:tc>
          <w:tcPr>
            <w:tcW w:type="dxa" w:w="2880"/>
            <w:shd w:fill="E8EEF4" w:val="clear"/>
          </w:tcPr>
          <w:p>
            <w:r>
              <w:rPr>
                <w:sz w:val="18"/>
              </w:rPr>
              <w:t>2</w:t>
            </w:r>
          </w:p>
        </w:tc>
        <w:tc>
          <w:tcPr>
            <w:tcW w:type="dxa" w:w="2880"/>
            <w:shd w:fill="E8EEF4" w:val="clear"/>
          </w:tcPr>
          <w:p>
            <w:r>
              <w:rPr>
                <w:sz w:val="18"/>
              </w:rPr>
              <w:t>SDS-beschikbaarheid</w:t>
            </w:r>
          </w:p>
        </w:tc>
        <w:tc>
          <w:tcPr>
            <w:tcW w:type="dxa" w:w="2880"/>
            <w:shd w:fill="E8EEF4" w:val="clear"/>
          </w:tcPr>
          <w:p>
            <w:r>
              <w:rPr>
                <w:sz w:val="18"/>
              </w:rPr>
              <w:t>Voor alle stoffen een actuele SDS (&lt; 3 jaar)?</w:t>
            </w:r>
          </w:p>
        </w:tc>
      </w:tr>
      <w:tr>
        <w:tc>
          <w:tcPr>
            <w:tcW w:type="dxa" w:w="2880"/>
          </w:tcPr>
          <w:p>
            <w:r>
              <w:rPr>
                <w:sz w:val="18"/>
              </w:rPr>
              <w:t>3</w:t>
            </w:r>
          </w:p>
        </w:tc>
        <w:tc>
          <w:tcPr>
            <w:tcW w:type="dxa" w:w="2880"/>
          </w:tcPr>
          <w:p>
            <w:r>
              <w:rPr>
                <w:sz w:val="18"/>
              </w:rPr>
              <w:t>CLP-etikettering</w:t>
            </w:r>
          </w:p>
        </w:tc>
        <w:tc>
          <w:tcPr>
            <w:tcW w:type="dxa" w:w="2880"/>
          </w:tcPr>
          <w:p>
            <w:r>
              <w:rPr>
                <w:sz w:val="18"/>
              </w:rPr>
              <w:t>Alle verpakkingen correct etiket?</w:t>
            </w:r>
          </w:p>
        </w:tc>
      </w:tr>
      <w:tr>
        <w:tc>
          <w:tcPr>
            <w:tcW w:type="dxa" w:w="2880"/>
            <w:shd w:fill="E8EEF4" w:val="clear"/>
          </w:tcPr>
          <w:p>
            <w:r>
              <w:rPr>
                <w:sz w:val="18"/>
              </w:rPr>
              <w:t>4</w:t>
            </w:r>
          </w:p>
        </w:tc>
        <w:tc>
          <w:tcPr>
            <w:tcW w:type="dxa" w:w="2880"/>
            <w:shd w:fill="E8EEF4" w:val="clear"/>
          </w:tcPr>
          <w:p>
            <w:r>
              <w:rPr>
                <w:sz w:val="18"/>
              </w:rPr>
              <w:t>CMR Namelist</w:t>
            </w:r>
          </w:p>
        </w:tc>
        <w:tc>
          <w:tcPr>
            <w:tcW w:type="dxa" w:w="2880"/>
            <w:shd w:fill="E8EEF4" w:val="clear"/>
          </w:tcPr>
          <w:p>
            <w:r>
              <w:rPr>
                <w:sz w:val="18"/>
              </w:rPr>
              <w:t>Actueel? Alle blootgestelde medewerkers geregistreerd?</w:t>
            </w:r>
          </w:p>
        </w:tc>
      </w:tr>
      <w:tr>
        <w:tc>
          <w:tcPr>
            <w:tcW w:type="dxa" w:w="2880"/>
          </w:tcPr>
          <w:p>
            <w:r>
              <w:rPr>
                <w:sz w:val="18"/>
              </w:rPr>
              <w:t>5</w:t>
            </w:r>
          </w:p>
        </w:tc>
        <w:tc>
          <w:tcPr>
            <w:tcW w:type="dxa" w:w="2880"/>
          </w:tcPr>
          <w:p>
            <w:r>
              <w:rPr>
                <w:sz w:val="18"/>
              </w:rPr>
              <w:t>SVHC-check</w:t>
            </w:r>
          </w:p>
        </w:tc>
        <w:tc>
          <w:tcPr>
            <w:tcW w:type="dxa" w:w="2880"/>
          </w:tcPr>
          <w:p>
            <w:r>
              <w:rPr>
                <w:sz w:val="18"/>
              </w:rPr>
              <w:t>Kandidatenlijst gecontroleerd op recente toevoegingen?</w:t>
            </w:r>
          </w:p>
        </w:tc>
      </w:tr>
      <w:tr>
        <w:tc>
          <w:tcPr>
            <w:tcW w:type="dxa" w:w="2880"/>
            <w:shd w:fill="E8EEF4" w:val="clear"/>
          </w:tcPr>
          <w:p>
            <w:r>
              <w:rPr>
                <w:sz w:val="18"/>
              </w:rPr>
              <w:t>6</w:t>
            </w:r>
          </w:p>
        </w:tc>
        <w:tc>
          <w:tcPr>
            <w:tcW w:type="dxa" w:w="2880"/>
            <w:shd w:fill="E8EEF4" w:val="clear"/>
          </w:tcPr>
          <w:p>
            <w:r>
              <w:rPr>
                <w:sz w:val="18"/>
              </w:rPr>
              <w:t>UFI / PCN</w:t>
            </w:r>
          </w:p>
        </w:tc>
        <w:tc>
          <w:tcPr>
            <w:tcW w:type="dxa" w:w="2880"/>
            <w:shd w:fill="E8EEF4" w:val="clear"/>
          </w:tcPr>
          <w:p>
            <w:r>
              <w:rPr>
                <w:sz w:val="18"/>
              </w:rPr>
              <w:t>Alle mengsels gemeld? UFIs op etiketten?</w:t>
            </w:r>
          </w:p>
        </w:tc>
      </w:tr>
      <w:tr>
        <w:tc>
          <w:tcPr>
            <w:tcW w:type="dxa" w:w="2880"/>
          </w:tcPr>
          <w:p>
            <w:r>
              <w:rPr>
                <w:sz w:val="18"/>
              </w:rPr>
              <w:t>7</w:t>
            </w:r>
          </w:p>
        </w:tc>
        <w:tc>
          <w:tcPr>
            <w:tcW w:type="dxa" w:w="2880"/>
          </w:tcPr>
          <w:p>
            <w:r>
              <w:rPr>
                <w:sz w:val="18"/>
              </w:rPr>
              <w:t>PGS 15 opslag</w:t>
            </w:r>
          </w:p>
        </w:tc>
        <w:tc>
          <w:tcPr>
            <w:tcW w:type="dxa" w:w="2880"/>
          </w:tcPr>
          <w:p>
            <w:r>
              <w:rPr>
                <w:sz w:val="18"/>
              </w:rPr>
              <w:t>Opslag conform richtlijn? Veiligheidsvoorzieningen aanwezig?</w:t>
            </w:r>
          </w:p>
        </w:tc>
      </w:tr>
      <w:tr>
        <w:tc>
          <w:tcPr>
            <w:tcW w:type="dxa" w:w="2880"/>
            <w:shd w:fill="E8EEF4" w:val="clear"/>
          </w:tcPr>
          <w:p>
            <w:r>
              <w:rPr>
                <w:sz w:val="18"/>
              </w:rPr>
              <w:t>8</w:t>
            </w:r>
          </w:p>
        </w:tc>
        <w:tc>
          <w:tcPr>
            <w:tcW w:type="dxa" w:w="2880"/>
            <w:shd w:fill="E8EEF4" w:val="clear"/>
          </w:tcPr>
          <w:p>
            <w:r>
              <w:rPr>
                <w:sz w:val="18"/>
              </w:rPr>
              <w:t>PBM-matrix</w:t>
            </w:r>
          </w:p>
        </w:tc>
        <w:tc>
          <w:tcPr>
            <w:tcW w:type="dxa" w:w="2880"/>
            <w:shd w:fill="E8EEF4" w:val="clear"/>
          </w:tcPr>
          <w:p>
            <w:r>
              <w:rPr>
                <w:sz w:val="18"/>
              </w:rPr>
              <w:t>Actueel en afgestemd op actuele stoffenlijst?</w:t>
            </w:r>
          </w:p>
        </w:tc>
      </w:tr>
      <w:tr>
        <w:tc>
          <w:tcPr>
            <w:tcW w:type="dxa" w:w="2880"/>
          </w:tcPr>
          <w:p>
            <w:r>
              <w:rPr>
                <w:sz w:val="18"/>
              </w:rPr>
              <w:t>9</w:t>
            </w:r>
          </w:p>
        </w:tc>
        <w:tc>
          <w:tcPr>
            <w:tcW w:type="dxa" w:w="2880"/>
          </w:tcPr>
          <w:p>
            <w:r>
              <w:rPr>
                <w:sz w:val="18"/>
              </w:rPr>
              <w:t>RI&amp;E</w:t>
            </w:r>
          </w:p>
        </w:tc>
        <w:tc>
          <w:tcPr>
            <w:tcW w:type="dxa" w:w="2880"/>
          </w:tcPr>
          <w:p>
            <w:r>
              <w:rPr>
                <w:sz w:val="18"/>
              </w:rPr>
              <w:t>Actueel inclusief alle gevaarlijke stoffen?</w:t>
            </w:r>
          </w:p>
        </w:tc>
      </w:tr>
      <w:tr>
        <w:tc>
          <w:tcPr>
            <w:tcW w:type="dxa" w:w="2880"/>
            <w:shd w:fill="E8EEF4" w:val="clear"/>
          </w:tcPr>
          <w:p>
            <w:r>
              <w:rPr>
                <w:sz w:val="18"/>
              </w:rPr>
              <w:t>10</w:t>
            </w:r>
          </w:p>
        </w:tc>
        <w:tc>
          <w:tcPr>
            <w:tcW w:type="dxa" w:w="2880"/>
            <w:shd w:fill="E8EEF4" w:val="clear"/>
          </w:tcPr>
          <w:p>
            <w:r>
              <w:rPr>
                <w:sz w:val="18"/>
              </w:rPr>
              <w:t>Training</w:t>
            </w:r>
          </w:p>
        </w:tc>
        <w:tc>
          <w:tcPr>
            <w:tcW w:type="dxa" w:w="2880"/>
            <w:shd w:fill="E8EEF4" w:val="clear"/>
          </w:tcPr>
          <w:p>
            <w:r>
              <w:rPr>
                <w:sz w:val="18"/>
              </w:rPr>
              <w:t>Alle medewerkers getraind op gevaarlijke stoffen (laatste 12 maanden)?</w:t>
            </w:r>
          </w:p>
        </w:tc>
      </w:tr>
      <w:tr>
        <w:tc>
          <w:tcPr>
            <w:tcW w:type="dxa" w:w="2880"/>
          </w:tcPr>
          <w:p>
            <w:r>
              <w:rPr>
                <w:sz w:val="18"/>
              </w:rPr>
              <w:t>11</w:t>
            </w:r>
          </w:p>
        </w:tc>
        <w:tc>
          <w:tcPr>
            <w:tcW w:type="dxa" w:w="2880"/>
          </w:tcPr>
          <w:p>
            <w:r>
              <w:rPr>
                <w:sz w:val="18"/>
              </w:rPr>
              <w:t>REACH-registratiestatus</w:t>
            </w:r>
          </w:p>
        </w:tc>
        <w:tc>
          <w:tcPr>
            <w:tcW w:type="dxa" w:w="2880"/>
          </w:tcPr>
          <w:p>
            <w:r>
              <w:rPr>
                <w:sz w:val="18"/>
              </w:rPr>
              <w:t>Tonnage bewaking: &lt; 1 t/j in demo-fase? Voorbereiding commerciële fase?</w:t>
            </w:r>
          </w:p>
        </w:tc>
      </w:tr>
      <w:tr>
        <w:tc>
          <w:tcPr>
            <w:tcW w:type="dxa" w:w="2880"/>
            <w:shd w:fill="E8EEF4" w:val="clear"/>
          </w:tcPr>
          <w:p>
            <w:r>
              <w:rPr>
                <w:sz w:val="18"/>
              </w:rPr>
              <w:t>12</w:t>
            </w:r>
          </w:p>
        </w:tc>
        <w:tc>
          <w:tcPr>
            <w:tcW w:type="dxa" w:w="2880"/>
            <w:shd w:fill="E8EEF4" w:val="clear"/>
          </w:tcPr>
          <w:p>
            <w:r>
              <w:rPr>
                <w:sz w:val="18"/>
              </w:rPr>
              <w:t>Documentbeheer</w:t>
            </w:r>
          </w:p>
        </w:tc>
        <w:tc>
          <w:tcPr>
            <w:tcW w:type="dxa" w:w="2880"/>
            <w:shd w:fill="E8EEF4" w:val="clear"/>
          </w:tcPr>
          <w:p>
            <w:r>
              <w:rPr>
                <w:sz w:val="18"/>
              </w:rPr>
              <w:t>Alle documenten actueel, goedgekeurd, gearchiveerd?</w:t>
            </w:r>
          </w:p>
        </w:tc>
      </w:tr>
    </w:tbl>
    <w:p>
      <w:pPr>
        <w:pStyle w:val="Heading2"/>
      </w:pPr>
      <w:r>
        <w:t>9.4 Corrective Actions</w:t>
      </w:r>
    </w:p>
    <w:p>
      <w:r>
        <w:t>Bij geconstateerde afwijkingen:</w:t>
      </w:r>
    </w:p>
    <w:p>
      <w:pPr>
        <w:pStyle w:val="ListBullet"/>
      </w:pPr>
      <w:r>
        <w:t>Documenteer de bevinding in het Compliance Jaaroverzicht (Bijlage D)</w:t>
      </w:r>
    </w:p>
    <w:p>
      <w:pPr>
        <w:pStyle w:val="ListBullet"/>
      </w:pPr>
      <w:r>
        <w:t>Classificeer de ernst: kritiek (directe actie), significant (actie binnen 30 dagen), observationeel (verbeterpunt)</w:t>
      </w:r>
    </w:p>
    <w:p>
      <w:pPr>
        <w:pStyle w:val="ListBullet"/>
      </w:pPr>
      <w:r>
        <w:t>Stel een corrective action plan op met: omschrijving, verantwoordelijke, deadline</w:t>
      </w:r>
    </w:p>
    <w:p>
      <w:pPr>
        <w:pStyle w:val="ListBullet"/>
      </w:pPr>
      <w:r>
        <w:t>Volg de acties op in het eerstvolgende management review</w:t>
      </w:r>
    </w:p>
    <w:p>
      <w:pPr>
        <w:pStyle w:val="ListBullet"/>
      </w:pPr>
      <w:r>
        <w:t>Verifieer de implementatie bij de volgende compliance check</w:t>
      </w:r>
    </w:p>
    <w:p>
      <w:pPr>
        <w:pStyle w:val="Heading2"/>
      </w:pPr>
      <w:r>
        <w:t>9.5 Documentatie &amp; Archivering</w:t>
      </w:r>
    </w:p>
    <w:p>
      <w:r>
        <w:t>Alle compliance check documenten worden bewaard in het REACH-compliance archief:</w:t>
      </w:r>
    </w:p>
    <w:p>
      <w:pPr>
        <w:pStyle w:val="ListBullet"/>
      </w:pPr>
      <w:r>
        <w:t>Minimum bewaartermijn: 10 jaar na de laatste update</w:t>
      </w:r>
    </w:p>
    <w:p>
      <w:pPr>
        <w:pStyle w:val="ListBullet"/>
      </w:pPr>
      <w:r>
        <w:t>Locatie: /root/Documents/HSEQ_kennis/Phoenixmetals/REACH/</w:t>
      </w:r>
    </w:p>
    <w:p>
      <w:pPr>
        <w:pStyle w:val="ListBullet"/>
      </w:pPr>
      <w:r>
        <w:t>Documenten: checklists, corrective action plans, bewijsmateriaal (foto's, metingen)</w:t>
      </w:r>
    </w:p>
    <w:p>
      <w:r>
        <w:br w:type="page"/>
      </w:r>
    </w:p>
    <w:p>
      <w:pPr>
        <w:pStyle w:val="Heading1"/>
      </w:pPr>
      <w:r>
        <w:t>10. Bijlagen</w:t>
      </w:r>
    </w:p>
    <w:p>
      <w:pPr>
        <w:pStyle w:val="Heading2"/>
      </w:pPr>
      <w:r>
        <w:t>Bijlage A: Chemicals Master Register Template</w:t>
      </w:r>
    </w:p>
    <w:tbl>
      <w:tblPr>
        <w:tblStyle w:val="TableGrid"/>
        <w:tblW w:type="auto" w:w="0"/>
        <w:jc w:val="center"/>
        <w:tblLook w:firstColumn="1" w:firstRow="1" w:lastColumn="0" w:lastRow="0" w:noHBand="0" w:noVBand="1" w:val="04A0"/>
      </w:tblPr>
      <w:tblGrid>
        <w:gridCol w:w="665"/>
        <w:gridCol w:w="665"/>
        <w:gridCol w:w="665"/>
        <w:gridCol w:w="665"/>
        <w:gridCol w:w="665"/>
        <w:gridCol w:w="665"/>
        <w:gridCol w:w="665"/>
        <w:gridCol w:w="665"/>
        <w:gridCol w:w="665"/>
        <w:gridCol w:w="665"/>
        <w:gridCol w:w="665"/>
        <w:gridCol w:w="665"/>
        <w:gridCol w:w="665"/>
      </w:tblGrid>
      <w:tr>
        <w:tc>
          <w:tcPr>
            <w:tcW w:type="dxa" w:w="665"/>
            <w:shd w:fill="003366" w:val="clear"/>
          </w:tcPr>
          <w:p>
            <w:pPr>
              <w:jc w:val="center"/>
            </w:pPr>
            <w:r>
              <w:rPr>
                <w:b/>
                <w:color w:val="FFFFFF"/>
                <w:sz w:val="18"/>
              </w:rPr>
              <w:t>#</w:t>
            </w:r>
          </w:p>
        </w:tc>
        <w:tc>
          <w:tcPr>
            <w:tcW w:type="dxa" w:w="665"/>
            <w:shd w:fill="003366" w:val="clear"/>
          </w:tcPr>
          <w:p>
            <w:pPr>
              <w:jc w:val="center"/>
            </w:pPr>
            <w:r>
              <w:rPr>
                <w:b/>
                <w:color w:val="FFFFFF"/>
                <w:sz w:val="18"/>
              </w:rPr>
              <w:t>Datum levering</w:t>
            </w:r>
          </w:p>
        </w:tc>
        <w:tc>
          <w:tcPr>
            <w:tcW w:type="dxa" w:w="665"/>
            <w:shd w:fill="003366" w:val="clear"/>
          </w:tcPr>
          <w:p>
            <w:pPr>
              <w:jc w:val="center"/>
            </w:pPr>
            <w:r>
              <w:rPr>
                <w:b/>
                <w:color w:val="FFFFFF"/>
                <w:sz w:val="18"/>
              </w:rPr>
              <w:t>Stofnaam</w:t>
            </w:r>
          </w:p>
        </w:tc>
        <w:tc>
          <w:tcPr>
            <w:tcW w:type="dxa" w:w="665"/>
            <w:shd w:fill="003366" w:val="clear"/>
          </w:tcPr>
          <w:p>
            <w:pPr>
              <w:jc w:val="center"/>
            </w:pPr>
            <w:r>
              <w:rPr>
                <w:b/>
                <w:color w:val="FFFFFF"/>
                <w:sz w:val="18"/>
              </w:rPr>
              <w:t>CAS</w:t>
            </w:r>
          </w:p>
        </w:tc>
        <w:tc>
          <w:tcPr>
            <w:tcW w:type="dxa" w:w="665"/>
            <w:shd w:fill="003366" w:val="clear"/>
          </w:tcPr>
          <w:p>
            <w:pPr>
              <w:jc w:val="center"/>
            </w:pPr>
            <w:r>
              <w:rPr>
                <w:b/>
                <w:color w:val="FFFFFF"/>
                <w:sz w:val="18"/>
              </w:rPr>
              <w:t>EG</w:t>
            </w:r>
          </w:p>
        </w:tc>
        <w:tc>
          <w:tcPr>
            <w:tcW w:type="dxa" w:w="665"/>
            <w:shd w:fill="003366" w:val="clear"/>
          </w:tcPr>
          <w:p>
            <w:pPr>
              <w:jc w:val="center"/>
            </w:pPr>
            <w:r>
              <w:rPr>
                <w:b/>
                <w:color w:val="FFFFFF"/>
                <w:sz w:val="18"/>
              </w:rPr>
              <w:t>CLP-classificatie</w:t>
            </w:r>
          </w:p>
        </w:tc>
        <w:tc>
          <w:tcPr>
            <w:tcW w:type="dxa" w:w="665"/>
            <w:shd w:fill="003366" w:val="clear"/>
          </w:tcPr>
          <w:p>
            <w:pPr>
              <w:jc w:val="center"/>
            </w:pPr>
            <w:r>
              <w:rPr>
                <w:b/>
                <w:color w:val="FFFFFF"/>
                <w:sz w:val="18"/>
              </w:rPr>
              <w:t>SVHC?</w:t>
            </w:r>
          </w:p>
        </w:tc>
        <w:tc>
          <w:tcPr>
            <w:tcW w:type="dxa" w:w="665"/>
            <w:shd w:fill="003366" w:val="clear"/>
          </w:tcPr>
          <w:p>
            <w:pPr>
              <w:jc w:val="center"/>
            </w:pPr>
            <w:r>
              <w:rPr>
                <w:b/>
                <w:color w:val="FFFFFF"/>
                <w:sz w:val="18"/>
              </w:rPr>
              <w:t>Leverancier</w:t>
            </w:r>
          </w:p>
        </w:tc>
        <w:tc>
          <w:tcPr>
            <w:tcW w:type="dxa" w:w="665"/>
            <w:shd w:fill="003366" w:val="clear"/>
          </w:tcPr>
          <w:p>
            <w:pPr>
              <w:jc w:val="center"/>
            </w:pPr>
            <w:r>
              <w:rPr>
                <w:b/>
                <w:color w:val="FFFFFF"/>
                <w:sz w:val="18"/>
              </w:rPr>
              <w:t>Hoeveelheid</w:t>
            </w:r>
          </w:p>
        </w:tc>
        <w:tc>
          <w:tcPr>
            <w:tcW w:type="dxa" w:w="665"/>
            <w:shd w:fill="003366" w:val="clear"/>
          </w:tcPr>
          <w:p>
            <w:pPr>
              <w:jc w:val="center"/>
            </w:pPr>
            <w:r>
              <w:rPr>
                <w:b/>
                <w:color w:val="FFFFFF"/>
                <w:sz w:val="18"/>
              </w:rPr>
              <w:t>Eenheid</w:t>
            </w:r>
          </w:p>
        </w:tc>
        <w:tc>
          <w:tcPr>
            <w:tcW w:type="dxa" w:w="665"/>
            <w:shd w:fill="003366" w:val="clear"/>
          </w:tcPr>
          <w:p>
            <w:pPr>
              <w:jc w:val="center"/>
            </w:pPr>
            <w:r>
              <w:rPr>
                <w:b/>
                <w:color w:val="FFFFFF"/>
                <w:sz w:val="18"/>
              </w:rPr>
              <w:t>Opslaglocatie</w:t>
            </w:r>
          </w:p>
        </w:tc>
        <w:tc>
          <w:tcPr>
            <w:tcW w:type="dxa" w:w="665"/>
            <w:shd w:fill="003366" w:val="clear"/>
          </w:tcPr>
          <w:p>
            <w:pPr>
              <w:jc w:val="center"/>
            </w:pPr>
            <w:r>
              <w:rPr>
                <w:b/>
                <w:color w:val="FFFFFF"/>
                <w:sz w:val="18"/>
              </w:rPr>
              <w:t>SDS versie</w:t>
            </w:r>
          </w:p>
        </w:tc>
        <w:tc>
          <w:tcPr>
            <w:tcW w:type="dxa" w:w="665"/>
            <w:shd w:fill="003366" w:val="clear"/>
          </w:tcPr>
          <w:p>
            <w:pPr>
              <w:jc w:val="center"/>
            </w:pPr>
            <w:r>
              <w:rPr>
                <w:b/>
                <w:color w:val="FFFFFF"/>
                <w:sz w:val="18"/>
              </w:rPr>
              <w:t>Status</w:t>
            </w:r>
          </w:p>
        </w:tc>
      </w:tr>
      <w:tr>
        <w:tc>
          <w:tcPr>
            <w:tcW w:type="dxa" w:w="665"/>
          </w:tcPr>
          <w:p>
            <w:r>
              <w:rPr>
                <w:sz w:val="18"/>
              </w:rPr>
              <w:t>1</w:t>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r>
      <w:tr>
        <w:tc>
          <w:tcPr>
            <w:tcW w:type="dxa" w:w="665"/>
            <w:shd w:fill="E8EEF4" w:val="clear"/>
          </w:tcPr>
          <w:p>
            <w:r>
              <w:rPr>
                <w:sz w:val="18"/>
              </w:rPr>
              <w:t>2</w:t>
            </w:r>
          </w:p>
        </w:tc>
        <w:tc>
          <w:tcPr>
            <w:tcW w:type="dxa" w:w="665"/>
            <w:shd w:fill="E8EEF4" w:val="clear"/>
          </w:tcPr>
          <w:p>
            <w:r>
              <w:rPr>
                <w:sz w:val="18"/>
              </w:rPr>
            </w:r>
          </w:p>
        </w:tc>
        <w:tc>
          <w:tcPr>
            <w:tcW w:type="dxa" w:w="665"/>
            <w:shd w:fill="E8EEF4" w:val="clear"/>
          </w:tcPr>
          <w:p>
            <w:r>
              <w:rPr>
                <w:sz w:val="18"/>
              </w:rPr>
            </w:r>
          </w:p>
        </w:tc>
        <w:tc>
          <w:tcPr>
            <w:tcW w:type="dxa" w:w="665"/>
            <w:shd w:fill="E8EEF4" w:val="clear"/>
          </w:tcPr>
          <w:p>
            <w:r>
              <w:rPr>
                <w:sz w:val="18"/>
              </w:rPr>
            </w:r>
          </w:p>
        </w:tc>
        <w:tc>
          <w:tcPr>
            <w:tcW w:type="dxa" w:w="665"/>
            <w:shd w:fill="E8EEF4" w:val="clear"/>
          </w:tcPr>
          <w:p>
            <w:r>
              <w:rPr>
                <w:sz w:val="18"/>
              </w:rPr>
            </w:r>
          </w:p>
        </w:tc>
        <w:tc>
          <w:tcPr>
            <w:tcW w:type="dxa" w:w="665"/>
            <w:shd w:fill="E8EEF4" w:val="clear"/>
          </w:tcPr>
          <w:p>
            <w:r>
              <w:rPr>
                <w:sz w:val="18"/>
              </w:rPr>
            </w:r>
          </w:p>
        </w:tc>
        <w:tc>
          <w:tcPr>
            <w:tcW w:type="dxa" w:w="665"/>
            <w:shd w:fill="E8EEF4" w:val="clear"/>
          </w:tcPr>
          <w:p>
            <w:r>
              <w:rPr>
                <w:sz w:val="18"/>
              </w:rPr>
            </w:r>
          </w:p>
        </w:tc>
        <w:tc>
          <w:tcPr>
            <w:tcW w:type="dxa" w:w="665"/>
            <w:shd w:fill="E8EEF4" w:val="clear"/>
          </w:tcPr>
          <w:p>
            <w:r>
              <w:rPr>
                <w:sz w:val="18"/>
              </w:rPr>
            </w:r>
          </w:p>
        </w:tc>
        <w:tc>
          <w:tcPr>
            <w:tcW w:type="dxa" w:w="665"/>
            <w:shd w:fill="E8EEF4" w:val="clear"/>
          </w:tcPr>
          <w:p>
            <w:r>
              <w:rPr>
                <w:sz w:val="18"/>
              </w:rPr>
            </w:r>
          </w:p>
        </w:tc>
        <w:tc>
          <w:tcPr>
            <w:tcW w:type="dxa" w:w="665"/>
            <w:shd w:fill="E8EEF4" w:val="clear"/>
          </w:tcPr>
          <w:p>
            <w:r>
              <w:rPr>
                <w:sz w:val="18"/>
              </w:rPr>
            </w:r>
          </w:p>
        </w:tc>
        <w:tc>
          <w:tcPr>
            <w:tcW w:type="dxa" w:w="665"/>
            <w:shd w:fill="E8EEF4" w:val="clear"/>
          </w:tcPr>
          <w:p>
            <w:r>
              <w:rPr>
                <w:sz w:val="18"/>
              </w:rPr>
            </w:r>
          </w:p>
        </w:tc>
        <w:tc>
          <w:tcPr>
            <w:tcW w:type="dxa" w:w="665"/>
            <w:shd w:fill="E8EEF4" w:val="clear"/>
          </w:tcPr>
          <w:p>
            <w:r>
              <w:rPr>
                <w:sz w:val="18"/>
              </w:rPr>
            </w:r>
          </w:p>
        </w:tc>
        <w:tc>
          <w:tcPr>
            <w:tcW w:type="dxa" w:w="665"/>
            <w:shd w:fill="E8EEF4" w:val="clear"/>
          </w:tcPr>
          <w:p>
            <w:r>
              <w:rPr>
                <w:sz w:val="18"/>
              </w:rPr>
            </w:r>
          </w:p>
        </w:tc>
      </w:tr>
      <w:tr>
        <w:tc>
          <w:tcPr>
            <w:tcW w:type="dxa" w:w="665"/>
          </w:tcPr>
          <w:p>
            <w:r>
              <w:rPr>
                <w:sz w:val="18"/>
              </w:rPr>
              <w:t>3</w:t>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c>
          <w:tcPr>
            <w:tcW w:type="dxa" w:w="665"/>
          </w:tcPr>
          <w:p>
            <w:r>
              <w:rPr>
                <w:sz w:val="18"/>
              </w:rPr>
            </w:r>
          </w:p>
        </w:tc>
      </w:tr>
    </w:tbl>
    <w:p/>
    <w:p>
      <w:pPr>
        <w:pStyle w:val="Heading2"/>
      </w:pPr>
      <w:r>
        <w:t>Bijlage B: CMR Namelist Template</w:t>
      </w:r>
    </w:p>
    <w:tbl>
      <w:tblPr>
        <w:tblStyle w:val="TableGrid"/>
        <w:tblW w:type="auto" w:w="0"/>
        <w:jc w:val="center"/>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shd w:fill="003366" w:val="clear"/>
          </w:tcPr>
          <w:p>
            <w:pPr>
              <w:jc w:val="center"/>
            </w:pPr>
            <w:r>
              <w:rPr>
                <w:b/>
                <w:color w:val="FFFFFF"/>
                <w:sz w:val="18"/>
              </w:rPr>
              <w:t>Naam medewerker</w:t>
            </w:r>
          </w:p>
        </w:tc>
        <w:tc>
          <w:tcPr>
            <w:tcW w:type="dxa" w:w="960"/>
            <w:shd w:fill="003366" w:val="clear"/>
          </w:tcPr>
          <w:p>
            <w:pPr>
              <w:jc w:val="center"/>
            </w:pPr>
            <w:r>
              <w:rPr>
                <w:b/>
                <w:color w:val="FFFFFF"/>
                <w:sz w:val="18"/>
              </w:rPr>
              <w:t>Personeelsnr.</w:t>
            </w:r>
          </w:p>
        </w:tc>
        <w:tc>
          <w:tcPr>
            <w:tcW w:type="dxa" w:w="960"/>
            <w:shd w:fill="003366" w:val="clear"/>
          </w:tcPr>
          <w:p>
            <w:pPr>
              <w:jc w:val="center"/>
            </w:pPr>
            <w:r>
              <w:rPr>
                <w:b/>
                <w:color w:val="FFFFFF"/>
                <w:sz w:val="18"/>
              </w:rPr>
              <w:t>CMR-stof</w:t>
            </w:r>
          </w:p>
        </w:tc>
        <w:tc>
          <w:tcPr>
            <w:tcW w:type="dxa" w:w="960"/>
            <w:shd w:fill="003366" w:val="clear"/>
          </w:tcPr>
          <w:p>
            <w:pPr>
              <w:jc w:val="center"/>
            </w:pPr>
            <w:r>
              <w:rPr>
                <w:b/>
                <w:color w:val="FFFFFF"/>
                <w:sz w:val="18"/>
              </w:rPr>
              <w:t>CAS</w:t>
            </w:r>
          </w:p>
        </w:tc>
        <w:tc>
          <w:tcPr>
            <w:tcW w:type="dxa" w:w="960"/>
            <w:shd w:fill="003366" w:val="clear"/>
          </w:tcPr>
          <w:p>
            <w:pPr>
              <w:jc w:val="center"/>
            </w:pPr>
            <w:r>
              <w:rPr>
                <w:b/>
                <w:color w:val="FFFFFF"/>
                <w:sz w:val="18"/>
              </w:rPr>
              <w:t>Categorie</w:t>
            </w:r>
          </w:p>
        </w:tc>
        <w:tc>
          <w:tcPr>
            <w:tcW w:type="dxa" w:w="960"/>
            <w:shd w:fill="003366" w:val="clear"/>
          </w:tcPr>
          <w:p>
            <w:pPr>
              <w:jc w:val="center"/>
            </w:pPr>
            <w:r>
              <w:rPr>
                <w:b/>
                <w:color w:val="FFFFFF"/>
                <w:sz w:val="18"/>
              </w:rPr>
              <w:t>Activiteit</w:t>
            </w:r>
          </w:p>
        </w:tc>
        <w:tc>
          <w:tcPr>
            <w:tcW w:type="dxa" w:w="960"/>
            <w:shd w:fill="003366" w:val="clear"/>
          </w:tcPr>
          <w:p>
            <w:pPr>
              <w:jc w:val="center"/>
            </w:pPr>
            <w:r>
              <w:rPr>
                <w:b/>
                <w:color w:val="FFFFFF"/>
                <w:sz w:val="18"/>
              </w:rPr>
              <w:t>Blootstellingsduur</w:t>
            </w:r>
          </w:p>
        </w:tc>
        <w:tc>
          <w:tcPr>
            <w:tcW w:type="dxa" w:w="960"/>
            <w:shd w:fill="003366" w:val="clear"/>
          </w:tcPr>
          <w:p>
            <w:pPr>
              <w:jc w:val="center"/>
            </w:pPr>
            <w:r>
              <w:rPr>
                <w:b/>
                <w:color w:val="FFFFFF"/>
                <w:sz w:val="18"/>
              </w:rPr>
              <w:t>Datum van</w:t>
            </w:r>
          </w:p>
        </w:tc>
        <w:tc>
          <w:tcPr>
            <w:tcW w:type="dxa" w:w="960"/>
            <w:shd w:fill="003366" w:val="clear"/>
          </w:tcPr>
          <w:p>
            <w:pPr>
              <w:jc w:val="center"/>
            </w:pPr>
            <w:r>
              <w:rPr>
                <w:b/>
                <w:color w:val="FFFFFF"/>
                <w:sz w:val="18"/>
              </w:rPr>
              <w:t>Datum tot</w:t>
            </w:r>
          </w:p>
        </w:tc>
      </w:tr>
      <w:tr>
        <w:tc>
          <w:tcPr>
            <w:tcW w:type="dxa" w:w="960"/>
          </w:tcPr>
          <w:p>
            <w:r>
              <w:rPr>
                <w:sz w:val="18"/>
              </w:rPr>
            </w:r>
          </w:p>
        </w:tc>
        <w:tc>
          <w:tcPr>
            <w:tcW w:type="dxa" w:w="960"/>
          </w:tcPr>
          <w:p>
            <w:r>
              <w:rPr>
                <w:sz w:val="18"/>
              </w:rPr>
            </w:r>
          </w:p>
        </w:tc>
        <w:tc>
          <w:tcPr>
            <w:tcW w:type="dxa" w:w="960"/>
          </w:tcPr>
          <w:p>
            <w:r>
              <w:rPr>
                <w:sz w:val="18"/>
              </w:rPr>
            </w:r>
          </w:p>
        </w:tc>
        <w:tc>
          <w:tcPr>
            <w:tcW w:type="dxa" w:w="960"/>
          </w:tcPr>
          <w:p>
            <w:r>
              <w:rPr>
                <w:sz w:val="18"/>
              </w:rPr>
            </w:r>
          </w:p>
        </w:tc>
        <w:tc>
          <w:tcPr>
            <w:tcW w:type="dxa" w:w="960"/>
          </w:tcPr>
          <w:p>
            <w:r>
              <w:rPr>
                <w:sz w:val="18"/>
              </w:rPr>
            </w:r>
          </w:p>
        </w:tc>
        <w:tc>
          <w:tcPr>
            <w:tcW w:type="dxa" w:w="960"/>
          </w:tcPr>
          <w:p>
            <w:r>
              <w:rPr>
                <w:sz w:val="18"/>
              </w:rPr>
            </w:r>
          </w:p>
        </w:tc>
        <w:tc>
          <w:tcPr>
            <w:tcW w:type="dxa" w:w="960"/>
          </w:tcPr>
          <w:p>
            <w:r>
              <w:rPr>
                <w:sz w:val="18"/>
              </w:rPr>
            </w:r>
          </w:p>
        </w:tc>
        <w:tc>
          <w:tcPr>
            <w:tcW w:type="dxa" w:w="960"/>
          </w:tcPr>
          <w:p>
            <w:r>
              <w:rPr>
                <w:sz w:val="18"/>
              </w:rPr>
            </w:r>
          </w:p>
        </w:tc>
        <w:tc>
          <w:tcPr>
            <w:tcW w:type="dxa" w:w="960"/>
          </w:tcPr>
          <w:p>
            <w:r>
              <w:rPr>
                <w:sz w:val="18"/>
              </w:rPr>
            </w:r>
          </w:p>
        </w:tc>
      </w:tr>
      <w:tr>
        <w:tc>
          <w:tcPr>
            <w:tcW w:type="dxa" w:w="960"/>
            <w:shd w:fill="E8EEF4" w:val="clear"/>
          </w:tcPr>
          <w:p>
            <w:r>
              <w:rPr>
                <w:sz w:val="18"/>
              </w:rPr>
            </w:r>
          </w:p>
        </w:tc>
        <w:tc>
          <w:tcPr>
            <w:tcW w:type="dxa" w:w="960"/>
            <w:shd w:fill="E8EEF4" w:val="clear"/>
          </w:tcPr>
          <w:p>
            <w:r>
              <w:rPr>
                <w:sz w:val="18"/>
              </w:rPr>
            </w:r>
          </w:p>
        </w:tc>
        <w:tc>
          <w:tcPr>
            <w:tcW w:type="dxa" w:w="960"/>
            <w:shd w:fill="E8EEF4" w:val="clear"/>
          </w:tcPr>
          <w:p>
            <w:r>
              <w:rPr>
                <w:sz w:val="18"/>
              </w:rPr>
            </w:r>
          </w:p>
        </w:tc>
        <w:tc>
          <w:tcPr>
            <w:tcW w:type="dxa" w:w="960"/>
            <w:shd w:fill="E8EEF4" w:val="clear"/>
          </w:tcPr>
          <w:p>
            <w:r>
              <w:rPr>
                <w:sz w:val="18"/>
              </w:rPr>
            </w:r>
          </w:p>
        </w:tc>
        <w:tc>
          <w:tcPr>
            <w:tcW w:type="dxa" w:w="960"/>
            <w:shd w:fill="E8EEF4" w:val="clear"/>
          </w:tcPr>
          <w:p>
            <w:r>
              <w:rPr>
                <w:sz w:val="18"/>
              </w:rPr>
            </w:r>
          </w:p>
        </w:tc>
        <w:tc>
          <w:tcPr>
            <w:tcW w:type="dxa" w:w="960"/>
            <w:shd w:fill="E8EEF4" w:val="clear"/>
          </w:tcPr>
          <w:p>
            <w:r>
              <w:rPr>
                <w:sz w:val="18"/>
              </w:rPr>
            </w:r>
          </w:p>
        </w:tc>
        <w:tc>
          <w:tcPr>
            <w:tcW w:type="dxa" w:w="960"/>
            <w:shd w:fill="E8EEF4" w:val="clear"/>
          </w:tcPr>
          <w:p>
            <w:r>
              <w:rPr>
                <w:sz w:val="18"/>
              </w:rPr>
            </w:r>
          </w:p>
        </w:tc>
        <w:tc>
          <w:tcPr>
            <w:tcW w:type="dxa" w:w="960"/>
            <w:shd w:fill="E8EEF4" w:val="clear"/>
          </w:tcPr>
          <w:p>
            <w:r>
              <w:rPr>
                <w:sz w:val="18"/>
              </w:rPr>
            </w:r>
          </w:p>
        </w:tc>
        <w:tc>
          <w:tcPr>
            <w:tcW w:type="dxa" w:w="960"/>
            <w:shd w:fill="E8EEF4" w:val="clear"/>
          </w:tcPr>
          <w:p>
            <w:r>
              <w:rPr>
                <w:sz w:val="18"/>
              </w:rPr>
            </w:r>
          </w:p>
        </w:tc>
      </w:tr>
    </w:tbl>
    <w:p/>
    <w:p>
      <w:pPr>
        <w:pStyle w:val="Heading2"/>
      </w:pPr>
      <w:r>
        <w:t>Bijlage C: Sameness Check Checklist</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val="clear"/>
          </w:tcPr>
          <w:p>
            <w:pPr>
              <w:jc w:val="center"/>
            </w:pPr>
            <w:r>
              <w:rPr>
                <w:b/>
                <w:color w:val="FFFFFF"/>
                <w:sz w:val="18"/>
              </w:rPr>
              <w:t>Stap</w:t>
            </w:r>
          </w:p>
        </w:tc>
        <w:tc>
          <w:tcPr>
            <w:tcW w:type="dxa" w:w="2160"/>
            <w:shd w:fill="003366" w:val="clear"/>
          </w:tcPr>
          <w:p>
            <w:pPr>
              <w:jc w:val="center"/>
            </w:pPr>
            <w:r>
              <w:rPr>
                <w:b/>
                <w:color w:val="FFFFFF"/>
                <w:sz w:val="18"/>
              </w:rPr>
              <w:t>Controle</w:t>
            </w:r>
          </w:p>
        </w:tc>
        <w:tc>
          <w:tcPr>
            <w:tcW w:type="dxa" w:w="2160"/>
            <w:shd w:fill="003366" w:val="clear"/>
          </w:tcPr>
          <w:p>
            <w:pPr>
              <w:jc w:val="center"/>
            </w:pPr>
            <w:r>
              <w:rPr>
                <w:b/>
                <w:color w:val="FFFFFF"/>
                <w:sz w:val="18"/>
              </w:rPr>
              <w:t>Resultaat</w:t>
            </w:r>
          </w:p>
        </w:tc>
        <w:tc>
          <w:tcPr>
            <w:tcW w:type="dxa" w:w="2160"/>
            <w:shd w:fill="003366" w:val="clear"/>
          </w:tcPr>
          <w:p>
            <w:pPr>
              <w:jc w:val="center"/>
            </w:pPr>
            <w:r>
              <w:rPr>
                <w:b/>
                <w:color w:val="FFFFFF"/>
                <w:sz w:val="18"/>
              </w:rPr>
              <w:t>Opmerkingen</w:t>
            </w:r>
          </w:p>
        </w:tc>
      </w:tr>
      <w:tr>
        <w:tc>
          <w:tcPr>
            <w:tcW w:type="dxa" w:w="2160"/>
          </w:tcPr>
          <w:p>
            <w:r>
              <w:rPr>
                <w:sz w:val="18"/>
              </w:rPr>
              <w:t>1</w:t>
            </w:r>
          </w:p>
        </w:tc>
        <w:tc>
          <w:tcPr>
            <w:tcW w:type="dxa" w:w="2160"/>
          </w:tcPr>
          <w:p>
            <w:r>
              <w:rPr>
                <w:sz w:val="18"/>
              </w:rPr>
              <w:t>Chemische naam komt overeen?</w:t>
            </w:r>
          </w:p>
        </w:tc>
        <w:tc>
          <w:tcPr>
            <w:tcW w:type="dxa" w:w="2160"/>
          </w:tcPr>
          <w:p>
            <w:r>
              <w:rPr>
                <w:sz w:val="18"/>
              </w:rPr>
            </w:r>
          </w:p>
        </w:tc>
        <w:tc>
          <w:tcPr>
            <w:tcW w:type="dxa" w:w="2160"/>
          </w:tcPr>
          <w:p>
            <w:r>
              <w:rPr>
                <w:sz w:val="18"/>
              </w:rPr>
            </w:r>
          </w:p>
        </w:tc>
      </w:tr>
      <w:tr>
        <w:tc>
          <w:tcPr>
            <w:tcW w:type="dxa" w:w="2160"/>
            <w:shd w:fill="E8EEF4" w:val="clear"/>
          </w:tcPr>
          <w:p>
            <w:r>
              <w:rPr>
                <w:sz w:val="18"/>
              </w:rPr>
              <w:t>2</w:t>
            </w:r>
          </w:p>
        </w:tc>
        <w:tc>
          <w:tcPr>
            <w:tcW w:type="dxa" w:w="2160"/>
            <w:shd w:fill="E8EEF4" w:val="clear"/>
          </w:tcPr>
          <w:p>
            <w:r>
              <w:rPr>
                <w:sz w:val="18"/>
              </w:rPr>
              <w:t>CAS-nummer identiek?</w:t>
            </w:r>
          </w:p>
        </w:tc>
        <w:tc>
          <w:tcPr>
            <w:tcW w:type="dxa" w:w="2160"/>
            <w:shd w:fill="E8EEF4" w:val="clear"/>
          </w:tcPr>
          <w:p>
            <w:r>
              <w:rPr>
                <w:sz w:val="18"/>
              </w:rPr>
            </w:r>
          </w:p>
        </w:tc>
        <w:tc>
          <w:tcPr>
            <w:tcW w:type="dxa" w:w="2160"/>
            <w:shd w:fill="E8EEF4" w:val="clear"/>
          </w:tcPr>
          <w:p>
            <w:r>
              <w:rPr>
                <w:sz w:val="18"/>
              </w:rPr>
            </w:r>
          </w:p>
        </w:tc>
      </w:tr>
      <w:tr>
        <w:tc>
          <w:tcPr>
            <w:tcW w:type="dxa" w:w="2160"/>
          </w:tcPr>
          <w:p>
            <w:r>
              <w:rPr>
                <w:sz w:val="18"/>
              </w:rPr>
              <w:t>3</w:t>
            </w:r>
          </w:p>
        </w:tc>
        <w:tc>
          <w:tcPr>
            <w:tcW w:type="dxa" w:w="2160"/>
          </w:tcPr>
          <w:p>
            <w:r>
              <w:rPr>
                <w:sz w:val="18"/>
              </w:rPr>
              <w:t>EG-nummer identiek?</w:t>
            </w:r>
          </w:p>
        </w:tc>
        <w:tc>
          <w:tcPr>
            <w:tcW w:type="dxa" w:w="2160"/>
          </w:tcPr>
          <w:p>
            <w:r>
              <w:rPr>
                <w:sz w:val="18"/>
              </w:rPr>
            </w:r>
          </w:p>
        </w:tc>
        <w:tc>
          <w:tcPr>
            <w:tcW w:type="dxa" w:w="2160"/>
          </w:tcPr>
          <w:p>
            <w:r>
              <w:rPr>
                <w:sz w:val="18"/>
              </w:rPr>
            </w:r>
          </w:p>
        </w:tc>
      </w:tr>
      <w:tr>
        <w:tc>
          <w:tcPr>
            <w:tcW w:type="dxa" w:w="2160"/>
            <w:shd w:fill="E8EEF4" w:val="clear"/>
          </w:tcPr>
          <w:p>
            <w:r>
              <w:rPr>
                <w:sz w:val="18"/>
              </w:rPr>
              <w:t>4</w:t>
            </w:r>
          </w:p>
        </w:tc>
        <w:tc>
          <w:tcPr>
            <w:tcW w:type="dxa" w:w="2160"/>
            <w:shd w:fill="E8EEF4" w:val="clear"/>
          </w:tcPr>
          <w:p>
            <w:r>
              <w:rPr>
                <w:sz w:val="18"/>
              </w:rPr>
              <w:t>Hoofdbestanddeel concentratie ≥ 80% (mono) of 10-80% (multi)?</w:t>
            </w:r>
          </w:p>
        </w:tc>
        <w:tc>
          <w:tcPr>
            <w:tcW w:type="dxa" w:w="2160"/>
            <w:shd w:fill="E8EEF4" w:val="clear"/>
          </w:tcPr>
          <w:p>
            <w:r>
              <w:rPr>
                <w:sz w:val="18"/>
              </w:rPr>
            </w:r>
          </w:p>
        </w:tc>
        <w:tc>
          <w:tcPr>
            <w:tcW w:type="dxa" w:w="2160"/>
            <w:shd w:fill="E8EEF4" w:val="clear"/>
          </w:tcPr>
          <w:p>
            <w:r>
              <w:rPr>
                <w:sz w:val="18"/>
              </w:rPr>
            </w:r>
          </w:p>
        </w:tc>
      </w:tr>
      <w:tr>
        <w:tc>
          <w:tcPr>
            <w:tcW w:type="dxa" w:w="2160"/>
          </w:tcPr>
          <w:p>
            <w:r>
              <w:rPr>
                <w:sz w:val="18"/>
              </w:rPr>
              <w:t>5</w:t>
            </w:r>
          </w:p>
        </w:tc>
        <w:tc>
          <w:tcPr>
            <w:tcW w:type="dxa" w:w="2160"/>
          </w:tcPr>
          <w:p>
            <w:r>
              <w:rPr>
                <w:sz w:val="18"/>
              </w:rPr>
              <w:t>Verontreinigingen vergeleken?</w:t>
            </w:r>
          </w:p>
        </w:tc>
        <w:tc>
          <w:tcPr>
            <w:tcW w:type="dxa" w:w="2160"/>
          </w:tcPr>
          <w:p>
            <w:r>
              <w:rPr>
                <w:sz w:val="18"/>
              </w:rPr>
            </w:r>
          </w:p>
        </w:tc>
        <w:tc>
          <w:tcPr>
            <w:tcW w:type="dxa" w:w="2160"/>
          </w:tcPr>
          <w:p>
            <w:r>
              <w:rPr>
                <w:sz w:val="18"/>
              </w:rPr>
            </w:r>
          </w:p>
        </w:tc>
      </w:tr>
      <w:tr>
        <w:tc>
          <w:tcPr>
            <w:tcW w:type="dxa" w:w="2160"/>
            <w:shd w:fill="E8EEF4" w:val="clear"/>
          </w:tcPr>
          <w:p>
            <w:r>
              <w:rPr>
                <w:sz w:val="18"/>
              </w:rPr>
              <w:t>6</w:t>
            </w:r>
          </w:p>
        </w:tc>
        <w:tc>
          <w:tcPr>
            <w:tcW w:type="dxa" w:w="2160"/>
            <w:shd w:fill="E8EEF4" w:val="clear"/>
          </w:tcPr>
          <w:p>
            <w:r>
              <w:rPr>
                <w:sz w:val="18"/>
              </w:rPr>
              <w:t>Analytische data (XRD/XRF/ICP) vergeleken?</w:t>
            </w:r>
          </w:p>
        </w:tc>
        <w:tc>
          <w:tcPr>
            <w:tcW w:type="dxa" w:w="2160"/>
            <w:shd w:fill="E8EEF4" w:val="clear"/>
          </w:tcPr>
          <w:p>
            <w:r>
              <w:rPr>
                <w:sz w:val="18"/>
              </w:rPr>
            </w:r>
          </w:p>
        </w:tc>
        <w:tc>
          <w:tcPr>
            <w:tcW w:type="dxa" w:w="2160"/>
            <w:shd w:fill="E8EEF4" w:val="clear"/>
          </w:tcPr>
          <w:p>
            <w:r>
              <w:rPr>
                <w:sz w:val="18"/>
              </w:rPr>
            </w:r>
          </w:p>
        </w:tc>
      </w:tr>
      <w:tr>
        <w:tc>
          <w:tcPr>
            <w:tcW w:type="dxa" w:w="2160"/>
          </w:tcPr>
          <w:p>
            <w:r>
              <w:rPr>
                <w:sz w:val="18"/>
              </w:rPr>
              <w:t>7</w:t>
            </w:r>
          </w:p>
        </w:tc>
        <w:tc>
          <w:tcPr>
            <w:tcW w:type="dxa" w:w="2160"/>
          </w:tcPr>
          <w:p>
            <w:r>
              <w:rPr>
                <w:sz w:val="18"/>
              </w:rPr>
              <w:t>Consortium akkoord met sameness?</w:t>
            </w:r>
          </w:p>
        </w:tc>
        <w:tc>
          <w:tcPr>
            <w:tcW w:type="dxa" w:w="2160"/>
          </w:tcPr>
          <w:p>
            <w:r>
              <w:rPr>
                <w:sz w:val="18"/>
              </w:rPr>
            </w:r>
          </w:p>
        </w:tc>
        <w:tc>
          <w:tcPr>
            <w:tcW w:type="dxa" w:w="2160"/>
          </w:tcPr>
          <w:p>
            <w:r>
              <w:rPr>
                <w:sz w:val="18"/>
              </w:rPr>
            </w:r>
          </w:p>
        </w:tc>
      </w:tr>
      <w:tr>
        <w:tc>
          <w:tcPr>
            <w:tcW w:type="dxa" w:w="2160"/>
            <w:shd w:fill="E8EEF4" w:val="clear"/>
          </w:tcPr>
          <w:p>
            <w:r>
              <w:rPr>
                <w:sz w:val="18"/>
              </w:rPr>
              <w:t>8</w:t>
            </w:r>
          </w:p>
        </w:tc>
        <w:tc>
          <w:tcPr>
            <w:tcW w:type="dxa" w:w="2160"/>
            <w:shd w:fill="E8EEF4" w:val="clear"/>
          </w:tcPr>
          <w:p>
            <w:r>
              <w:rPr>
                <w:sz w:val="18"/>
              </w:rPr>
              <w:t>Conclusie: SAME / NOT SAME / ONBEKEND</w:t>
            </w:r>
          </w:p>
        </w:tc>
        <w:tc>
          <w:tcPr>
            <w:tcW w:type="dxa" w:w="2160"/>
            <w:shd w:fill="E8EEF4" w:val="clear"/>
          </w:tcPr>
          <w:p>
            <w:r>
              <w:rPr>
                <w:sz w:val="18"/>
              </w:rPr>
            </w:r>
          </w:p>
        </w:tc>
        <w:tc>
          <w:tcPr>
            <w:tcW w:type="dxa" w:w="2160"/>
            <w:shd w:fill="E8EEF4" w:val="clear"/>
          </w:tcPr>
          <w:p>
            <w:r>
              <w:rPr>
                <w:sz w:val="18"/>
              </w:rPr>
            </w:r>
          </w:p>
        </w:tc>
      </w:tr>
    </w:tbl>
    <w:p/>
    <w:p>
      <w:pPr>
        <w:pStyle w:val="Heading2"/>
      </w:pPr>
      <w:r>
        <w:t>Bijlage D: REACH Compliance Jaaroverzicht Template</w:t>
      </w:r>
    </w:p>
    <w:p>
      <w:r>
        <w:t>Jaar: _______    Uitgevoerd door: _______________    Datum: ___________</w:t>
      </w:r>
    </w:p>
    <w:p/>
    <w:tbl>
      <w:tblPr>
        <w:tblStyle w:val="TableGrid"/>
        <w:tblW w:type="auto" w:w="0"/>
        <w:jc w:val="center"/>
        <w:tblLook w:firstColumn="1" w:firstRow="1" w:lastColumn="0" w:lastRow="0" w:noHBand="0" w:noVBand="1" w:val="04A0"/>
      </w:tblPr>
      <w:tblGrid>
        <w:gridCol w:w="1080"/>
        <w:gridCol w:w="1080"/>
        <w:gridCol w:w="1080"/>
        <w:gridCol w:w="1080"/>
        <w:gridCol w:w="1080"/>
        <w:gridCol w:w="1080"/>
        <w:gridCol w:w="1080"/>
        <w:gridCol w:w="1080"/>
      </w:tblGrid>
      <w:tr>
        <w:tc>
          <w:tcPr>
            <w:tcW w:type="dxa" w:w="1080"/>
            <w:shd w:fill="003366" w:val="clear"/>
          </w:tcPr>
          <w:p>
            <w:pPr>
              <w:jc w:val="center"/>
            </w:pPr>
            <w:r>
              <w:rPr>
                <w:b/>
                <w:color w:val="FFFFFF"/>
                <w:sz w:val="18"/>
              </w:rPr>
              <w:t>#</w:t>
            </w:r>
          </w:p>
        </w:tc>
        <w:tc>
          <w:tcPr>
            <w:tcW w:type="dxa" w:w="1080"/>
            <w:shd w:fill="003366" w:val="clear"/>
          </w:tcPr>
          <w:p>
            <w:pPr>
              <w:jc w:val="center"/>
            </w:pPr>
            <w:r>
              <w:rPr>
                <w:b/>
                <w:color w:val="FFFFFF"/>
                <w:sz w:val="18"/>
              </w:rPr>
              <w:t>Onderdeel</w:t>
            </w:r>
          </w:p>
        </w:tc>
        <w:tc>
          <w:tcPr>
            <w:tcW w:type="dxa" w:w="1080"/>
            <w:shd w:fill="003366" w:val="clear"/>
          </w:tcPr>
          <w:p>
            <w:pPr>
              <w:jc w:val="center"/>
            </w:pPr>
            <w:r>
              <w:rPr>
                <w:b/>
                <w:color w:val="FFFFFF"/>
                <w:sz w:val="18"/>
              </w:rPr>
              <w:t>Status (✓/✗)</w:t>
            </w:r>
          </w:p>
        </w:tc>
        <w:tc>
          <w:tcPr>
            <w:tcW w:type="dxa" w:w="1080"/>
            <w:shd w:fill="003366" w:val="clear"/>
          </w:tcPr>
          <w:p>
            <w:pPr>
              <w:jc w:val="center"/>
            </w:pPr>
            <w:r>
              <w:rPr>
                <w:b/>
                <w:color w:val="FFFFFF"/>
                <w:sz w:val="18"/>
              </w:rPr>
              <w:t>Bevinding</w:t>
            </w:r>
          </w:p>
        </w:tc>
        <w:tc>
          <w:tcPr>
            <w:tcW w:type="dxa" w:w="1080"/>
            <w:shd w:fill="003366" w:val="clear"/>
          </w:tcPr>
          <w:p>
            <w:pPr>
              <w:jc w:val="center"/>
            </w:pPr>
            <w:r>
              <w:rPr>
                <w:b/>
                <w:color w:val="FFFFFF"/>
                <w:sz w:val="18"/>
              </w:rPr>
              <w:t>Ernst</w:t>
            </w:r>
          </w:p>
        </w:tc>
        <w:tc>
          <w:tcPr>
            <w:tcW w:type="dxa" w:w="1080"/>
            <w:shd w:fill="003366" w:val="clear"/>
          </w:tcPr>
          <w:p>
            <w:pPr>
              <w:jc w:val="center"/>
            </w:pPr>
            <w:r>
              <w:rPr>
                <w:b/>
                <w:color w:val="FFFFFF"/>
                <w:sz w:val="18"/>
              </w:rPr>
              <w:t>Corrective Action</w:t>
            </w:r>
          </w:p>
        </w:tc>
        <w:tc>
          <w:tcPr>
            <w:tcW w:type="dxa" w:w="1080"/>
            <w:shd w:fill="003366" w:val="clear"/>
          </w:tcPr>
          <w:p>
            <w:pPr>
              <w:jc w:val="center"/>
            </w:pPr>
            <w:r>
              <w:rPr>
                <w:b/>
                <w:color w:val="FFFFFF"/>
                <w:sz w:val="18"/>
              </w:rPr>
              <w:t>Verantwoordelijke</w:t>
            </w:r>
          </w:p>
        </w:tc>
        <w:tc>
          <w:tcPr>
            <w:tcW w:type="dxa" w:w="1080"/>
            <w:shd w:fill="003366" w:val="clear"/>
          </w:tcPr>
          <w:p>
            <w:pPr>
              <w:jc w:val="center"/>
            </w:pPr>
            <w:r>
              <w:rPr>
                <w:b/>
                <w:color w:val="FFFFFF"/>
                <w:sz w:val="18"/>
              </w:rPr>
              <w:t>Deadline</w:t>
            </w:r>
          </w:p>
        </w:tc>
      </w:tr>
      <w:tr>
        <w:tc>
          <w:tcPr>
            <w:tcW w:type="dxa" w:w="1080"/>
          </w:tcPr>
          <w:p>
            <w:r>
              <w:rPr>
                <w:sz w:val="18"/>
              </w:rPr>
              <w:t>1</w:t>
            </w:r>
          </w:p>
        </w:tc>
        <w:tc>
          <w:tcPr>
            <w:tcW w:type="dxa" w:w="1080"/>
          </w:tcPr>
          <w:p>
            <w:r>
              <w:rPr>
                <w:sz w:val="18"/>
              </w:rPr>
              <w:t>Chemicals Master Register</w:t>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r>
      <w:tr>
        <w:tc>
          <w:tcPr>
            <w:tcW w:type="dxa" w:w="1080"/>
            <w:shd w:fill="E8EEF4" w:val="clear"/>
          </w:tcPr>
          <w:p>
            <w:r>
              <w:rPr>
                <w:sz w:val="18"/>
              </w:rPr>
              <w:t>2</w:t>
            </w:r>
          </w:p>
        </w:tc>
        <w:tc>
          <w:tcPr>
            <w:tcW w:type="dxa" w:w="1080"/>
            <w:shd w:fill="E8EEF4" w:val="clear"/>
          </w:tcPr>
          <w:p>
            <w:r>
              <w:rPr>
                <w:sz w:val="18"/>
              </w:rPr>
              <w:t>SDS-beschikbaarheid</w:t>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r>
      <w:tr>
        <w:tc>
          <w:tcPr>
            <w:tcW w:type="dxa" w:w="1080"/>
          </w:tcPr>
          <w:p>
            <w:r>
              <w:rPr>
                <w:sz w:val="18"/>
              </w:rPr>
              <w:t>3</w:t>
            </w:r>
          </w:p>
        </w:tc>
        <w:tc>
          <w:tcPr>
            <w:tcW w:type="dxa" w:w="1080"/>
          </w:tcPr>
          <w:p>
            <w:r>
              <w:rPr>
                <w:sz w:val="18"/>
              </w:rPr>
              <w:t>CLP-etikettering</w:t>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r>
      <w:tr>
        <w:tc>
          <w:tcPr>
            <w:tcW w:type="dxa" w:w="1080"/>
            <w:shd w:fill="E8EEF4" w:val="clear"/>
          </w:tcPr>
          <w:p>
            <w:r>
              <w:rPr>
                <w:sz w:val="18"/>
              </w:rPr>
              <w:t>4</w:t>
            </w:r>
          </w:p>
        </w:tc>
        <w:tc>
          <w:tcPr>
            <w:tcW w:type="dxa" w:w="1080"/>
            <w:shd w:fill="E8EEF4" w:val="clear"/>
          </w:tcPr>
          <w:p>
            <w:r>
              <w:rPr>
                <w:sz w:val="18"/>
              </w:rPr>
              <w:t>CMR Namelist</w:t>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r>
      <w:tr>
        <w:tc>
          <w:tcPr>
            <w:tcW w:type="dxa" w:w="1080"/>
          </w:tcPr>
          <w:p>
            <w:r>
              <w:rPr>
                <w:sz w:val="18"/>
              </w:rPr>
              <w:t>5</w:t>
            </w:r>
          </w:p>
        </w:tc>
        <w:tc>
          <w:tcPr>
            <w:tcW w:type="dxa" w:w="1080"/>
          </w:tcPr>
          <w:p>
            <w:r>
              <w:rPr>
                <w:sz w:val="18"/>
              </w:rPr>
              <w:t>SVHC-check</w:t>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r>
      <w:tr>
        <w:tc>
          <w:tcPr>
            <w:tcW w:type="dxa" w:w="1080"/>
            <w:shd w:fill="E8EEF4" w:val="clear"/>
          </w:tcPr>
          <w:p>
            <w:r>
              <w:rPr>
                <w:sz w:val="18"/>
              </w:rPr>
              <w:t>6</w:t>
            </w:r>
          </w:p>
        </w:tc>
        <w:tc>
          <w:tcPr>
            <w:tcW w:type="dxa" w:w="1080"/>
            <w:shd w:fill="E8EEF4" w:val="clear"/>
          </w:tcPr>
          <w:p>
            <w:r>
              <w:rPr>
                <w:sz w:val="18"/>
              </w:rPr>
              <w:t>UFI / PCN</w:t>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r>
      <w:tr>
        <w:tc>
          <w:tcPr>
            <w:tcW w:type="dxa" w:w="1080"/>
          </w:tcPr>
          <w:p>
            <w:r>
              <w:rPr>
                <w:sz w:val="18"/>
              </w:rPr>
              <w:t>7</w:t>
            </w:r>
          </w:p>
        </w:tc>
        <w:tc>
          <w:tcPr>
            <w:tcW w:type="dxa" w:w="1080"/>
          </w:tcPr>
          <w:p>
            <w:r>
              <w:rPr>
                <w:sz w:val="18"/>
              </w:rPr>
              <w:t>PGS 15 opslag</w:t>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r>
      <w:tr>
        <w:tc>
          <w:tcPr>
            <w:tcW w:type="dxa" w:w="1080"/>
            <w:shd w:fill="E8EEF4" w:val="clear"/>
          </w:tcPr>
          <w:p>
            <w:r>
              <w:rPr>
                <w:sz w:val="18"/>
              </w:rPr>
              <w:t>8</w:t>
            </w:r>
          </w:p>
        </w:tc>
        <w:tc>
          <w:tcPr>
            <w:tcW w:type="dxa" w:w="1080"/>
            <w:shd w:fill="E8EEF4" w:val="clear"/>
          </w:tcPr>
          <w:p>
            <w:r>
              <w:rPr>
                <w:sz w:val="18"/>
              </w:rPr>
              <w:t>PBM-matrix</w:t>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r>
      <w:tr>
        <w:tc>
          <w:tcPr>
            <w:tcW w:type="dxa" w:w="1080"/>
          </w:tcPr>
          <w:p>
            <w:r>
              <w:rPr>
                <w:sz w:val="18"/>
              </w:rPr>
              <w:t>9</w:t>
            </w:r>
          </w:p>
        </w:tc>
        <w:tc>
          <w:tcPr>
            <w:tcW w:type="dxa" w:w="1080"/>
          </w:tcPr>
          <w:p>
            <w:r>
              <w:rPr>
                <w:sz w:val="18"/>
              </w:rPr>
              <w:t>RI&amp;E</w:t>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r>
      <w:tr>
        <w:tc>
          <w:tcPr>
            <w:tcW w:type="dxa" w:w="1080"/>
            <w:shd w:fill="E8EEF4" w:val="clear"/>
          </w:tcPr>
          <w:p>
            <w:r>
              <w:rPr>
                <w:sz w:val="18"/>
              </w:rPr>
              <w:t>10</w:t>
            </w:r>
          </w:p>
        </w:tc>
        <w:tc>
          <w:tcPr>
            <w:tcW w:type="dxa" w:w="1080"/>
            <w:shd w:fill="E8EEF4" w:val="clear"/>
          </w:tcPr>
          <w:p>
            <w:r>
              <w:rPr>
                <w:sz w:val="18"/>
              </w:rPr>
              <w:t>Training</w:t>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r>
      <w:tr>
        <w:tc>
          <w:tcPr>
            <w:tcW w:type="dxa" w:w="1080"/>
          </w:tcPr>
          <w:p>
            <w:r>
              <w:rPr>
                <w:sz w:val="18"/>
              </w:rPr>
              <w:t>11</w:t>
            </w:r>
          </w:p>
        </w:tc>
        <w:tc>
          <w:tcPr>
            <w:tcW w:type="dxa" w:w="1080"/>
          </w:tcPr>
          <w:p>
            <w:r>
              <w:rPr>
                <w:sz w:val="18"/>
              </w:rPr>
              <w:t>REACH-registratiestatus</w:t>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c>
          <w:tcPr>
            <w:tcW w:type="dxa" w:w="1080"/>
          </w:tcPr>
          <w:p>
            <w:r>
              <w:rPr>
                <w:sz w:val="18"/>
              </w:rPr>
            </w:r>
          </w:p>
        </w:tc>
      </w:tr>
      <w:tr>
        <w:tc>
          <w:tcPr>
            <w:tcW w:type="dxa" w:w="1080"/>
            <w:shd w:fill="E8EEF4" w:val="clear"/>
          </w:tcPr>
          <w:p>
            <w:r>
              <w:rPr>
                <w:sz w:val="18"/>
              </w:rPr>
              <w:t>12</w:t>
            </w:r>
          </w:p>
        </w:tc>
        <w:tc>
          <w:tcPr>
            <w:tcW w:type="dxa" w:w="1080"/>
            <w:shd w:fill="E8EEF4" w:val="clear"/>
          </w:tcPr>
          <w:p>
            <w:r>
              <w:rPr>
                <w:sz w:val="18"/>
              </w:rPr>
              <w:t>Documentbeheer</w:t>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c>
          <w:tcPr>
            <w:tcW w:type="dxa" w:w="1080"/>
            <w:shd w:fill="E8EEF4" w:val="clear"/>
          </w:tcPr>
          <w:p>
            <w:r>
              <w:rPr>
                <w:sz w:val="18"/>
              </w:rPr>
            </w:r>
          </w:p>
        </w:tc>
      </w:tr>
    </w:tbl>
    <w:p/>
    <w:p>
      <w:r>
        <w:t>Handtekening auditor: _______________________    Datum: ___________</w:t>
      </w:r>
    </w:p>
    <w:p>
      <w:r>
        <w:t>Handtekening management: _______________________    Datum: ___________</w:t>
      </w:r>
    </w:p>
    <w:p>
      <w:r>
        <w:br w:type="page"/>
      </w:r>
    </w:p>
    <w:p>
      <w:pPr>
        <w:pStyle w:val="Heading1"/>
      </w:pPr>
      <w:r>
        <w:t>11. Bronverwijzingen</w:t>
      </w:r>
    </w:p>
    <w:p>
      <w:r>
        <w:t>[1] Verordening (EG) nr. 1907/2006 — REACH (Publikatieblad EU L 396, 30.12.2006)</w:t>
      </w:r>
    </w:p>
    <w:p>
      <w:r>
        <w:t>[2] Verordening (EG) nr. 1272/2008 — CLP (Publikatieblad EU L 353, 31.12.2008)</w:t>
      </w:r>
    </w:p>
    <w:p>
      <w:r>
        <w:t>[3] ECHA, Richtsnoer voor registratie, Versie 4.0, augustus 2021</w:t>
      </w:r>
    </w:p>
    <w:p>
      <w:r>
        <w:t>[4] ECHA, Guidance on labelling and packaging, Versie 4.2, maart 2021</w:t>
      </w:r>
    </w:p>
    <w:p>
      <w:r>
        <w:t>[5] ECHA, Guidance on the preparation of an Annex XV dossier for SVHC identification, v2.1, oktober 2018</w:t>
      </w:r>
    </w:p>
    <w:p>
      <w:r>
        <w:t>[6] ECHA, Veiligheid van chemische stoffen in uw bedrijf — Inleiding voor kmo's</w:t>
      </w:r>
    </w:p>
    <w:p>
      <w:r>
        <w:t>[7] ECHA, Guidance on substance identification (RIP 3.10)</w:t>
      </w:r>
    </w:p>
    <w:p>
      <w:r>
        <w:t>[8] Vanadium REACH Consortium — https://vanadiumconsortium.com</w:t>
      </w:r>
    </w:p>
    <w:p>
      <w:r>
        <w:t>[9] Arbowet / Arbobesluit — Titel 3: Gevaarlijke stoffen en biologische agentia</w:t>
      </w:r>
    </w:p>
    <w:p>
      <w:r>
        <w:t>[10] PGS 15 — Publicatiereeks Gevaarlijke Stoffen: Opslag van gevaarlijke stoffen</w:t>
      </w:r>
    </w:p>
    <w:p>
      <w:r>
        <w:t>[11] Phoenix Metals, Registration Chemicals - MASTER (v2.1.0, november 2024)</w:t>
      </w:r>
    </w:p>
    <w:p>
      <w:r>
        <w:t>[12] Phoenix Metals, MSDS Vanadium Concentrate (v1-nl)</w:t>
      </w:r>
    </w:p>
    <w:p>
      <w:r>
        <w:t>[13] Phoenix Metals, RI&amp;E Inventarisatie Gevaarlijke Stoffen</w:t>
      </w:r>
    </w:p>
    <w:p>
      <w:r>
        <w:t>[14] Phoenix Metals, HSE Policy</w:t>
      </w:r>
    </w:p>
    <w:p>
      <w:r>
        <w:t>[15] Phoenix Metals, PBM Beleid &amp; Matrix</w:t>
      </w:r>
    </w:p>
    <w:p>
      <w:r>
        <w:t>[16] Phoenix Metals, Management of Change (MOC) procedure</w:t>
      </w:r>
    </w:p>
    <w:p>
      <w:r>
        <w:t>[17] Phoenix Metals, Document Control procedure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