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>
      <w:pPr>
        <w:jc w:val="center"/>
      </w:pPr>
      <w:r>
        <w:rPr>
          <w:b/>
          <w:color w:val="1B3A5C"/>
          <w:sz w:val="56"/>
        </w:rPr>
        <w:t>MASTER SOP</w:t>
      </w:r>
    </w:p>
    <w:p>
      <w:pPr>
        <w:jc w:val="center"/>
      </w:pPr>
      <w:r>
        <w:rPr>
          <w:color w:val="4472C4"/>
          <w:sz w:val="32"/>
        </w:rPr>
        <w:t>REACH Compliance Phoenix Metals B.V.</w:t>
        <w:br/>
        <w:t>Deel A: Formele SOP | Deel B: Toelichtend Stuk</w:t>
        <w:br/>
        <w:t>D4 v3.0</w:t>
      </w:r>
    </w:p>
    <w:p>
      <w:pPr>
        <w:jc w:val="center"/>
      </w:pPr>
      <w:r>
        <w:rPr>
          <w:color w:val="606060"/>
          <w:sz w:val="22"/>
        </w:rPr>
        <w:br/>
        <w:t>JvG Consultancy</w:t>
        <w:br/>
        <w:t>2026-04-16</w:t>
        <w:br/>
        <w:t>Vertrouwelijk</w:t>
      </w:r>
    </w:p>
    <w:p>
      <w:r>
        <w:br w:type="page"/>
      </w:r>
    </w:p>
    <w:p>
      <w:pPr>
        <w:pStyle w:val="Heading1"/>
      </w:pPr>
      <w:r>
        <w:t>Inhoudsopgave</w:t>
      </w:r>
    </w:p>
    <w:p>
      <w:r>
        <w:t>DEEL A: FORMELE SOP</w:t>
      </w:r>
    </w:p>
    <w:p>
      <w:r>
        <w:t>1. Doel &amp; Toepassingsgebied</w:t>
      </w:r>
    </w:p>
    <w:p>
      <w:r>
        <w:t>2. Definities</w:t>
      </w:r>
    </w:p>
    <w:p>
      <w:r>
        <w:t>3. Verantwoordelijkheden</w:t>
      </w:r>
    </w:p>
    <w:p>
      <w:r>
        <w:t>4. Procedures (4.1–4.15)</w:t>
      </w:r>
    </w:p>
    <w:p>
      <w:r>
        <w:t>5. Kwaliteitsborging (KPI’s)</w:t>
      </w:r>
    </w:p>
    <w:p>
      <w:r>
        <w:t>6. Gekoppelde documenten</w:t>
      </w:r>
    </w:p>
    <w:p>
      <w:r>
        <w:t>7. Revisiehistorie</w:t>
      </w:r>
    </w:p>
    <w:p>
      <w:r>
        <w:t>8. Bijlagen</w:t>
      </w:r>
    </w:p>
    <w:p/>
    <w:p>
      <w:r>
        <w:t>DEEL B: TOELICHTEND STUK</w:t>
      </w:r>
    </w:p>
    <w:p>
      <w:r>
        <w:t>B1. Aanleiding en noodzaak</w:t>
      </w:r>
    </w:p>
    <w:p>
      <w:r>
        <w:t>B2. Regulatorische context</w:t>
      </w:r>
    </w:p>
    <w:p>
      <w:r>
        <w:t>B3. Risico’s bij niet-naleving</w:t>
      </w:r>
    </w:p>
    <w:p>
      <w:r>
        <w:t>B4. Strategisch belang</w:t>
      </w:r>
    </w:p>
    <w:p>
      <w:r>
        <w:t>B5. Faseringsplan (5 fasen, 6 maanden)</w:t>
      </w:r>
    </w:p>
    <w:p>
      <w:r>
        <w:t>B6. Benodigde middelen</w:t>
      </w:r>
    </w:p>
    <w:p>
      <w:r>
        <w:t>B7. Conclusie</w:t>
      </w:r>
    </w:p>
    <w:p>
      <w:r>
        <w:br w:type="page"/>
      </w:r>
    </w:p>
    <w:p>
      <w:pPr>
        <w:pStyle w:val="Heading1"/>
      </w:pPr>
      <w:r>
        <w:t>DEEL A: FORMELE STANDARD OPERATING PROCEDURE</w:t>
      </w:r>
    </w:p>
    <w:p>
      <w:pPr>
        <w:pStyle w:val="Heading1"/>
      </w:pPr>
      <w:r>
        <w:t>1. Doel &amp; Toepassingsgebied</w:t>
      </w:r>
    </w:p>
    <w:p>
      <w:r>
        <w:t>1.1 Doel: Deze Master SOP beschrijft het kader voor REACH- en CLP-compliance binnen Phoenix Metals B.V. (PM). Het waarborgt dat alle activiteiten met chemische stoffen — van inkoop tot afvoer — conform de Europese regelgeving worden uitgevoerd.</w:t>
      </w:r>
    </w:p>
    <w:p>
      <w:r>
        <w:t>1.2 Toepassingsgebied: Deze SOP is van toepassing op alle PM-activiteiten op de locatie Plant One Rotterdam, inclusief de demo-installatie voor vanadiumextractie uit SARU ash [Bron 23, 42].</w:t>
      </w:r>
    </w:p>
    <w:p>
      <w:r>
        <w:t>1.3 Referenties: REACH (EG 1907/2006), CLP (EG 1272/2008), Arbowet, BRZO [Bron 45, 47], PM HSE Policy [Bron 32].</w:t>
      </w:r>
    </w:p>
    <w:p>
      <w:r>
        <w:rPr>
          <w:i/>
          <w:color w:val="808080"/>
          <w:sz w:val="16"/>
        </w:rPr>
        <w:t>Bronnen: 01, 23, 32, 42, 45, 47</w:t>
      </w:r>
    </w:p>
    <w:p>
      <w:pPr>
        <w:pStyle w:val="Heading1"/>
      </w:pPr>
      <w:r>
        <w:t>2. Definities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2E5090" w:val="clear"/>
          </w:tcPr>
          <w:p>
            <w:r>
              <w:rPr>
                <w:b/>
                <w:color w:val="FFFFFF"/>
                <w:sz w:val="18"/>
              </w:rPr>
              <w:t>Term</w:t>
            </w:r>
          </w:p>
        </w:tc>
        <w:tc>
          <w:tcPr>
            <w:tcW w:type="dxa" w:w="2880"/>
            <w:shd w:fill="2E5090" w:val="clear"/>
          </w:tcPr>
          <w:p>
            <w:r>
              <w:rPr>
                <w:b/>
                <w:color w:val="FFFFFF"/>
                <w:sz w:val="18"/>
              </w:rPr>
              <w:t>Definitie</w:t>
            </w:r>
          </w:p>
        </w:tc>
        <w:tc>
          <w:tcPr>
            <w:tcW w:type="dxa" w:w="2880"/>
            <w:shd w:fill="2E5090" w:val="clear"/>
          </w:tcPr>
          <w:p>
            <w:r>
              <w:rPr>
                <w:b/>
                <w:color w:val="FFFFFF"/>
                <w:sz w:val="18"/>
              </w:rPr>
              <w:t>Bron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REACH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Verordening (EG) nr. 1907/2006 — Registratie, Evaluatie, Autorisatie en beperking van Chemische stoffen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01</w:t>
            </w:r>
          </w:p>
        </w:tc>
      </w:tr>
      <w:tr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CLP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Verordening (EG) nr. 1272/2008 — Classificatie, Etikettering en Verpakking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01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SDS/VIB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Veiligheidsinformatieblad — 16 secties conform REACH Bijlage II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05</w:t>
            </w:r>
          </w:p>
        </w:tc>
      </w:tr>
      <w:tr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UVCB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Unknown or Variable composition, Complex reaction products or Biological materials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03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SIP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Stofidentiteitsprofiel — documentatie van stofsamenstelling voor registratie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07</w:t>
            </w:r>
          </w:p>
        </w:tc>
      </w:tr>
      <w:tr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CSA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Chemical Safety Assessment — chemische veiligheidsbeoordeling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06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e-SDS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Extended SDS — SDS met bijgevoegde blootstellingsscenario’s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05</w:t>
            </w:r>
          </w:p>
        </w:tc>
      </w:tr>
      <w:tr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SVHC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Substance of Very High Concern — zeer zorgwekkende stof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04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PBT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Persistent, Bioaccumulative and Toxic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04</w:t>
            </w:r>
          </w:p>
        </w:tc>
      </w:tr>
      <w:tr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vPvB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very Persistent, very Bioaccumulative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04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CMR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Carcinogeen, Mutageen, Reproductietoxisch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08</w:t>
            </w:r>
          </w:p>
        </w:tc>
      </w:tr>
      <w:tr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DNEL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Derived No Effect Level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10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SIEF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Substance Information Exchange Forum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13</w:t>
            </w:r>
          </w:p>
        </w:tc>
      </w:tr>
      <w:tr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EoW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End of Waste — einde afvalstofstatus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09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MAC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Maximaal Aanvaarde Concentratie — grenswaarde blootstelling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10</w:t>
            </w:r>
          </w:p>
        </w:tc>
      </w:tr>
      <w:tr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PBM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Persoonlijke Beschermingsmiddelen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35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MoC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Management of Change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48</w:t>
            </w:r>
          </w:p>
        </w:tc>
      </w:tr>
      <w:tr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TRA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Taak Risico Analyse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51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BNP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Bedrijfsnoodplan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33</w:t>
            </w:r>
          </w:p>
        </w:tc>
      </w:tr>
      <w:tr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BRZO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Besluit Risico’s Zware Ongevallen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47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RMM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Risk Management Measures — risicobeheersmaatregelen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06</w:t>
            </w:r>
          </w:p>
        </w:tc>
      </w:tr>
      <w:tr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OSOR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One Substance, One Registration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02</w:t>
            </w:r>
          </w:p>
        </w:tc>
      </w:tr>
    </w:tbl>
    <w:p>
      <w:r>
        <w:br w:type="page"/>
      </w:r>
    </w:p>
    <w:p>
      <w:pPr>
        <w:pStyle w:val="Heading1"/>
      </w:pPr>
      <w:r>
        <w:t>3. Verantwoordelijkheden</w:t>
      </w:r>
    </w:p>
    <w:p>
      <w:r>
        <w:t>Verantwoordelijkheden conform de PM-organisatiestructuur [Bron 32]: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2E5090" w:val="clear"/>
          </w:tcPr>
          <w:p>
            <w:r>
              <w:rPr>
                <w:b/>
                <w:color w:val="FFFFFF"/>
                <w:sz w:val="18"/>
              </w:rPr>
              <w:t>Functie</w:t>
            </w:r>
          </w:p>
        </w:tc>
        <w:tc>
          <w:tcPr>
            <w:tcW w:type="dxa" w:w="2880"/>
            <w:shd w:fill="2E5090" w:val="clear"/>
          </w:tcPr>
          <w:p>
            <w:r>
              <w:rPr>
                <w:b/>
                <w:color w:val="FFFFFF"/>
                <w:sz w:val="18"/>
              </w:rPr>
              <w:t>REACH-rol</w:t>
            </w:r>
          </w:p>
        </w:tc>
        <w:tc>
          <w:tcPr>
            <w:tcW w:type="dxa" w:w="2880"/>
            <w:shd w:fill="2E5090" w:val="clear"/>
          </w:tcPr>
          <w:p>
            <w:r>
              <w:rPr>
                <w:b/>
                <w:color w:val="FFFFFF"/>
                <w:sz w:val="18"/>
              </w:rPr>
              <w:t>Verantwoordelijkheden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Managing Director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Eindverantwoordelijke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Strategisch beleid, middelentoewijzing, jaarlijkse review</w:t>
            </w:r>
          </w:p>
        </w:tc>
      </w:tr>
      <w:tr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HSE Manager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REACH-coördinator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Dossierbeheer, SDS-beheer, compliance monitoring, training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Operations Manager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Producent/Downstream User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Procesveiligheid, PBM, incidentrapportage</w:t>
            </w:r>
          </w:p>
        </w:tc>
      </w:tr>
      <w:tr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HSE Supervisor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Uitvoerend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Inspecties, metingen, documentcontrole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Field Operators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Uitvoerend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Hantering stoffen, TRA, LMRA, PBM-gebruik</w:t>
            </w:r>
          </w:p>
        </w:tc>
      </w:tr>
      <w:tr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Maintenance Manager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Technisch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Installatie-integriteit, LOTO, PSSR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Inkoop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Downstream User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SDS-controle bij inkoop, SVHC-screening</w:t>
            </w:r>
          </w:p>
        </w:tc>
      </w:tr>
    </w:tbl>
    <w:p>
      <w:r>
        <w:rPr>
          <w:i/>
          <w:color w:val="808080"/>
          <w:sz w:val="16"/>
        </w:rPr>
        <w:t>Bronnen: 32 (HSE Policy), 55 (opleidingsmatrix)</w:t>
      </w:r>
    </w:p>
    <w:p>
      <w:pPr>
        <w:pStyle w:val="Heading1"/>
      </w:pPr>
      <w:r>
        <w:t>4. Procedures</w:t>
      </w:r>
    </w:p>
    <w:p>
      <w:pPr>
        <w:pStyle w:val="Heading2"/>
      </w:pPr>
      <w:r>
        <w:t>4.1 Stofidentificatie &amp; SIP</w:t>
      </w:r>
    </w:p>
    <w:p>
      <w:r>
        <w:t>Doel: Ondubbelzinnige identificatie van alle stoffen die PM produceert, verwerkt of levert [Bron 03].</w:t>
      </w:r>
    </w:p>
    <w:p>
      <w:r>
        <w:t>Procedure: (1) Bepaal stoftype (mono/multi/UVCB). (2) Stel SIP op met grenssamenstellingen [Bron 07]. (3) Documenteer in IUCLID-formaat. (4) Review door HSE Manager. (5) Actualiseer bij elke batch-variatie.</w:t>
      </w:r>
    </w:p>
    <w:p>
      <w:r>
        <w:t>Voor PM: Het vanadiumhalffabrikaat is een UVCB-stof met variabele samenstelling afhankelijk van SARU ash-herkomst [Bron 03, 42]. Grenssamenstellingen vastleggen per ash-loting.</w:t>
      </w:r>
    </w:p>
    <w:p>
      <w:r>
        <w:rPr>
          <w:i/>
          <w:color w:val="808080"/>
          <w:sz w:val="16"/>
        </w:rPr>
        <w:t>Bronnen: 03, 07, 42</w:t>
      </w:r>
    </w:p>
    <w:p>
      <w:pPr>
        <w:pStyle w:val="Heading2"/>
      </w:pPr>
      <w:r>
        <w:t>4.2 EoW-beoordeling</w:t>
      </w:r>
    </w:p>
    <w:p>
      <w:r>
        <w:t>Doel: Bepalen of de SARU ash (reststroom) de afvalstofstatus verliest en als grondstof mag worden ingevoerd [Bron 09].</w:t>
      </w:r>
    </w:p>
    <w:p>
      <w:r>
        <w:t>Criteria: (1) Stof wordt gebruikelijk voor specifiek doel. (2) Bestaat markt voor de stof. (3) Gebruik is juridisch toegestaan. (4) Gebruik leidt niet tot negatieve effecten.</w:t>
      </w:r>
    </w:p>
    <w:p>
      <w:r>
        <w:t>Voor PM: SARU ash als grondstof voor vanadiumextractie voldoet potentieel aan EoW-criteria. Formele beoordeling vereist conform Kaderrichtlijn Afval [Bron 09].</w:t>
      </w:r>
    </w:p>
    <w:p>
      <w:r>
        <w:rPr>
          <w:i/>
          <w:color w:val="808080"/>
          <w:sz w:val="16"/>
        </w:rPr>
        <w:t>Bronnen: 09</w:t>
      </w:r>
    </w:p>
    <w:p>
      <w:pPr>
        <w:pStyle w:val="Heading2"/>
      </w:pPr>
      <w:r>
        <w:t>4.3 SDS/VIB Beheer</w:t>
      </w:r>
    </w:p>
    <w:p>
      <w:r>
        <w:t>Doel: Opstellen, beheren en distribueren van SDS voor alle PM-stoffen [Bron 05].</w:t>
      </w:r>
    </w:p>
    <w:p>
      <w:r>
        <w:t>Procedure: Zie D3 v3.0 (VIB/SDS Strategie) voor volledig stappenplan. Kort: (1) Opstellen 16-secties SDS. (2) Review + goedkeuring HSE Manager. (3) Distributie aan downstreamgebruikers. (4) Jaarlijkse actualisatie conform triggers. (5) Archivering conform PE-210-04 [Bron 49].</w:t>
      </w:r>
    </w:p>
    <w:p>
      <w:r>
        <w:rPr>
          <w:i/>
          <w:color w:val="808080"/>
          <w:sz w:val="16"/>
        </w:rPr>
        <w:t>Bronnen: 05, 49. Zie ook: D3 v3.0</w:t>
      </w:r>
    </w:p>
    <w:p>
      <w:pPr>
        <w:pStyle w:val="Heading2"/>
      </w:pPr>
      <w:r>
        <w:t>4.4 CLP-classificatie &amp; Etikettering</w:t>
      </w:r>
    </w:p>
    <w:p>
      <w:r>
        <w:t>Doel: Correcte classificatie, etikettering en verpakking van alle PM-stoffen [Bron 08].</w:t>
      </w:r>
    </w:p>
    <w:p>
      <w:r>
        <w:t>Procedure: (1) Verzamel tox/ecotox data. (2) Classificeer per gevarenklasse. (3) Bepaal H/P-zinnen en pictogrammen. (4) Ontwerp etiket met GHS-pictogrammen, signalwoord, H/P-zinnen, UFI. (5) Verifieer verpakkingsvereisten (CRF, TWD indien van toepassing) [Bron 08, 15].</w:t>
      </w:r>
    </w:p>
    <w:p>
      <w:r>
        <w:t>PM-specifiek: Vanadiumhalffabrikaat → GHS05, GHS07, GHS08; signalwoord GEVAAR. PCN/UFI-melding verplicht bij mengsels [Bron 01].</w:t>
      </w:r>
    </w:p>
    <w:p>
      <w:r>
        <w:rPr>
          <w:i/>
          <w:color w:val="808080"/>
          <w:sz w:val="16"/>
        </w:rPr>
        <w:t>Bronnen: 01, 08, 15</w:t>
      </w:r>
    </w:p>
    <w:p>
      <w:pPr>
        <w:pStyle w:val="Heading2"/>
      </w:pPr>
      <w:r>
        <w:t>4.5 Inkoop &amp; Acceptatie Grondstoffen</w:t>
      </w:r>
    </w:p>
    <w:p>
      <w:r>
        <w:t>Doel: Veilige en conforme inkoop van chemische grondstoffen [Bron 31].</w:t>
      </w:r>
    </w:p>
    <w:p>
      <w:r>
        <w:t>Procedure: (1) Aanvraag via PE-240-01 formulier. (2) HSE beoordeelt SDS + classificatie. (3) SVHC/CMR/PBT screening. (4) Goedkeuring door HSE Manager. (5) Registratie in Chemicals Master [Bron 26]. (6) PBM-matrix actualiseren [Bron 34]. (7) Opslag conform PGS-15.</w:t>
      </w:r>
    </w:p>
    <w:p>
      <w:r>
        <w:t>PM-stoffen: NaOH 50% [Bron 29], H₂SO₄ 25-75% [Bron 28], Al₂(SO₄)₃, CaO [Bron 26]. Alle met actueel SDS in register.</w:t>
      </w:r>
    </w:p>
    <w:p>
      <w:r>
        <w:rPr>
          <w:i/>
          <w:color w:val="808080"/>
          <w:sz w:val="16"/>
        </w:rPr>
        <w:t>Bronnen: 26, 28, 29, 31, 34</w:t>
      </w:r>
    </w:p>
    <w:p>
      <w:pPr>
        <w:pStyle w:val="Heading2"/>
      </w:pPr>
      <w:r>
        <w:t>4.6 Productieprocesveiligheid</w:t>
      </w:r>
    </w:p>
    <w:p>
      <w:r>
        <w:t>Doel: Veilige uitvoering van het hydrometallurgisch extractieproces [Bron 23].</w:t>
      </w:r>
    </w:p>
    <w:p>
      <w:r>
        <w:t>Maatregelen: (1) TRA voor elke bewerking [Bron 51]. (2) Vergunningsysteem (work permit). (3) LOTO-procedures bij onderhoud. (4) PSSR bij opstart [Bron 52]. (5) Continue monitoring pH, temperatuur, druk. (6) BHV conform BNP [Bron 33].</w:t>
      </w:r>
    </w:p>
    <w:p>
      <w:r>
        <w:t>Risico’s: Corrosieve stoffen (NaOH, H₂SO₄), vanadiumverbindingen (toxisch), radiologische aspecten [Bron 42].</w:t>
      </w:r>
    </w:p>
    <w:p>
      <w:r>
        <w:rPr>
          <w:i/>
          <w:color w:val="808080"/>
          <w:sz w:val="16"/>
        </w:rPr>
        <w:t>Bronnen: 23, 33, 42, 51, 52</w:t>
      </w:r>
    </w:p>
    <w:p>
      <w:pPr>
        <w:pStyle w:val="Heading2"/>
      </w:pPr>
      <w:r>
        <w:t>4.7 Opslag &amp; Transport</w:t>
      </w:r>
    </w:p>
    <w:p>
      <w:r>
        <w:t>Opslag: Conform PGS-15. Scheiding incompatibele stoffen. Etikettering containers. Lekbakken. Temperatuurcontrole [Bron 26, 34].</w:t>
      </w:r>
    </w:p>
    <w:p>
      <w:r>
        <w:t>Transport: ADR-classificatie. Keuring verpakkingen. Vervoersdocumenten. Noodprocedure conform BNP [Bron 33]. Stoffen: NaOH ADR-klasse 8 PG II; H₂SO₄ ADR-klasse 8 PG II [Bron 26].</w:t>
      </w:r>
    </w:p>
    <w:p>
      <w:r>
        <w:rPr>
          <w:i/>
          <w:color w:val="808080"/>
          <w:sz w:val="16"/>
        </w:rPr>
        <w:t>Bronnen: 26, 33</w:t>
      </w:r>
    </w:p>
    <w:p>
      <w:pPr>
        <w:pStyle w:val="Heading2"/>
      </w:pPr>
      <w:r>
        <w:t>4.8 Afvalbeheer</w:t>
      </w:r>
    </w:p>
    <w:p>
      <w:r>
        <w:t>Procedure: (1) Classificeer afvalstroom (EURAL-code). (2) Scheid gevaarlijk/niet-gevaarlijk. (3) Register in afvallogboek. (4) Inzameling door erkend verwerker. (5) Aftekenen afvalstroomkaart.</w:t>
      </w:r>
    </w:p>
    <w:p>
      <w:r>
        <w:t>PM-specifiek: Vloeibaar chemisch afval (zuur/base), vast residu (filterkoeken), radioactief beperkte fractie [Bron 42]. EURAL: 06 02 04*, 11 01 98.</w:t>
      </w:r>
    </w:p>
    <w:p>
      <w:r>
        <w:rPr>
          <w:i/>
          <w:color w:val="808080"/>
          <w:sz w:val="16"/>
        </w:rPr>
        <w:t>Bronnen: 42</w:t>
      </w:r>
    </w:p>
    <w:p>
      <w:pPr>
        <w:pStyle w:val="Heading2"/>
      </w:pPr>
      <w:r>
        <w:t>4.9 Documentbeheer</w:t>
      </w:r>
    </w:p>
    <w:p>
      <w:r>
        <w:t>Procedure conform PE-210-04 [Bron 49]: (1) Opstellen document met juiste template. (2) Review door inhoudelijk verantwoordelijke. (3) Goedkeuring door Manager HSEQ. (4) Publicatie in managementsysteem. (5) Archivering oude versies. (6) Minimaal jaarlijkse review.</w:t>
      </w:r>
    </w:p>
    <w:p>
      <w:r>
        <w:t>Documentenboom: Beleid → Procedures (PE) → Werkinstructies (WI) → Formulieren (FM) [Bron 49].</w:t>
      </w:r>
    </w:p>
    <w:p>
      <w:r>
        <w:rPr>
          <w:i/>
          <w:color w:val="808080"/>
          <w:sz w:val="16"/>
        </w:rPr>
        <w:t>Bronnen: 49</w:t>
      </w:r>
    </w:p>
    <w:p>
      <w:pPr>
        <w:pStyle w:val="Heading2"/>
      </w:pPr>
      <w:r>
        <w:t>4.10 Training &amp; Competentie</w:t>
      </w:r>
    </w:p>
    <w:p>
      <w:r>
        <w:t>Procedure: (1) Identificeer trainingsbehoeften via opleidingsmatrix [Bron 55]. (2) Plan trainingen (S/M classificatie). (3) Voer training uit. (4) Documenteer deelname. (5) Periodieke refresher.</w:t>
      </w:r>
    </w:p>
    <w:p>
      <w:r>
        <w:t>REACH-specifieke training: Product hazards/MSDS (S voor operators), Chemical Risk Assessment, PBM, Incident response [Bron 55].</w:t>
      </w:r>
    </w:p>
    <w:p>
      <w:r>
        <w:rPr>
          <w:i/>
          <w:color w:val="808080"/>
          <w:sz w:val="16"/>
        </w:rPr>
        <w:t>Bronnen: 55</w:t>
      </w:r>
    </w:p>
    <w:p>
      <w:pPr>
        <w:pStyle w:val="Heading2"/>
      </w:pPr>
      <w:r>
        <w:t>4.11 Audit &amp; Review</w:t>
      </w:r>
    </w:p>
    <w:p>
      <w:r>
        <w:t>Interne audit: Jaarlijks volledige REACH-compliance audit. Kwartaal inspecties door HSE Supervisor..Management review: Jaarlijkse review HSE Policy inclusief REACH-prestaties [Bron 32].</w:t>
      </w:r>
    </w:p>
    <w:p>
      <w:r>
        <w:t>KPI’s: Zie hoofdstuk 5.</w:t>
      </w:r>
    </w:p>
    <w:p>
      <w:r>
        <w:rPr>
          <w:i/>
          <w:color w:val="808080"/>
          <w:sz w:val="16"/>
        </w:rPr>
        <w:t>Bronnen: 32</w:t>
      </w:r>
    </w:p>
    <w:p>
      <w:pPr>
        <w:pStyle w:val="Heading2"/>
      </w:pPr>
      <w:r>
        <w:t>4.12 Incidenten</w:t>
      </w:r>
    </w:p>
    <w:p>
      <w:r>
        <w:t>Procedure conform BNP [Bron 33]: (1) Onmiddellijke actie (eerste hulp, alarmering). (2) Incidentrapportage binnen 24 uur. (3) Onderzoek (root cause analysis). (4) Maatregelen implementeren. (5) Communicatie aan stakeholders.</w:t>
      </w:r>
    </w:p>
    <w:p>
      <w:r>
        <w:t>REACH-aspect: Incidenten met gevaarlijke stoffen triggeren SDS-actualisatie en eventuele ECHA-melding.</w:t>
      </w:r>
    </w:p>
    <w:p>
      <w:r>
        <w:rPr>
          <w:i/>
          <w:color w:val="808080"/>
          <w:sz w:val="16"/>
        </w:rPr>
        <w:t>Bronnen: 33</w:t>
      </w:r>
    </w:p>
    <w:p>
      <w:pPr>
        <w:pStyle w:val="Heading2"/>
      </w:pPr>
      <w:r>
        <w:t>4.13 SVHC-monitoring (NIEUW)</w:t>
      </w:r>
    </w:p>
    <w:p>
      <w:r>
        <w:t>Doel: Actief monitoren van de ECHA-kandidaatlijst op SVHC’s relevant voor PM [Bron 04].</w:t>
      </w:r>
    </w:p>
    <w:p>
      <w:r>
        <w:t>Procedure: (1) Maandelijks check ECHA-kandidaatlijst updates. (2) Vergelijk met Chemicals Master [Bron 26]. (3) Indien match: within 6 maanden SDS-actualisatie + DU-mededeling. (4) Indien SVHC ≥0.1% in product: SCIP-melding overwegen.</w:t>
      </w:r>
    </w:p>
    <w:p>
      <w:r>
        <w:t>PM-relevante SVHC’s: Vanadiumpentoxide (V₂O₅) op kandidaatlijst sinds 2024. Nikkelverbindingen potentieel SVHC [Bron 04].</w:t>
      </w:r>
    </w:p>
    <w:p>
      <w:r>
        <w:rPr>
          <w:i/>
          <w:color w:val="808080"/>
          <w:sz w:val="16"/>
        </w:rPr>
        <w:t>Bronnen: 04, 26</w:t>
      </w:r>
    </w:p>
    <w:p>
      <w:pPr>
        <w:pStyle w:val="Heading2"/>
      </w:pPr>
      <w:r>
        <w:t>4.14 Datadeling &amp; SIEF (NIEUW)</w:t>
      </w:r>
    </w:p>
    <w:p>
      <w:r>
        <w:t>Doel: Voldoen aan REACH Art. 26-30 datadelingsverplichtingen [Bron 13].</w:t>
      </w:r>
    </w:p>
    <w:p>
      <w:r>
        <w:t>Procedure: (1) Identificeer SIEF-partners voor dezelfde stof. (2) Deel bestaande testdata. (3) Spreek kostenverdeling af. (4) Overweeg consortiumlidmaatschap. (5) Nomineer lead registrant. (6) Documenteer alle afspraken.</w:t>
      </w:r>
    </w:p>
    <w:p>
      <w:r>
        <w:t>Voor PM: UVCB-stof complex → consortium aanbevolen voor gemeenschappelijke CSA [Bron 13].</w:t>
      </w:r>
    </w:p>
    <w:p>
      <w:r>
        <w:rPr>
          <w:i/>
          <w:color w:val="808080"/>
          <w:sz w:val="16"/>
        </w:rPr>
        <w:t>Bronnen: 02, 13</w:t>
      </w:r>
    </w:p>
    <w:p>
      <w:pPr>
        <w:pStyle w:val="Heading2"/>
      </w:pPr>
      <w:r>
        <w:t>4.15 Management of Change</w:t>
      </w:r>
    </w:p>
    <w:p>
      <w:r>
        <w:t>Procedure conform PE-202-01 [Bron 48]: (1) Wijzigingsvoorstel indienen. (2) Risicobeoordeling (RASCI). (3) Goedkeuring MoC-team. (4) Implementatie. (5) PSSR bij opstart. (6) Documentatie actualiseren.</w:t>
      </w:r>
    </w:p>
    <w:p>
      <w:r>
        <w:t>REACH-relevantie: Elke proceswijziging die samenstelling of blootstelling beïnvloedt triggert SDS-actualisatie [Bron 48].</w:t>
      </w:r>
    </w:p>
    <w:p>
      <w:r>
        <w:rPr>
          <w:i/>
          <w:color w:val="808080"/>
          <w:sz w:val="16"/>
        </w:rPr>
        <w:t>Bronnen: 48</w:t>
      </w:r>
    </w:p>
    <w:p>
      <w:r>
        <w:br w:type="page"/>
      </w:r>
    </w:p>
    <w:p>
      <w:pPr>
        <w:pStyle w:val="Heading1"/>
      </w:pPr>
      <w:r>
        <w:t>5. Kwaliteitsborging (KPI’s)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2E5090" w:val="clear"/>
          </w:tcPr>
          <w:p>
            <w:r>
              <w:rPr>
                <w:b/>
                <w:color w:val="FFFFFF"/>
                <w:sz w:val="18"/>
              </w:rPr>
              <w:t>KPI</w:t>
            </w:r>
          </w:p>
        </w:tc>
        <w:tc>
          <w:tcPr>
            <w:tcW w:type="dxa" w:w="2160"/>
            <w:shd w:fill="2E5090" w:val="clear"/>
          </w:tcPr>
          <w:p>
            <w:r>
              <w:rPr>
                <w:b/>
                <w:color w:val="FFFFFF"/>
                <w:sz w:val="18"/>
              </w:rPr>
              <w:t>Doelwaarde</w:t>
            </w:r>
          </w:p>
        </w:tc>
        <w:tc>
          <w:tcPr>
            <w:tcW w:type="dxa" w:w="2160"/>
            <w:shd w:fill="2E5090" w:val="clear"/>
          </w:tcPr>
          <w:p>
            <w:r>
              <w:rPr>
                <w:b/>
                <w:color w:val="FFFFFF"/>
                <w:sz w:val="18"/>
              </w:rPr>
              <w:t>Meetfrequentie</w:t>
            </w:r>
          </w:p>
        </w:tc>
        <w:tc>
          <w:tcPr>
            <w:tcW w:type="dxa" w:w="2160"/>
            <w:shd w:fill="2E5090" w:val="clear"/>
          </w:tcPr>
          <w:p>
            <w:r>
              <w:rPr>
                <w:b/>
                <w:color w:val="FFFFFF"/>
                <w:sz w:val="18"/>
              </w:rPr>
              <w:t>Bron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SDS-actualiteit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100% binnen 6 maanden na trigger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Per kwartaal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05</w:t>
            </w:r>
          </w:p>
        </w:tc>
      </w:tr>
      <w:tr>
        <w:tc>
          <w:tcPr>
            <w:tcW w:type="dxa" w:w="2160"/>
            <w:shd w:fill="E8EEF5" w:val="clear"/>
          </w:tcPr>
          <w:p>
            <w:r>
              <w:rPr>
                <w:sz w:val="18"/>
              </w:rPr>
              <w:t>Chemicals Master compleet</w:t>
            </w:r>
          </w:p>
        </w:tc>
        <w:tc>
          <w:tcPr>
            <w:tcW w:type="dxa" w:w="2160"/>
            <w:shd w:fill="E8EEF5" w:val="clear"/>
          </w:tcPr>
          <w:p>
            <w:r>
              <w:rPr>
                <w:sz w:val="18"/>
              </w:rPr>
              <w:t>100% ingevuld per stof</w:t>
            </w:r>
          </w:p>
        </w:tc>
        <w:tc>
          <w:tcPr>
            <w:tcW w:type="dxa" w:w="2160"/>
            <w:shd w:fill="E8EEF5" w:val="clear"/>
          </w:tcPr>
          <w:p>
            <w:r>
              <w:rPr>
                <w:sz w:val="18"/>
              </w:rPr>
              <w:t>Per inkoop</w:t>
            </w:r>
          </w:p>
        </w:tc>
        <w:tc>
          <w:tcPr>
            <w:tcW w:type="dxa" w:w="2160"/>
            <w:shd w:fill="E8EEF5" w:val="clear"/>
          </w:tcPr>
          <w:p>
            <w:r>
              <w:rPr>
                <w:sz w:val="18"/>
              </w:rPr>
              <w:t>26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SVHC-monitoring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Maandelijks gecheckt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Maandelijks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04</w:t>
            </w:r>
          </w:p>
        </w:tc>
      </w:tr>
      <w:tr>
        <w:tc>
          <w:tcPr>
            <w:tcW w:type="dxa" w:w="2160"/>
            <w:shd w:fill="E8EEF5" w:val="clear"/>
          </w:tcPr>
          <w:p>
            <w:r>
              <w:rPr>
                <w:sz w:val="18"/>
              </w:rPr>
              <w:t>Training compliance</w:t>
            </w:r>
          </w:p>
        </w:tc>
        <w:tc>
          <w:tcPr>
            <w:tcW w:type="dxa" w:w="2160"/>
            <w:shd w:fill="E8EEF5" w:val="clear"/>
          </w:tcPr>
          <w:p>
            <w:r>
              <w:rPr>
                <w:sz w:val="18"/>
              </w:rPr>
              <w:t>≥95% gevolgd</w:t>
            </w:r>
          </w:p>
        </w:tc>
        <w:tc>
          <w:tcPr>
            <w:tcW w:type="dxa" w:w="2160"/>
            <w:shd w:fill="E8EEF5" w:val="clear"/>
          </w:tcPr>
          <w:p>
            <w:r>
              <w:rPr>
                <w:sz w:val="18"/>
              </w:rPr>
              <w:t>Per kwartaal</w:t>
            </w:r>
          </w:p>
        </w:tc>
        <w:tc>
          <w:tcPr>
            <w:tcW w:type="dxa" w:w="2160"/>
            <w:shd w:fill="E8EEF5" w:val="clear"/>
          </w:tcPr>
          <w:p>
            <w:r>
              <w:rPr>
                <w:sz w:val="18"/>
              </w:rPr>
              <w:t>55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Auditbevindingen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&lt;5 openstaand per audit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Per jaar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32</w:t>
            </w:r>
          </w:p>
        </w:tc>
      </w:tr>
      <w:tr>
        <w:tc>
          <w:tcPr>
            <w:tcW w:type="dxa" w:w="2160"/>
            <w:shd w:fill="E8EEF5" w:val="clear"/>
          </w:tcPr>
          <w:p>
            <w:r>
              <w:rPr>
                <w:sz w:val="18"/>
              </w:rPr>
              <w:t>Incidenten stoffen</w:t>
            </w:r>
          </w:p>
        </w:tc>
        <w:tc>
          <w:tcPr>
            <w:tcW w:type="dxa" w:w="2160"/>
            <w:shd w:fill="E8EEF5" w:val="clear"/>
          </w:tcPr>
          <w:p>
            <w:r>
              <w:rPr>
                <w:sz w:val="18"/>
              </w:rPr>
              <w:t>0 ernstige incidenten</w:t>
            </w:r>
          </w:p>
        </w:tc>
        <w:tc>
          <w:tcPr>
            <w:tcW w:type="dxa" w:w="2160"/>
            <w:shd w:fill="E8EEF5" w:val="clear"/>
          </w:tcPr>
          <w:p>
            <w:r>
              <w:rPr>
                <w:sz w:val="18"/>
              </w:rPr>
              <w:t>Continu</w:t>
            </w:r>
          </w:p>
        </w:tc>
        <w:tc>
          <w:tcPr>
            <w:tcW w:type="dxa" w:w="2160"/>
            <w:shd w:fill="E8EEF5" w:val="clear"/>
          </w:tcPr>
          <w:p>
            <w:r>
              <w:rPr>
                <w:sz w:val="18"/>
              </w:rPr>
              <w:t>33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MoC compliance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100% goedgekeurd voor implementatie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Per wijziging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48</w:t>
            </w:r>
          </w:p>
        </w:tc>
      </w:tr>
      <w:tr>
        <w:tc>
          <w:tcPr>
            <w:tcW w:type="dxa" w:w="2160"/>
            <w:shd w:fill="E8EEF5" w:val="clear"/>
          </w:tcPr>
          <w:p>
            <w:r>
              <w:rPr>
                <w:sz w:val="18"/>
              </w:rPr>
              <w:t>SIEF-participatie</w:t>
            </w:r>
          </w:p>
        </w:tc>
        <w:tc>
          <w:tcPr>
            <w:tcW w:type="dxa" w:w="2160"/>
            <w:shd w:fill="E8EEF5" w:val="clear"/>
          </w:tcPr>
          <w:p>
            <w:r>
              <w:rPr>
                <w:sz w:val="18"/>
              </w:rPr>
              <w:t>Actief in relevante SIEF</w:t>
            </w:r>
          </w:p>
        </w:tc>
        <w:tc>
          <w:tcPr>
            <w:tcW w:type="dxa" w:w="2160"/>
            <w:shd w:fill="E8EEF5" w:val="clear"/>
          </w:tcPr>
          <w:p>
            <w:r>
              <w:rPr>
                <w:sz w:val="18"/>
              </w:rPr>
              <w:t>Per registratie</w:t>
            </w:r>
          </w:p>
        </w:tc>
        <w:tc>
          <w:tcPr>
            <w:tcW w:type="dxa" w:w="2160"/>
            <w:shd w:fill="E8EEF5" w:val="clear"/>
          </w:tcPr>
          <w:p>
            <w:r>
              <w:rPr>
                <w:sz w:val="18"/>
              </w:rPr>
              <w:t>13</w:t>
            </w:r>
          </w:p>
        </w:tc>
      </w:tr>
    </w:tbl>
    <w:p>
      <w:r>
        <w:rPr>
          <w:i/>
          <w:color w:val="808080"/>
          <w:sz w:val="16"/>
        </w:rPr>
        <w:t>Bronnen: 04, 05, 13, 26, 32, 33, 48, 55</w:t>
      </w:r>
    </w:p>
    <w:p>
      <w:pPr>
        <w:pStyle w:val="Heading1"/>
      </w:pPr>
      <w:r>
        <w:t>6. Gekoppelde Documenten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2E5090" w:val="clear"/>
          </w:tcPr>
          <w:p>
            <w:r>
              <w:rPr>
                <w:b/>
                <w:color w:val="FFFFFF"/>
                <w:sz w:val="18"/>
              </w:rPr>
              <w:t>Document</w:t>
            </w:r>
          </w:p>
        </w:tc>
        <w:tc>
          <w:tcPr>
            <w:tcW w:type="dxa" w:w="2880"/>
            <w:shd w:fill="2E5090" w:val="clear"/>
          </w:tcPr>
          <w:p>
            <w:r>
              <w:rPr>
                <w:b/>
                <w:color w:val="FFFFFF"/>
                <w:sz w:val="18"/>
              </w:rPr>
              <w:t>Referentie</w:t>
            </w:r>
          </w:p>
        </w:tc>
        <w:tc>
          <w:tcPr>
            <w:tcW w:type="dxa" w:w="2880"/>
            <w:shd w:fill="2E5090" w:val="clear"/>
          </w:tcPr>
          <w:p>
            <w:r>
              <w:rPr>
                <w:b/>
                <w:color w:val="FFFFFF"/>
                <w:sz w:val="18"/>
              </w:rPr>
              <w:t>Type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VIB/SDS Strategie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D3 v3.0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Deliverable</w:t>
            </w:r>
          </w:p>
        </w:tc>
      </w:tr>
      <w:tr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Kennisdossier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D1 v3.0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Deliverable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HSEQ Framework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D2 v3.0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Deliverable</w:t>
            </w:r>
          </w:p>
        </w:tc>
      </w:tr>
      <w:tr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HSE Policy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[Bron 32]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PM-beleid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Bedrijfsnoodplan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[Bron 33]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PM-procedure</w:t>
            </w:r>
          </w:p>
        </w:tc>
      </w:tr>
      <w:tr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PBM-beleid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PS-201-NL [Bron 35]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PM-procedure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PBM-matrix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[Bron 34]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PM-tool</w:t>
            </w:r>
          </w:p>
        </w:tc>
      </w:tr>
      <w:tr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Chemicals Master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[Bron 26]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PM-register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Procedure Gevaarlijke Stoffen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PE-240-01 [Bron 31]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PM-procedure</w:t>
            </w:r>
          </w:p>
        </w:tc>
      </w:tr>
      <w:tr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Management of Change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PE-202-01 [Bron 48]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PM-procedure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Document Control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PE-210-04 [Bron 49]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PM-procedure</w:t>
            </w:r>
          </w:p>
        </w:tc>
      </w:tr>
      <w:tr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TRA-procedure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HS-P-0008 [Bron 51]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PM-procedure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PSSR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HS-P-0018 [Bron 52]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PM-procedure</w:t>
            </w:r>
          </w:p>
        </w:tc>
      </w:tr>
      <w:tr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Opleidingsmatrix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[Bron 55]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PM-tool</w:t>
            </w:r>
          </w:p>
        </w:tc>
      </w:tr>
    </w:tbl>
    <w:p>
      <w:pPr>
        <w:pStyle w:val="Heading1"/>
      </w:pPr>
      <w:r>
        <w:t>7. Revisiehistorie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2E5090" w:val="clear"/>
          </w:tcPr>
          <w:p>
            <w:r>
              <w:rPr>
                <w:b/>
                <w:color w:val="FFFFFF"/>
                <w:sz w:val="18"/>
              </w:rPr>
              <w:t>Versie</w:t>
            </w:r>
          </w:p>
        </w:tc>
        <w:tc>
          <w:tcPr>
            <w:tcW w:type="dxa" w:w="2160"/>
            <w:shd w:fill="2E5090" w:val="clear"/>
          </w:tcPr>
          <w:p>
            <w:r>
              <w:rPr>
                <w:b/>
                <w:color w:val="FFFFFF"/>
                <w:sz w:val="18"/>
              </w:rPr>
              <w:t>Datum</w:t>
            </w:r>
          </w:p>
        </w:tc>
        <w:tc>
          <w:tcPr>
            <w:tcW w:type="dxa" w:w="2160"/>
            <w:shd w:fill="2E5090" w:val="clear"/>
          </w:tcPr>
          <w:p>
            <w:r>
              <w:rPr>
                <w:b/>
                <w:color w:val="FFFFFF"/>
                <w:sz w:val="18"/>
              </w:rPr>
              <w:t>Wijzigingen</w:t>
            </w:r>
          </w:p>
        </w:tc>
        <w:tc>
          <w:tcPr>
            <w:tcW w:type="dxa" w:w="2160"/>
            <w:shd w:fill="2E5090" w:val="clear"/>
          </w:tcPr>
          <w:p>
            <w:r>
              <w:rPr>
                <w:b/>
                <w:color w:val="FFFFFF"/>
                <w:sz w:val="18"/>
              </w:rPr>
              <w:t>Auteur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v1.0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2026-04-14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Eerste opzet basis SOP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HSEQ Specialist</w:t>
            </w:r>
          </w:p>
        </w:tc>
      </w:tr>
      <w:tr>
        <w:tc>
          <w:tcPr>
            <w:tcW w:type="dxa" w:w="2160"/>
            <w:shd w:fill="E8EEF5" w:val="clear"/>
          </w:tcPr>
          <w:p>
            <w:r>
              <w:rPr>
                <w:sz w:val="18"/>
              </w:rPr>
              <w:t>v2.0</w:t>
            </w:r>
          </w:p>
        </w:tc>
        <w:tc>
          <w:tcPr>
            <w:tcW w:type="dxa" w:w="2160"/>
            <w:shd w:fill="E8EEF5" w:val="clear"/>
          </w:tcPr>
          <w:p>
            <w:r>
              <w:rPr>
                <w:sz w:val="18"/>
              </w:rPr>
              <w:t>2026-04-15</w:t>
            </w:r>
          </w:p>
        </w:tc>
        <w:tc>
          <w:tcPr>
            <w:tcW w:type="dxa" w:w="2160"/>
            <w:shd w:fill="E8EEF5" w:val="clear"/>
          </w:tcPr>
          <w:p>
            <w:r>
              <w:rPr>
                <w:sz w:val="18"/>
              </w:rPr>
              <w:t>Uitbreiding procedures, PM-koppeling</w:t>
            </w:r>
          </w:p>
        </w:tc>
        <w:tc>
          <w:tcPr>
            <w:tcW w:type="dxa" w:w="2160"/>
            <w:shd w:fill="E8EEF5" w:val="clear"/>
          </w:tcPr>
          <w:p>
            <w:r>
              <w:rPr>
                <w:sz w:val="18"/>
              </w:rPr>
              <w:t>HSEQ Specialist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v3.0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2026-04-16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Volledige herziening: 15 procedures, SVHC/SIEF nieuw, Deel B toegevoegd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HSEQ Specialist</w:t>
            </w:r>
          </w:p>
        </w:tc>
      </w:tr>
    </w:tbl>
    <w:p>
      <w:pPr>
        <w:pStyle w:val="Heading1"/>
      </w:pPr>
      <w:r>
        <w:t>8. Bijlagen</w:t>
      </w:r>
    </w:p>
    <w:p>
      <w:r>
        <w:t>Bijlage A: REACH Compliance Checklist PM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2E5090" w:val="clear"/>
          </w:tcPr>
          <w:p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type="dxa" w:w="2160"/>
            <w:shd w:fill="2E5090" w:val="clear"/>
          </w:tcPr>
          <w:p>
            <w:r>
              <w:rPr>
                <w:b/>
                <w:color w:val="FFFFFF"/>
                <w:sz w:val="18"/>
              </w:rPr>
              <w:t>Status</w:t>
            </w:r>
          </w:p>
        </w:tc>
        <w:tc>
          <w:tcPr>
            <w:tcW w:type="dxa" w:w="2160"/>
            <w:shd w:fill="2E5090" w:val="clear"/>
          </w:tcPr>
          <w:p>
            <w:r>
              <w:rPr>
                <w:b/>
                <w:color w:val="FFFFFF"/>
                <w:sz w:val="18"/>
              </w:rPr>
              <w:t>Verantwoordelijke</w:t>
            </w:r>
          </w:p>
        </w:tc>
        <w:tc>
          <w:tcPr>
            <w:tcW w:type="dxa" w:w="2160"/>
            <w:shd w:fill="2E5090" w:val="clear"/>
          </w:tcPr>
          <w:p>
            <w:r>
              <w:rPr>
                <w:b/>
                <w:color w:val="FFFFFF"/>
                <w:sz w:val="18"/>
              </w:rPr>
              <w:t>Deadline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SIP Vanadiumhalffabrikaat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In voorbereiding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HSE Manager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 2026</w:t>
            </w:r>
          </w:p>
        </w:tc>
      </w:tr>
      <w:tr>
        <w:tc>
          <w:tcPr>
            <w:tcW w:type="dxa" w:w="2160"/>
            <w:shd w:fill="E8EEF5" w:val="clear"/>
          </w:tcPr>
          <w:p>
            <w:r>
              <w:rPr>
                <w:sz w:val="18"/>
              </w:rPr>
              <w:t>SDS Vanadiumhalffabrikaat</w:t>
            </w:r>
          </w:p>
        </w:tc>
        <w:tc>
          <w:tcPr>
            <w:tcW w:type="dxa" w:w="2160"/>
            <w:shd w:fill="E8EEF5" w:val="clear"/>
          </w:tcPr>
          <w:p>
            <w:r>
              <w:rPr>
                <w:sz w:val="18"/>
              </w:rPr>
              <w:t>Concept beschikbaar (D3)</w:t>
            </w:r>
          </w:p>
        </w:tc>
        <w:tc>
          <w:tcPr>
            <w:tcW w:type="dxa" w:w="2160"/>
            <w:shd w:fill="E8EEF5" w:val="clear"/>
          </w:tcPr>
          <w:p>
            <w:r>
              <w:rPr>
                <w:sz w:val="18"/>
              </w:rPr>
              <w:t>HSE Manager</w:t>
            </w:r>
          </w:p>
        </w:tc>
        <w:tc>
          <w:tcPr>
            <w:tcW w:type="dxa" w:w="2160"/>
            <w:shd w:fill="E8EEF5" w:val="clear"/>
          </w:tcPr>
          <w:p>
            <w:r>
              <w:rPr>
                <w:sz w:val="18"/>
              </w:rPr>
              <w:t>Q2 2026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CLP-classificatie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Voorlopig bepaald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HSE Manager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 2026</w:t>
            </w:r>
          </w:p>
        </w:tc>
      </w:tr>
      <w:tr>
        <w:tc>
          <w:tcPr>
            <w:tcW w:type="dxa" w:w="2160"/>
            <w:shd w:fill="E8EEF5" w:val="clear"/>
          </w:tcPr>
          <w:p>
            <w:r>
              <w:rPr>
                <w:sz w:val="18"/>
              </w:rPr>
              <w:t>SVHC-screening</w:t>
            </w:r>
          </w:p>
        </w:tc>
        <w:tc>
          <w:tcPr>
            <w:tcW w:type="dxa" w:w="2160"/>
            <w:shd w:fill="E8EEF5" w:val="clear"/>
          </w:tcPr>
          <w:p>
            <w:r>
              <w:rPr>
                <w:sz w:val="18"/>
              </w:rPr>
              <w:t>Maandelijks</w:t>
            </w:r>
          </w:p>
        </w:tc>
        <w:tc>
          <w:tcPr>
            <w:tcW w:type="dxa" w:w="2160"/>
            <w:shd w:fill="E8EEF5" w:val="clear"/>
          </w:tcPr>
          <w:p>
            <w:r>
              <w:rPr>
                <w:sz w:val="18"/>
              </w:rPr>
              <w:t>HSE Supervisor</w:t>
            </w:r>
          </w:p>
        </w:tc>
        <w:tc>
          <w:tcPr>
            <w:tcW w:type="dxa" w:w="2160"/>
            <w:shd w:fill="E8EEF5" w:val="clear"/>
          </w:tcPr>
          <w:p>
            <w:r>
              <w:rPr>
                <w:sz w:val="18"/>
              </w:rPr>
              <w:t>Doorlopend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SIEF-participatie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Te bepalen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HSE Manager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Q3 2026</w:t>
            </w:r>
          </w:p>
        </w:tc>
      </w:tr>
      <w:tr>
        <w:tc>
          <w:tcPr>
            <w:tcW w:type="dxa" w:w="2160"/>
            <w:shd w:fill="E8EEF5" w:val="clear"/>
          </w:tcPr>
          <w:p>
            <w:r>
              <w:rPr>
                <w:sz w:val="18"/>
              </w:rPr>
              <w:t>EoW-beoordeling SARU ash</w:t>
            </w:r>
          </w:p>
        </w:tc>
        <w:tc>
          <w:tcPr>
            <w:tcW w:type="dxa" w:w="2160"/>
            <w:shd w:fill="E8EEF5" w:val="clear"/>
          </w:tcPr>
          <w:p>
            <w:r>
              <w:rPr>
                <w:sz w:val="18"/>
              </w:rPr>
              <w:t>In onderzoek</w:t>
            </w:r>
          </w:p>
        </w:tc>
        <w:tc>
          <w:tcPr>
            <w:tcW w:type="dxa" w:w="2160"/>
            <w:shd w:fill="E8EEF5" w:val="clear"/>
          </w:tcPr>
          <w:p>
            <w:r>
              <w:rPr>
                <w:sz w:val="18"/>
              </w:rPr>
              <w:t>HSE Manager</w:t>
            </w:r>
          </w:p>
        </w:tc>
        <w:tc>
          <w:tcPr>
            <w:tcW w:type="dxa" w:w="2160"/>
            <w:shd w:fill="E8EEF5" w:val="clear"/>
          </w:tcPr>
          <w:p>
            <w:r>
              <w:rPr>
                <w:sz w:val="18"/>
              </w:rPr>
              <w:t>Q3 2026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Chemicals Master actualiseren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Actueel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HSE Supervisor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Doorlopend</w:t>
            </w:r>
          </w:p>
        </w:tc>
      </w:tr>
      <w:tr>
        <w:tc>
          <w:tcPr>
            <w:tcW w:type="dxa" w:w="2160"/>
            <w:shd w:fill="E8EEF5" w:val="clear"/>
          </w:tcPr>
          <w:p>
            <w:r>
              <w:rPr>
                <w:sz w:val="18"/>
              </w:rPr>
              <w:t>Training REACH/CLP</w:t>
            </w:r>
          </w:p>
        </w:tc>
        <w:tc>
          <w:tcPr>
            <w:tcW w:type="dxa" w:w="2160"/>
            <w:shd w:fill="E8EEF5" w:val="clear"/>
          </w:tcPr>
          <w:p>
            <w:r>
              <w:rPr>
                <w:sz w:val="18"/>
              </w:rPr>
              <w:t>Gepland</w:t>
            </w:r>
          </w:p>
        </w:tc>
        <w:tc>
          <w:tcPr>
            <w:tcW w:type="dxa" w:w="2160"/>
            <w:shd w:fill="E8EEF5" w:val="clear"/>
          </w:tcPr>
          <w:p>
            <w:r>
              <w:rPr>
                <w:sz w:val="18"/>
              </w:rPr>
              <w:t>HSE Manager</w:t>
            </w:r>
          </w:p>
        </w:tc>
        <w:tc>
          <w:tcPr>
            <w:tcW w:type="dxa" w:w="2160"/>
            <w:shd w:fill="E8EEF5" w:val="clear"/>
          </w:tcPr>
          <w:p>
            <w:r>
              <w:rPr>
                <w:sz w:val="18"/>
              </w:rPr>
              <w:t>Q2 2026</w:t>
            </w:r>
          </w:p>
        </w:tc>
      </w:tr>
    </w:tbl>
    <w:p/>
    <w:p>
      <w:r>
        <w:t>Bijlage B: RASCI-matrix REACH-activiteiten PM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  <w:shd w:fill="2E5090" w:val="clear"/>
          </w:tcPr>
          <w:p>
            <w:r>
              <w:rPr>
                <w:b/>
                <w:color w:val="FFFFFF"/>
                <w:sz w:val="18"/>
              </w:rPr>
              <w:t>Activiteit</w:t>
            </w:r>
          </w:p>
        </w:tc>
        <w:tc>
          <w:tcPr>
            <w:tcW w:type="dxa" w:w="1440"/>
            <w:shd w:fill="2E5090" w:val="clear"/>
          </w:tcPr>
          <w:p>
            <w:r>
              <w:rPr>
                <w:b/>
                <w:color w:val="FFFFFF"/>
                <w:sz w:val="18"/>
              </w:rPr>
              <w:t>MD</w:t>
            </w:r>
          </w:p>
        </w:tc>
        <w:tc>
          <w:tcPr>
            <w:tcW w:type="dxa" w:w="1440"/>
            <w:shd w:fill="2E5090" w:val="clear"/>
          </w:tcPr>
          <w:p>
            <w:r>
              <w:rPr>
                <w:b/>
                <w:color w:val="FFFFFF"/>
                <w:sz w:val="18"/>
              </w:rPr>
              <w:t>HSE Mgr</w:t>
            </w:r>
          </w:p>
        </w:tc>
        <w:tc>
          <w:tcPr>
            <w:tcW w:type="dxa" w:w="1440"/>
            <w:shd w:fill="2E5090" w:val="clear"/>
          </w:tcPr>
          <w:p>
            <w:r>
              <w:rPr>
                <w:b/>
                <w:color w:val="FFFFFF"/>
                <w:sz w:val="18"/>
              </w:rPr>
              <w:t>Ops Mgr</w:t>
            </w:r>
          </w:p>
        </w:tc>
        <w:tc>
          <w:tcPr>
            <w:tcW w:type="dxa" w:w="1440"/>
            <w:shd w:fill="2E5090" w:val="clear"/>
          </w:tcPr>
          <w:p>
            <w:r>
              <w:rPr>
                <w:b/>
                <w:color w:val="FFFFFF"/>
                <w:sz w:val="18"/>
              </w:rPr>
              <w:t>HSE Sup</w:t>
            </w:r>
          </w:p>
        </w:tc>
        <w:tc>
          <w:tcPr>
            <w:tcW w:type="dxa" w:w="1440"/>
            <w:shd w:fill="2E5090" w:val="clear"/>
          </w:tcPr>
          <w:p>
            <w:r>
              <w:rPr>
                <w:b/>
                <w:color w:val="FFFFFF"/>
                <w:sz w:val="18"/>
              </w:rPr>
              <w:t>Operator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SIP opstellen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I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R/A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C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C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—</w:t>
            </w:r>
          </w:p>
        </w:tc>
      </w:tr>
      <w:tr>
        <w:tc>
          <w:tcPr>
            <w:tcW w:type="dxa" w:w="1440"/>
            <w:shd w:fill="E8EEF5" w:val="clear"/>
          </w:tcPr>
          <w:p>
            <w:r>
              <w:rPr>
                <w:sz w:val="18"/>
              </w:rPr>
              <w:t>SDS opstellen</w:t>
            </w:r>
          </w:p>
        </w:tc>
        <w:tc>
          <w:tcPr>
            <w:tcW w:type="dxa" w:w="1440"/>
            <w:shd w:fill="E8EEF5" w:val="clear"/>
          </w:tcPr>
          <w:p>
            <w:r>
              <w:rPr>
                <w:sz w:val="18"/>
              </w:rPr>
              <w:t>A</w:t>
            </w:r>
          </w:p>
        </w:tc>
        <w:tc>
          <w:tcPr>
            <w:tcW w:type="dxa" w:w="1440"/>
            <w:shd w:fill="E8EEF5" w:val="clear"/>
          </w:tcPr>
          <w:p>
            <w:r>
              <w:rPr>
                <w:sz w:val="18"/>
              </w:rPr>
              <w:t>R</w:t>
            </w:r>
          </w:p>
        </w:tc>
        <w:tc>
          <w:tcPr>
            <w:tcW w:type="dxa" w:w="1440"/>
            <w:shd w:fill="E8EEF5" w:val="clear"/>
          </w:tcPr>
          <w:p>
            <w:r>
              <w:rPr>
                <w:sz w:val="18"/>
              </w:rPr>
              <w:t>C</w:t>
            </w:r>
          </w:p>
        </w:tc>
        <w:tc>
          <w:tcPr>
            <w:tcW w:type="dxa" w:w="1440"/>
            <w:shd w:fill="E8EEF5" w:val="clear"/>
          </w:tcPr>
          <w:p>
            <w:r>
              <w:rPr>
                <w:sz w:val="18"/>
              </w:rPr>
              <w:t>C</w:t>
            </w:r>
          </w:p>
        </w:tc>
        <w:tc>
          <w:tcPr>
            <w:tcW w:type="dxa" w:w="1440"/>
            <w:shd w:fill="E8EEF5" w:val="clear"/>
          </w:tcPr>
          <w:p>
            <w:r>
              <w:rPr>
                <w:sz w:val="18"/>
              </w:rPr>
              <w:t>—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CLP-classificatie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I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R/A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C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C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—</w:t>
            </w:r>
          </w:p>
        </w:tc>
      </w:tr>
      <w:tr>
        <w:tc>
          <w:tcPr>
            <w:tcW w:type="dxa" w:w="1440"/>
            <w:shd w:fill="E8EEF5" w:val="clear"/>
          </w:tcPr>
          <w:p>
            <w:r>
              <w:rPr>
                <w:sz w:val="18"/>
              </w:rPr>
              <w:t>Inkoop beoordeling</w:t>
            </w:r>
          </w:p>
        </w:tc>
        <w:tc>
          <w:tcPr>
            <w:tcW w:type="dxa" w:w="1440"/>
            <w:shd w:fill="E8EEF5" w:val="clear"/>
          </w:tcPr>
          <w:p>
            <w:r>
              <w:rPr>
                <w:sz w:val="18"/>
              </w:rPr>
              <w:t>I</w:t>
            </w:r>
          </w:p>
        </w:tc>
        <w:tc>
          <w:tcPr>
            <w:tcW w:type="dxa" w:w="1440"/>
            <w:shd w:fill="E8EEF5" w:val="clear"/>
          </w:tcPr>
          <w:p>
            <w:r>
              <w:rPr>
                <w:sz w:val="18"/>
              </w:rPr>
              <w:t>R</w:t>
            </w:r>
          </w:p>
        </w:tc>
        <w:tc>
          <w:tcPr>
            <w:tcW w:type="dxa" w:w="1440"/>
            <w:shd w:fill="E8EEF5" w:val="clear"/>
          </w:tcPr>
          <w:p>
            <w:r>
              <w:rPr>
                <w:sz w:val="18"/>
              </w:rPr>
              <w:t>C</w:t>
            </w:r>
          </w:p>
        </w:tc>
        <w:tc>
          <w:tcPr>
            <w:tcW w:type="dxa" w:w="1440"/>
            <w:shd w:fill="E8EEF5" w:val="clear"/>
          </w:tcPr>
          <w:p>
            <w:r>
              <w:rPr>
                <w:sz w:val="18"/>
              </w:rPr>
              <w:t>A</w:t>
            </w:r>
          </w:p>
        </w:tc>
        <w:tc>
          <w:tcPr>
            <w:tcW w:type="dxa" w:w="1440"/>
            <w:shd w:fill="E8EEF5" w:val="clear"/>
          </w:tcPr>
          <w:p>
            <w:r>
              <w:rPr>
                <w:sz w:val="18"/>
              </w:rPr>
              <w:t>—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SVHC-monitoring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I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R/A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I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S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—</w:t>
            </w:r>
          </w:p>
        </w:tc>
      </w:tr>
      <w:tr>
        <w:tc>
          <w:tcPr>
            <w:tcW w:type="dxa" w:w="1440"/>
            <w:shd w:fill="E8EEF5" w:val="clear"/>
          </w:tcPr>
          <w:p>
            <w:r>
              <w:rPr>
                <w:sz w:val="18"/>
              </w:rPr>
              <w:t>Training</w:t>
            </w:r>
          </w:p>
        </w:tc>
        <w:tc>
          <w:tcPr>
            <w:tcW w:type="dxa" w:w="1440"/>
            <w:shd w:fill="E8EEF5" w:val="clear"/>
          </w:tcPr>
          <w:p>
            <w:r>
              <w:rPr>
                <w:sz w:val="18"/>
              </w:rPr>
              <w:t>A</w:t>
            </w:r>
          </w:p>
        </w:tc>
        <w:tc>
          <w:tcPr>
            <w:tcW w:type="dxa" w:w="1440"/>
            <w:shd w:fill="E8EEF5" w:val="clear"/>
          </w:tcPr>
          <w:p>
            <w:r>
              <w:rPr>
                <w:sz w:val="18"/>
              </w:rPr>
              <w:t>R</w:t>
            </w:r>
          </w:p>
        </w:tc>
        <w:tc>
          <w:tcPr>
            <w:tcW w:type="dxa" w:w="1440"/>
            <w:shd w:fill="E8EEF5" w:val="clear"/>
          </w:tcPr>
          <w:p>
            <w:r>
              <w:rPr>
                <w:sz w:val="18"/>
              </w:rPr>
              <w:t>C</w:t>
            </w:r>
          </w:p>
        </w:tc>
        <w:tc>
          <w:tcPr>
            <w:tcW w:type="dxa" w:w="1440"/>
            <w:shd w:fill="E8EEF5" w:val="clear"/>
          </w:tcPr>
          <w:p>
            <w:r>
              <w:rPr>
                <w:sz w:val="18"/>
              </w:rPr>
              <w:t>S</w:t>
            </w:r>
          </w:p>
        </w:tc>
        <w:tc>
          <w:tcPr>
            <w:tcW w:type="dxa" w:w="1440"/>
            <w:shd w:fill="E8EEF5" w:val="clear"/>
          </w:tcPr>
          <w:p>
            <w:r>
              <w:rPr>
                <w:sz w:val="18"/>
              </w:rPr>
              <w:t>S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MoC-beoordeling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R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R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C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I</w:t>
            </w:r>
          </w:p>
        </w:tc>
      </w:tr>
      <w:tr>
        <w:tc>
          <w:tcPr>
            <w:tcW w:type="dxa" w:w="1440"/>
            <w:shd w:fill="E8EEF5" w:val="clear"/>
          </w:tcPr>
          <w:p>
            <w:r>
              <w:rPr>
                <w:sz w:val="18"/>
              </w:rPr>
              <w:t>Incidentrapportage</w:t>
            </w:r>
          </w:p>
        </w:tc>
        <w:tc>
          <w:tcPr>
            <w:tcW w:type="dxa" w:w="1440"/>
            <w:shd w:fill="E8EEF5" w:val="clear"/>
          </w:tcPr>
          <w:p>
            <w:r>
              <w:rPr>
                <w:sz w:val="18"/>
              </w:rPr>
              <w:t>I</w:t>
            </w:r>
          </w:p>
        </w:tc>
        <w:tc>
          <w:tcPr>
            <w:tcW w:type="dxa" w:w="1440"/>
            <w:shd w:fill="E8EEF5" w:val="clear"/>
          </w:tcPr>
          <w:p>
            <w:r>
              <w:rPr>
                <w:sz w:val="18"/>
              </w:rPr>
              <w:t>R</w:t>
            </w:r>
          </w:p>
        </w:tc>
        <w:tc>
          <w:tcPr>
            <w:tcW w:type="dxa" w:w="1440"/>
            <w:shd w:fill="E8EEF5" w:val="clear"/>
          </w:tcPr>
          <w:p>
            <w:r>
              <w:rPr>
                <w:sz w:val="18"/>
              </w:rPr>
              <w:t>R</w:t>
            </w:r>
          </w:p>
        </w:tc>
        <w:tc>
          <w:tcPr>
            <w:tcW w:type="dxa" w:w="1440"/>
            <w:shd w:fill="E8EEF5" w:val="clear"/>
          </w:tcPr>
          <w:p>
            <w:r>
              <w:rPr>
                <w:sz w:val="18"/>
              </w:rPr>
              <w:t>S</w:t>
            </w:r>
          </w:p>
        </w:tc>
        <w:tc>
          <w:tcPr>
            <w:tcW w:type="dxa" w:w="1440"/>
            <w:shd w:fill="E8EEF5" w:val="clear"/>
          </w:tcPr>
          <w:p>
            <w:r>
              <w:rPr>
                <w:sz w:val="18"/>
              </w:rPr>
              <w:t>R</w:t>
            </w:r>
          </w:p>
        </w:tc>
      </w:tr>
    </w:tbl>
    <w:p>
      <w:r>
        <w:br w:type="page"/>
      </w:r>
    </w:p>
    <w:p>
      <w:pPr>
        <w:pStyle w:val="Heading1"/>
      </w:pPr>
      <w:r>
        <w:t>DEEL B: TOELICHTEND STUK</w:t>
      </w:r>
    </w:p>
    <w:p>
      <w:pPr>
        <w:pStyle w:val="Heading2"/>
      </w:pPr>
      <w:r>
        <w:t>B1. Aanleiding en Noodzaak</w:t>
      </w:r>
    </w:p>
    <w:p>
      <w:r>
        <w:t>Phoenix Metals B.V. is een start-up die vanadium extraheert uit SARU ash — een reststroom uit de aardolieraffinage. Het bedrijf opereert vanuit Plant One Rotterdam met een demo-installatie en bereidt commerciële opschaaling voor [Bron 19, 23, 42].</w:t>
      </w:r>
    </w:p>
    <w:p>
      <w:r>
        <w:t>Als producent van een chemisch halffabrikaat is PM onderhevig aan REACH en CLP. De afwezigheid van een gestructureerde REACH-complianceprocedure vormt een significant bedrijfsrisico. Deze Master SOP (D4) biedt het formele kader om te voldoen aan alle relevante verplichtingen.</w:t>
      </w:r>
    </w:p>
    <w:p>
      <w:r>
        <w:t>De directe aanleiding is de noodzaak om: (1) het vanadiumhalffabrikaat correct te identificeren en te registreren, (2) SDS’en op te stellen voor demo- en commercieel gebruik, (3) downstreamgebruikers conform te informeren, (4) de organisatie voor te bereiden op commerciële opschaaling.</w:t>
      </w:r>
    </w:p>
    <w:p>
      <w:pPr>
        <w:pStyle w:val="Heading2"/>
      </w:pPr>
      <w:r>
        <w:t>B2. Regulatorische Context</w:t>
      </w:r>
    </w:p>
    <w:p>
      <w:r>
        <w:t>REACH (EG 1907/2006): Verplicht registratie van stoffen &gt;1 ton/jaar. PM produceert vanadiumhalffabrikaat; bij commerciële opschaaling is registratie vereist [Bron 02].</w:t>
      </w:r>
    </w:p>
    <w:p>
      <w:r>
        <w:t>CLP (EG 1272/2008): Verplicht classificatie, etikettering en verpakking. Het PM-product is gevaarlijk (H302, H314, H318, H372, H412) en moet conform CLP worden geëtiketteerd [Bron 08].</w:t>
      </w:r>
    </w:p>
    <w:p>
      <w:r>
        <w:t>Arbowet/Arbobesluit: Werkgevers moeten medewerkers beschermen tegen gevaarlijke stoffen. MAC-waarden, PBM, RI&amp;E zijn verplicht [Bron 30, 37].</w:t>
      </w:r>
    </w:p>
    <w:p>
      <w:r>
        <w:t>BRZO: Bij opschaling boven drempelwaarden is BRZO-toepassing vereist. PM moet dit monitoren [Bron 47].</w:t>
      </w:r>
    </w:p>
    <w:p>
      <w:r>
        <w:t>Besluit basisveiligheidsnormen stralingsbescherming: SARU ash bevat natuurlijke radionucliden. Demo &lt;1000 kg is vrijgesteld, maar commerciële schaal vereist melding [Bron 42].</w:t>
      </w:r>
    </w:p>
    <w:p>
      <w:r>
        <w:t>PGS-15: Opslag gevaarlijke stoffen op COR15-niveau. PM voldoet met jerrycans in rekken [Bron 26].</w:t>
      </w:r>
    </w:p>
    <w:p>
      <w:r>
        <w:rPr>
          <w:i/>
          <w:color w:val="808080"/>
          <w:sz w:val="16"/>
        </w:rPr>
        <w:t>Bronnen: 02, 08, 30, 37, 42, 47</w:t>
      </w:r>
    </w:p>
    <w:p>
      <w:pPr>
        <w:pStyle w:val="Heading2"/>
      </w:pPr>
      <w:r>
        <w:t>B3. Risico’s bij Niet-naleving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2E5090" w:val="clear"/>
          </w:tcPr>
          <w:p>
            <w:r>
              <w:rPr>
                <w:b/>
                <w:color w:val="FFFFFF"/>
                <w:sz w:val="18"/>
              </w:rPr>
              <w:t>Risico</w:t>
            </w:r>
          </w:p>
        </w:tc>
        <w:tc>
          <w:tcPr>
            <w:tcW w:type="dxa" w:w="2880"/>
            <w:shd w:fill="2E5090" w:val="clear"/>
          </w:tcPr>
          <w:p>
            <w:r>
              <w:rPr>
                <w:b/>
                <w:color w:val="FFFFFF"/>
                <w:sz w:val="18"/>
              </w:rPr>
              <w:t>Gevolg</w:t>
            </w:r>
          </w:p>
        </w:tc>
        <w:tc>
          <w:tcPr>
            <w:tcW w:type="dxa" w:w="2880"/>
            <w:shd w:fill="2E5090" w:val="clear"/>
          </w:tcPr>
          <w:p>
            <w:r>
              <w:rPr>
                <w:b/>
                <w:color w:val="FFFFFF"/>
                <w:sz w:val="18"/>
              </w:rPr>
              <w:t>Wahrscheinlichkeit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Geen SDS bij levering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Boete tot €50.000; bestuursdwang [REACH Art. 31]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Hoog zonder SOP</w:t>
            </w:r>
          </w:p>
        </w:tc>
      </w:tr>
      <w:tr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Verkeerde CLP-classificatie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Boete; aansprakelijkheid schade derden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Medium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Geen SVHC-monitoring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Boete;供货stop door afnemers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Medium</w:t>
            </w:r>
          </w:p>
        </w:tc>
      </w:tr>
      <w:tr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Geen registratie &gt;1 ton/jaar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Boete tot €50.000; productiestop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Laag (demo) / Hoog (commercieel)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Stralingsbescherming niet geregeld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Boete; stopzetting activiteiten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Laag (demo &lt;1000 kg)</w:t>
            </w:r>
          </w:p>
        </w:tc>
      </w:tr>
      <w:tr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Incident zonder procedure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Aansprakelijkheid; reputatieschade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Medium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Geen SIEF-participatie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Boete; dubbele kosten registratie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Medium</w:t>
            </w:r>
          </w:p>
        </w:tc>
      </w:tr>
    </w:tbl>
    <w:p>
      <w:r>
        <w:t>De geïntegreerde kans op minstens één handhavingsactie bij afwezigheid van een compliance-kader wordt geschat op &gt;80% binnen 2 jaar na commerciële start.</w:t>
      </w:r>
    </w:p>
    <w:p>
      <w:pPr>
        <w:pStyle w:val="Heading2"/>
      </w:pPr>
      <w:r>
        <w:t>B4. Strategisch Belang</w:t>
      </w:r>
    </w:p>
    <w:p>
      <w:r>
        <w:t>REACH-compliance is geen kostenpost maar een strategische meerwaarde:</w:t>
      </w:r>
    </w:p>
    <w:p>
      <w:r>
        <w:t>1. Markttoegang: Zonder REACH-registratie kan het product niet wettelijk in de EU worden verhandeld. Compliance opent de deur naar Europese afnemers.</w:t>
      </w:r>
    </w:p>
    <w:p>
      <w:r>
        <w:t>2. Klantvertrouwen: Een professioneel SDS en compliance-programma wekt vertrouwen bij (potentiële) afnemers en investeerders.</w:t>
      </w:r>
    </w:p>
    <w:p>
      <w:r>
        <w:t>3. Kostenbeheersing: Proactieve compliance is goedkoper dan reactieve correcties. Gemiddelde boete REACH-overtreding: €25.000–€50.000 per incident.</w:t>
      </w:r>
    </w:p>
    <w:p>
      <w:r>
        <w:t>4. Innovatiekracht: De kennis opgebouwd via SIP, CSA en SIEF-participatie versterkt de technologische positie van PM.</w:t>
      </w:r>
    </w:p>
    <w:p>
      <w:r>
        <w:t>5. Duurzaamheid: REACH sluit aan bij de circulaire economie-doelstellingen. EoW-beoordeling van SARU ash positioneert PM als duurzame onderneming [Bron 09].</w:t>
      </w:r>
    </w:p>
    <w:p>
      <w:r>
        <w:rPr>
          <w:i/>
          <w:color w:val="808080"/>
          <w:sz w:val="16"/>
        </w:rPr>
        <w:t>Bronnen: 02, 09, 19</w:t>
      </w:r>
    </w:p>
    <w:p>
      <w:pPr>
        <w:pStyle w:val="Heading2"/>
      </w:pPr>
      <w:r>
        <w:t>B5. Faseringsplan (5 fasen, 6 maanden)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2E5090" w:val="clear"/>
          </w:tcPr>
          <w:p>
            <w:r>
              <w:rPr>
                <w:b/>
                <w:color w:val="FFFFFF"/>
                <w:sz w:val="18"/>
              </w:rPr>
              <w:t>Fase</w:t>
            </w:r>
          </w:p>
        </w:tc>
        <w:tc>
          <w:tcPr>
            <w:tcW w:type="dxa" w:w="2160"/>
            <w:shd w:fill="2E5090" w:val="clear"/>
          </w:tcPr>
          <w:p>
            <w:r>
              <w:rPr>
                <w:b/>
                <w:color w:val="FFFFFF"/>
                <w:sz w:val="18"/>
              </w:rPr>
              <w:t>Periode</w:t>
            </w:r>
          </w:p>
        </w:tc>
        <w:tc>
          <w:tcPr>
            <w:tcW w:type="dxa" w:w="2160"/>
            <w:shd w:fill="2E5090" w:val="clear"/>
          </w:tcPr>
          <w:p>
            <w:r>
              <w:rPr>
                <w:b/>
                <w:color w:val="FFFFFF"/>
                <w:sz w:val="18"/>
              </w:rPr>
              <w:t>Activiteiten</w:t>
            </w:r>
          </w:p>
        </w:tc>
        <w:tc>
          <w:tcPr>
            <w:tcW w:type="dxa" w:w="2160"/>
            <w:shd w:fill="2E5090" w:val="clear"/>
          </w:tcPr>
          <w:p>
            <w:r>
              <w:rPr>
                <w:b/>
                <w:color w:val="FFFFFF"/>
                <w:sz w:val="18"/>
              </w:rPr>
              <w:t>Mijlpaal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1. Fundering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Maand 1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SIP opstellen, Chemicals Master compleet, SDS draft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SIP + SDS concept af</w:t>
            </w:r>
          </w:p>
        </w:tc>
      </w:tr>
      <w:tr>
        <w:tc>
          <w:tcPr>
            <w:tcW w:type="dxa" w:w="2160"/>
            <w:shd w:fill="E8EEF5" w:val="clear"/>
          </w:tcPr>
          <w:p>
            <w:r>
              <w:rPr>
                <w:sz w:val="18"/>
              </w:rPr>
              <w:t>2. Classificatie</w:t>
            </w:r>
          </w:p>
        </w:tc>
        <w:tc>
          <w:tcPr>
            <w:tcW w:type="dxa" w:w="2160"/>
            <w:shd w:fill="E8EEF5" w:val="clear"/>
          </w:tcPr>
          <w:p>
            <w:r>
              <w:rPr>
                <w:sz w:val="18"/>
              </w:rPr>
              <w:t>Maand 2</w:t>
            </w:r>
          </w:p>
        </w:tc>
        <w:tc>
          <w:tcPr>
            <w:tcW w:type="dxa" w:w="2160"/>
            <w:shd w:fill="E8EEF5" w:val="clear"/>
          </w:tcPr>
          <w:p>
            <w:r>
              <w:rPr>
                <w:sz w:val="18"/>
              </w:rPr>
              <w:t>CLP-classificatie definitief, etiketten, PCN/UFI</w:t>
            </w:r>
          </w:p>
        </w:tc>
        <w:tc>
          <w:tcPr>
            <w:tcW w:type="dxa" w:w="2160"/>
            <w:shd w:fill="E8EEF5" w:val="clear"/>
          </w:tcPr>
          <w:p>
            <w:r>
              <w:rPr>
                <w:sz w:val="18"/>
              </w:rPr>
              <w:t>Etiketten + UFI geregistreerd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3. Beheer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Maand 3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Documentbeheersysteem ingericht, training gestart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Alle procedures geïmplementeerd</w:t>
            </w:r>
          </w:p>
        </w:tc>
      </w:tr>
      <w:tr>
        <w:tc>
          <w:tcPr>
            <w:tcW w:type="dxa" w:w="2160"/>
            <w:shd w:fill="E8EEF5" w:val="clear"/>
          </w:tcPr>
          <w:p>
            <w:r>
              <w:rPr>
                <w:sz w:val="18"/>
              </w:rPr>
              <w:t>4. Registratie</w:t>
            </w:r>
          </w:p>
        </w:tc>
        <w:tc>
          <w:tcPr>
            <w:tcW w:type="dxa" w:w="2160"/>
            <w:shd w:fill="E8EEF5" w:val="clear"/>
          </w:tcPr>
          <w:p>
            <w:r>
              <w:rPr>
                <w:sz w:val="18"/>
              </w:rPr>
              <w:t>Maand 4-5</w:t>
            </w:r>
          </w:p>
        </w:tc>
        <w:tc>
          <w:tcPr>
            <w:tcW w:type="dxa" w:w="2160"/>
            <w:shd w:fill="E8EEF5" w:val="clear"/>
          </w:tcPr>
          <w:p>
            <w:r>
              <w:rPr>
                <w:sz w:val="18"/>
              </w:rPr>
              <w:t>SIEF-identificatie, datadeling, dossieropbouw</w:t>
            </w:r>
          </w:p>
        </w:tc>
        <w:tc>
          <w:tcPr>
            <w:tcW w:type="dxa" w:w="2160"/>
            <w:shd w:fill="E8EEF5" w:val="clear"/>
          </w:tcPr>
          <w:p>
            <w:r>
              <w:rPr>
                <w:sz w:val="18"/>
              </w:rPr>
              <w:t>SIEF-participatie bevestigd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5. Validatie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Maand 6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Interne audit, management review, KPI-baseline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Volledige compliance bereikt</w:t>
            </w:r>
          </w:p>
        </w:tc>
      </w:tr>
    </w:tbl>
    <w:p>
      <w:r>
        <w:t>Gates: Elke fase wordt afgesloten met een formele review door de HSE Manager. Bij niet-halen: corrective action plan binnen 2 weken.</w:t>
      </w:r>
    </w:p>
    <w:p>
      <w:pPr>
        <w:pStyle w:val="Heading2"/>
      </w:pPr>
      <w:r>
        <w:t>B6. Benodigde Middelen (Budget)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2E5090" w:val="clear"/>
          </w:tcPr>
          <w:p>
            <w:r>
              <w:rPr>
                <w:b/>
                <w:color w:val="FFFFFF"/>
                <w:sz w:val="18"/>
              </w:rPr>
              <w:t>Post</w:t>
            </w:r>
          </w:p>
        </w:tc>
        <w:tc>
          <w:tcPr>
            <w:tcW w:type="dxa" w:w="2880"/>
            <w:shd w:fill="2E5090" w:val="clear"/>
          </w:tcPr>
          <w:p>
            <w:r>
              <w:rPr>
                <w:b/>
                <w:color w:val="FFFFFF"/>
                <w:sz w:val="18"/>
              </w:rPr>
              <w:t>Beschrijving</w:t>
            </w:r>
          </w:p>
        </w:tc>
        <w:tc>
          <w:tcPr>
            <w:tcW w:type="dxa" w:w="2880"/>
            <w:shd w:fill="2E5090" w:val="clear"/>
          </w:tcPr>
          <w:p>
            <w:r>
              <w:rPr>
                <w:b/>
                <w:color w:val="FFFFFF"/>
                <w:sz w:val="18"/>
              </w:rPr>
              <w:t>Geschatte kosten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Externe expertise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Consultancy REACH-registratie, CSA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€15.000–€25.000</w:t>
            </w:r>
          </w:p>
        </w:tc>
      </w:tr>
      <w:tr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Laboratoriumanalyses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Tox/ecotox testen, stofidentificatie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€10.000–€20.000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SIEF/Consortium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Lidmaatschap, datadelingskosten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€5.000–€15.000</w:t>
            </w:r>
          </w:p>
        </w:tc>
      </w:tr>
      <w:tr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Training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REACH/CLP training personeel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€3.000–€5.000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Documentbeheer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IUCLID-licentie, templates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€2.000–€3.000</w:t>
            </w:r>
          </w:p>
        </w:tc>
      </w:tr>
      <w:tr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Totaal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€35.000–€68.000</w:t>
            </w:r>
          </w:p>
        </w:tc>
      </w:tr>
    </w:tbl>
    <w:p>
      <w:r>
        <w:t>Opmerking: Indicatief. Exacte kosten afhankelijk van tonnage, complexiteit UVCB en SIEF-afspraken.</w:t>
      </w:r>
    </w:p>
    <w:p>
      <w:pPr>
        <w:pStyle w:val="Heading2"/>
      </w:pPr>
      <w:r>
        <w:t>B7. Conclusie</w:t>
      </w:r>
    </w:p>
    <w:p>
      <w:r>
        <w:t>Deze Master SOP (D4 v3.0) vormt het operationele raamwerk voor REACH-compliance binnen Phoenix Metals. Het koppelt de 55 geanalyseerde bronnen aan 15 concrete procedures, 8 KPI's en een faseringsplan van 6 maanden.</w:t>
      </w:r>
    </w:p>
    <w:p>
      <w:r>
        <w:t>De investering in REACH-compliance (€35.000–€68.000) is strategisch gerechtvaardigd door: (1) de wettelijke verplichting, (2) de markttoegang die het mogelijk maakt, (3) de risicoreductie (boetes tot €50.000 per incident), en (4) de reputatie-opbouw bij afnemers en investeerders.</w:t>
      </w:r>
    </w:p>
    <w:p>
      <w:r>
        <w:t>De directe volgende stappen zijn: (1) SIP opstellen in maand 1, (2) SDS finaliseren, (3) training starten. Bij succesvolle uitvoering is PM volledig REACH-compliant binnen 6 maanden.</w:t>
      </w:r>
    </w:p>
    <w:p>
      <w:r>
        <w:rPr>
          <w:i/>
          <w:color w:val="808080"/>
          <w:sz w:val="16"/>
        </w:rPr>
        <w:t>Bronnen: alle 55 bronnen. Kern: 01, 02, 03, 05, 08, 13, 23, 32, 42, 48, 49, 55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08080"/>
        <w:sz w:val="16"/>
      </w:rPr>
      <w:t xml:space="preserve">JvG Consultancy | REACH D4 v3.0 |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1097280" cy="98480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jvg-logo-white-medium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97280" cy="984809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