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48"/>
        </w:rPr>
        <w:t>REACH Kennisdossier</w:t>
        <w:br/>
        <w:t>Phoenix Metals</w:t>
      </w:r>
    </w:p>
    <w:p>
      <w:pPr>
        <w:jc w:val="center"/>
      </w:pPr>
      <w:r>
        <w:rPr>
          <w:color w:val="006699"/>
          <w:sz w:val="28"/>
        </w:rPr>
        <w:t>Regulatorische Analyse &amp; Compliance Roadmap</w:t>
      </w:r>
    </w:p>
    <w:p>
      <w:pPr>
        <w:jc w:val="center"/>
      </w:pPr>
      <w:r>
        <w:rPr>
          <w:color w:val="666666"/>
          <w:sz w:val="24"/>
        </w:rPr>
        <w:t>Versie 3.0 — April 2026</w:t>
      </w:r>
    </w:p>
    <w:p>
      <w:pPr>
        <w:jc w:val="center"/>
      </w:pPr>
      <w:r>
        <w:rPr>
          <w:sz w:val="22"/>
        </w:rPr>
        <w:t>Opdrachtgever: Phoenix Metals B.V.</w:t>
      </w:r>
    </w:p>
    <w:p>
      <w:pPr>
        <w:jc w:val="center"/>
      </w:pPr>
      <w:r>
        <w:rPr>
          <w:sz w:val="22"/>
        </w:rPr>
        <w:t>Adviseur: JvG Consultancy</w:t>
      </w:r>
    </w:p>
    <w:p>
      <w:pPr>
        <w:jc w:val="center"/>
      </w:pPr>
      <w:r>
        <w:rPr>
          <w:b/>
          <w:color w:val="CC0000"/>
          <w:sz w:val="22"/>
        </w:rPr>
        <w:t>CONFIDENTIEEL</w:t>
      </w:r>
    </w:p>
    <w:p>
      <w:r>
        <w:br w:type="page"/>
      </w:r>
    </w:p>
    <w:p>
      <w:pPr>
        <w:pStyle w:val="Heading1"/>
      </w:pPr>
      <w:r>
        <w:rPr>
          <w:color w:val="003366"/>
        </w:rPr>
        <w:t>1 Executive Summary</w:t>
      </w:r>
    </w:p>
    <w:p>
      <w:pPr>
        <w:spacing w:after="120"/>
      </w:pPr>
      <w:r>
        <w:rPr>
          <w:sz w:val="20"/>
        </w:rPr>
        <w:t>Phoenix Metals B.V. ('PM') ontwikkelt een innovatief hydrometallurgisch proces voor de extractie van vanadium, ijzer, calcium en magnesium uit staalslakken afkomstig van Tata Steel Netherlands. De pilot plant is voorzien op de locatie Westerduinweg 3 in de haven van IJmuiden (gemeente Velsen). De jaarlijkse verwerkingscapaciteit in de pilotfase bedraagt 80–120 ton staalslakken, met een opschalingsdoel naar 6.000.000 liter vanadiumelektrolyt op commerciële schaal. (Haalbaarheidsstudie Phoenix Metals IJmuiden, Arcadis, §1; Uitgangspuntendocument, §1)</w:t>
      </w:r>
    </w:p>
    <w:p>
      <w:pPr>
        <w:spacing w:after="120"/>
      </w:pPr>
      <w:r>
        <w:rPr>
          <w:sz w:val="20"/>
        </w:rPr>
        <w:t>Dit kennisdossier analyseert de REACH-verordening (EG nr. 1907/2006) en gerelateerde regelgeving in de context van de Phoenix Metals bedrijfsvoering. De kernvraag is of en hoe PM moet registreren onder REACH, met specifieke aandacht voor: (i) de End-of-Waste status van staalslakken als ingaande grondstof, (ii) de Art. 2(7)(d) vrijstelling voor gerecycleerde stoffen, (iii) stofidentificatie van variabele slaksamenstellingen (UVCB), en (iv) de registratie- en communicatieverplichtingen langs de volledige supply chain.</w:t>
      </w:r>
    </w:p>
    <w:p>
      <w:pPr>
        <w:spacing w:after="120"/>
      </w:pPr>
      <w:r>
        <w:rPr>
          <w:sz w:val="20"/>
        </w:rPr>
        <w:t>Conclusie: Phoenix Metals heeft een concrete REACH-compliance verplichting. Het bedrijf produceert nieuwe stoffen (vanadiumelektrolyt, gips) die boven de 1 ton/jaar drempel vallen en moet daarom een registratiedossier voorbereiden. De End-of-Waste analyse is kritiek: zolang staalslakken als 'afval' kwalificeren, geldt een REACH-vrijstelling voor de ingaande stroom, maar zodra de EoW-status wordt bereikt, vervalt deze vrijstelling. Een proactieve aanpak met een Strategisch Actieplan (§13) is essentieel.</w:t>
      </w:r>
    </w:p>
    <w:p>
      <w:pPr>
        <w:pStyle w:val="Heading1"/>
      </w:pPr>
      <w:r>
        <w:rPr>
          <w:color w:val="003366"/>
        </w:rPr>
        <w:t>2 Bedrijfscontext Phoenix Metals</w:t>
      </w:r>
    </w:p>
    <w:p>
      <w:pPr>
        <w:pStyle w:val="Heading2"/>
      </w:pPr>
      <w:r>
        <w:rPr>
          <w:color w:val="003366"/>
        </w:rPr>
        <w:t>2.1 Organisatie en Visie</w:t>
      </w:r>
    </w:p>
    <w:p>
      <w:pPr>
        <w:spacing w:after="120"/>
      </w:pPr>
      <w:r>
        <w:rPr>
          <w:sz w:val="20"/>
        </w:rPr>
        <w:t>Phoenix Metals is een startup-scaleup die zich richt op de circulaire extractie van waardevolle metalen uit industriële reststromen. Het bedrijf is geleid door Managing Director Stijn van Zelst en is voornemens een HSE Manager aan te stellen voor de opbouw van een robuust HSE-managementsysteem. (Phoenix Metals HSE Policy-V1, §1–§2; Motivatiebrief HSE Manager, §1)</w:t>
      </w:r>
    </w:p>
    <w:p>
      <w:pPr>
        <w:spacing w:after="120"/>
      </w:pPr>
      <w:r>
        <w:rPr>
          <w:sz w:val="20"/>
        </w:rPr>
        <w:t>PM hanteert een HSE-beleid gebaseerd op compliance, risicobeheersing en continue verbetering, met jaarlijkse targets en management reviews. Het beleid is ondertekend op 1 januari 2025. (Phoenix Metals HSE Policy-V1, §1–§7)</w:t>
      </w:r>
    </w:p>
    <w:p>
      <w:pPr>
        <w:pStyle w:val="Heading2"/>
      </w:pPr>
      <w:r>
        <w:rPr>
          <w:color w:val="003366"/>
        </w:rPr>
        <w:t>2.2 Locatie: PlantOne Rotterdam / IJmuiden</w:t>
      </w:r>
    </w:p>
    <w:p>
      <w:pPr>
        <w:spacing w:after="120"/>
      </w:pPr>
      <w:r>
        <w:rPr>
          <w:sz w:val="20"/>
        </w:rPr>
        <w:t>De R&amp;D- en demofase vindt plaats bij Plant One Rotterdam (POR), een bedrijfsverzamelgebouw voor procesindustrie. De pilot plant is voorzien op de Westerduinweg 3 in de haven van IJmuiden, gemeente Velsen, direct naast Cebo. De locatie valt onder het bestemmingsplan 'Havengebied IJmuiden' met bestemming 'Bedrijf – Havengebonden'. (Haalbaarheidsstudie Arcadis V04, §2.1; Verslag vooroverleg, §Locatie)</w:t>
      </w:r>
    </w:p>
    <w:p>
      <w:pPr>
        <w:pStyle w:val="Heading2"/>
      </w:pPr>
      <w:r>
        <w:rPr>
          <w:color w:val="003366"/>
        </w:rPr>
        <w:t>2.3 Procesbeschrijving</w:t>
      </w:r>
    </w:p>
    <w:p>
      <w:pPr>
        <w:spacing w:after="120"/>
      </w:pPr>
      <w:r>
        <w:rPr>
          <w:sz w:val="20"/>
        </w:rPr>
        <w:t>Het PM-proces is een hydrometallurgisch extractieproces dat uitsluitend gebruik maakt van waterige oplossingen zonder ammonia. Het proces is succesvol getest op R&amp;D-schaal (4L batch) en pre-pilot schaal (20L batch). In de pilotfase wordt opgeschaald naar 3.000L batches. (Haalbaarheidsstudie Arcadis, §1; Demo Process VR, stappen 1–26)</w:t>
      </w:r>
    </w:p>
    <w:p>
      <w:pPr>
        <w:spacing w:after="120"/>
      </w:pPr>
      <w:r>
        <w:rPr>
          <w:sz w:val="20"/>
        </w:rPr>
        <w:t>Het proces omvat de volgende hoofdactiviteiten: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left"/>
            </w:pPr>
            <w:r/>
            <w:r>
              <w:rPr>
                <w:b/>
                <w:color w:val="FFFFFF"/>
                <w:sz w:val="18"/>
              </w:rPr>
              <w:t>Stap</w:t>
            </w:r>
          </w:p>
        </w:tc>
        <w:tc>
          <w:tcPr>
            <w:tcW w:type="dxa" w:w="4703"/>
            <w:shd w:fill="003366"/>
          </w:tcPr>
          <w:p>
            <w:pPr>
              <w:jc w:val="left"/>
            </w:pPr>
            <w:r/>
            <w:r>
              <w:rPr>
                <w:b/>
                <w:color w:val="FFFFFF"/>
                <w:sz w:val="18"/>
              </w:rPr>
              <w:t>Omschrijving</w:t>
            </w:r>
          </w:p>
        </w:tc>
      </w:tr>
      <w:tr>
        <w:tc>
          <w:tcPr>
            <w:tcW w:type="dxa" w:w="4703"/>
          </w:tcPr>
          <w:p>
            <w:r>
              <w:rPr>
                <w:sz w:val="18"/>
              </w:rPr>
              <w:t>1. Dissolutie</w:t>
            </w:r>
          </w:p>
        </w:tc>
        <w:tc>
          <w:tcPr>
            <w:tcW w:type="dxa" w:w="4703"/>
          </w:tcPr>
          <w:p>
            <w:r>
              <w:rPr>
                <w:sz w:val="18"/>
              </w:rPr>
              <w:t>Staalslak/ash wordt gemengd met water en 50% NaOH, verwarmd tot 80°C onder roeren</w:t>
            </w:r>
          </w:p>
        </w:tc>
      </w:tr>
      <w:tr>
        <w:tc>
          <w:tcPr>
            <w:tcW w:type="dxa" w:w="4703"/>
            <w:shd w:fill="E8EDF2"/>
          </w:tcPr>
          <w:p>
            <w:r>
              <w:rPr>
                <w:sz w:val="18"/>
              </w:rPr>
              <w:t>2. Filtratie</w:t>
            </w:r>
          </w:p>
        </w:tc>
        <w:tc>
          <w:tcPr>
            <w:tcW w:type="dxa" w:w="4703"/>
            <w:shd w:fill="E8EDF2"/>
          </w:tcPr>
          <w:p>
            <w:r>
              <w:rPr>
                <w:sz w:val="18"/>
              </w:rPr>
              <w:t>Scheiding van filterkoek (residu) en filtraat via filterunit</w:t>
            </w:r>
          </w:p>
        </w:tc>
      </w:tr>
      <w:tr>
        <w:tc>
          <w:tcPr>
            <w:tcW w:type="dxa" w:w="4703"/>
          </w:tcPr>
          <w:p>
            <w:r>
              <w:rPr>
                <w:sz w:val="18"/>
              </w:rPr>
              <w:t>3. Kristallisatie</w:t>
            </w:r>
          </w:p>
        </w:tc>
        <w:tc>
          <w:tcPr>
            <w:tcW w:type="dxa" w:w="4703"/>
          </w:tcPr>
          <w:p>
            <w:r>
              <w:rPr>
                <w:sz w:val="18"/>
              </w:rPr>
              <w:t>Koeling van filtraat om kristallisatie te provokeren; herhaalde filtratie</w:t>
            </w:r>
          </w:p>
        </w:tc>
      </w:tr>
      <w:tr>
        <w:tc>
          <w:tcPr>
            <w:tcW w:type="dxa" w:w="4703"/>
            <w:shd w:fill="E8EDF2"/>
          </w:tcPr>
          <w:p>
            <w:r>
              <w:rPr>
                <w:sz w:val="18"/>
              </w:rPr>
              <w:t>4. Zuurbehg</w:t>
            </w:r>
          </w:p>
        </w:tc>
        <w:tc>
          <w:tcPr>
            <w:tcW w:type="dxa" w:w="4703"/>
            <w:shd w:fill="E8EDF2"/>
          </w:tcPr>
          <w:p>
            <w:r>
              <w:rPr>
                <w:sz w:val="18"/>
              </w:rPr>
              <w:t>Toevoeging van 50% H₂SO₄ en aluminiumsulfaat; verwarming tot 80°C</w:t>
            </w:r>
          </w:p>
        </w:tc>
      </w:tr>
      <w:tr>
        <w:tc>
          <w:tcPr>
            <w:tcW w:type="dxa" w:w="4703"/>
          </w:tcPr>
          <w:p>
            <w:r>
              <w:rPr>
                <w:sz w:val="18"/>
              </w:rPr>
              <w:t>5. Ionenuitwisseling</w:t>
            </w:r>
          </w:p>
        </w:tc>
        <w:tc>
          <w:tcPr>
            <w:tcW w:type="dxa" w:w="4703"/>
          </w:tcPr>
          <w:p>
            <w:r>
              <w:rPr>
                <w:sz w:val="18"/>
              </w:rPr>
              <w:t>Filtratie gevolgd door ion-exchange kolom met 2,5M H₂SO₄ regeneratie</w:t>
            </w:r>
          </w:p>
        </w:tc>
      </w:tr>
      <w:tr>
        <w:tc>
          <w:tcPr>
            <w:tcW w:type="dxa" w:w="4703"/>
            <w:shd w:fill="E8EDF2"/>
          </w:tcPr>
          <w:p>
            <w:r>
              <w:rPr>
                <w:sz w:val="18"/>
              </w:rPr>
              <w:t>6. Elektroreductie</w:t>
            </w:r>
          </w:p>
        </w:tc>
        <w:tc>
          <w:tcPr>
            <w:tcW w:type="dxa" w:w="4703"/>
            <w:shd w:fill="E8EDF2"/>
          </w:tcPr>
          <w:p>
            <w:r>
              <w:rPr>
                <w:sz w:val="18"/>
              </w:rPr>
              <w:t>Vanadium(V) wordt gereduceerd tot vanadium(IV) sulfaat oplossing in elektrolysecellen</w:t>
            </w:r>
          </w:p>
        </w:tc>
      </w:tr>
    </w:tbl>
    <w:p/>
    <w:p>
      <w:pPr>
        <w:pStyle w:val="Heading2"/>
      </w:pPr>
      <w:r>
        <w:rPr>
          <w:color w:val="003366"/>
        </w:rPr>
        <w:t>2.4 Chemische Stoffen — Overzicht</w:t>
      </w:r>
    </w:p>
    <w:p>
      <w:pPr>
        <w:spacing w:after="120"/>
      </w:pPr>
      <w:r>
        <w:rPr>
          <w:sz w:val="20"/>
        </w:rPr>
        <w:t>De volgende chemische stoffen worden gebruikt in het PM-proces, gebaseerd op de Registration Chemicals MASTER (v2.1.0) en de uitgangspuntendocumenten. (Chemicals Master, §1; Uitgangspuntendocument, §1)</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pPr>
              <w:jc w:val="left"/>
            </w:pPr>
            <w:r/>
            <w:r>
              <w:rPr>
                <w:b/>
                <w:color w:val="FFFFFF"/>
                <w:sz w:val="18"/>
              </w:rPr>
              <w:t>Stof</w:t>
            </w:r>
          </w:p>
        </w:tc>
        <w:tc>
          <w:tcPr>
            <w:tcW w:type="dxa" w:w="1881"/>
            <w:shd w:fill="003366"/>
          </w:tcPr>
          <w:p>
            <w:pPr>
              <w:jc w:val="left"/>
            </w:pPr>
            <w:r/>
            <w:r>
              <w:rPr>
                <w:b/>
                <w:color w:val="FFFFFF"/>
                <w:sz w:val="18"/>
              </w:rPr>
              <w:t>CAS-nr</w:t>
            </w:r>
          </w:p>
        </w:tc>
        <w:tc>
          <w:tcPr>
            <w:tcW w:type="dxa" w:w="1881"/>
            <w:shd w:fill="003366"/>
          </w:tcPr>
          <w:p>
            <w:pPr>
              <w:jc w:val="left"/>
            </w:pPr>
            <w:r/>
            <w:r>
              <w:rPr>
                <w:b/>
                <w:color w:val="FFFFFF"/>
                <w:sz w:val="18"/>
              </w:rPr>
              <w:t>ADR-klasse</w:t>
            </w:r>
          </w:p>
        </w:tc>
        <w:tc>
          <w:tcPr>
            <w:tcW w:type="dxa" w:w="1881"/>
            <w:shd w:fill="003366"/>
          </w:tcPr>
          <w:p>
            <w:pPr>
              <w:jc w:val="left"/>
            </w:pPr>
            <w:r/>
            <w:r>
              <w:rPr>
                <w:b/>
                <w:color w:val="FFFFFF"/>
                <w:sz w:val="18"/>
              </w:rPr>
              <w:t>Voorraad pilot</w:t>
            </w:r>
          </w:p>
        </w:tc>
        <w:tc>
          <w:tcPr>
            <w:tcW w:type="dxa" w:w="1881"/>
            <w:shd w:fill="003366"/>
          </w:tcPr>
          <w:p>
            <w:pPr>
              <w:jc w:val="left"/>
            </w:pPr>
            <w:r/>
            <w:r>
              <w:rPr>
                <w:b/>
                <w:color w:val="FFFFFF"/>
                <w:sz w:val="18"/>
              </w:rPr>
              <w:t>CLP-classificatie</w:t>
            </w:r>
          </w:p>
        </w:tc>
      </w:tr>
      <w:tr>
        <w:tc>
          <w:tcPr>
            <w:tcW w:type="dxa" w:w="1881"/>
          </w:tcPr>
          <w:p>
            <w:r>
              <w:rPr>
                <w:sz w:val="18"/>
              </w:rPr>
              <w:t>NaOH 50%</w:t>
            </w:r>
          </w:p>
        </w:tc>
        <w:tc>
          <w:tcPr>
            <w:tcW w:type="dxa" w:w="1881"/>
          </w:tcPr>
          <w:p>
            <w:r>
              <w:rPr>
                <w:sz w:val="18"/>
              </w:rPr>
              <w:t>1310-73-2</w:t>
            </w:r>
          </w:p>
        </w:tc>
        <w:tc>
          <w:tcPr>
            <w:tcW w:type="dxa" w:w="1881"/>
          </w:tcPr>
          <w:p>
            <w:r>
              <w:rPr>
                <w:sz w:val="18"/>
              </w:rPr>
              <w:t>ADR 8, PG II</w:t>
            </w:r>
          </w:p>
        </w:tc>
        <w:tc>
          <w:tcPr>
            <w:tcW w:type="dxa" w:w="1881"/>
          </w:tcPr>
          <w:p>
            <w:r>
              <w:rPr>
                <w:sz w:val="18"/>
              </w:rPr>
              <w:t>100 L</w:t>
            </w:r>
          </w:p>
        </w:tc>
        <w:tc>
          <w:tcPr>
            <w:tcW w:type="dxa" w:w="1881"/>
          </w:tcPr>
          <w:p>
            <w:r>
              <w:rPr>
                <w:sz w:val="18"/>
              </w:rPr>
              <w:t>Corrosief, H314</w:t>
            </w:r>
          </w:p>
        </w:tc>
      </w:tr>
      <w:tr>
        <w:tc>
          <w:tcPr>
            <w:tcW w:type="dxa" w:w="1881"/>
            <w:shd w:fill="E8EDF2"/>
          </w:tcPr>
          <w:p>
            <w:r>
              <w:rPr>
                <w:sz w:val="18"/>
              </w:rPr>
              <w:t>H₂SO₄ 75%</w:t>
            </w:r>
          </w:p>
        </w:tc>
        <w:tc>
          <w:tcPr>
            <w:tcW w:type="dxa" w:w="1881"/>
            <w:shd w:fill="E8EDF2"/>
          </w:tcPr>
          <w:p>
            <w:r>
              <w:rPr>
                <w:sz w:val="18"/>
              </w:rPr>
              <w:t>7664-93-9</w:t>
            </w:r>
          </w:p>
        </w:tc>
        <w:tc>
          <w:tcPr>
            <w:tcW w:type="dxa" w:w="1881"/>
            <w:shd w:fill="E8EDF2"/>
          </w:tcPr>
          <w:p>
            <w:r>
              <w:rPr>
                <w:sz w:val="18"/>
              </w:rPr>
              <w:t>ADR 8, PG II</w:t>
            </w:r>
          </w:p>
        </w:tc>
        <w:tc>
          <w:tcPr>
            <w:tcW w:type="dxa" w:w="1881"/>
            <w:shd w:fill="E8EDF2"/>
          </w:tcPr>
          <w:p>
            <w:r>
              <w:rPr>
                <w:sz w:val="18"/>
              </w:rPr>
              <w:t>30 L</w:t>
            </w:r>
          </w:p>
        </w:tc>
        <w:tc>
          <w:tcPr>
            <w:tcW w:type="dxa" w:w="1881"/>
            <w:shd w:fill="E8EDF2"/>
          </w:tcPr>
          <w:p>
            <w:r>
              <w:rPr>
                <w:sz w:val="18"/>
              </w:rPr>
              <w:t>Corrosief, H314/H290</w:t>
            </w:r>
          </w:p>
        </w:tc>
      </w:tr>
      <w:tr>
        <w:tc>
          <w:tcPr>
            <w:tcW w:type="dxa" w:w="1881"/>
          </w:tcPr>
          <w:p>
            <w:r>
              <w:rPr>
                <w:sz w:val="18"/>
              </w:rPr>
              <w:t>H₂SO₄ 50%</w:t>
            </w:r>
          </w:p>
        </w:tc>
        <w:tc>
          <w:tcPr>
            <w:tcW w:type="dxa" w:w="1881"/>
          </w:tcPr>
          <w:p>
            <w:r>
              <w:rPr>
                <w:sz w:val="18"/>
              </w:rPr>
              <w:t>7664-93-9</w:t>
            </w:r>
          </w:p>
        </w:tc>
        <w:tc>
          <w:tcPr>
            <w:tcW w:type="dxa" w:w="1881"/>
          </w:tcPr>
          <w:p>
            <w:r>
              <w:rPr>
                <w:sz w:val="18"/>
              </w:rPr>
              <w:t>ADR 8, PG II</w:t>
            </w:r>
          </w:p>
        </w:tc>
        <w:tc>
          <w:tcPr>
            <w:tcW w:type="dxa" w:w="1881"/>
          </w:tcPr>
          <w:p>
            <w:r>
              <w:rPr>
                <w:sz w:val="18"/>
              </w:rPr>
              <w:t>70 L</w:t>
            </w:r>
          </w:p>
        </w:tc>
        <w:tc>
          <w:tcPr>
            <w:tcW w:type="dxa" w:w="1881"/>
          </w:tcPr>
          <w:p>
            <w:r>
              <w:rPr>
                <w:sz w:val="18"/>
              </w:rPr>
              <w:t>Corrosief, H314/H290</w:t>
            </w:r>
          </w:p>
        </w:tc>
      </w:tr>
      <w:tr>
        <w:tc>
          <w:tcPr>
            <w:tcW w:type="dxa" w:w="1881"/>
            <w:shd w:fill="E8EDF2"/>
          </w:tcPr>
          <w:p>
            <w:r>
              <w:rPr>
                <w:sz w:val="18"/>
              </w:rPr>
              <w:t>H₂SO₄ 25%</w:t>
            </w:r>
          </w:p>
        </w:tc>
        <w:tc>
          <w:tcPr>
            <w:tcW w:type="dxa" w:w="1881"/>
            <w:shd w:fill="E8EDF2"/>
          </w:tcPr>
          <w:p>
            <w:r>
              <w:rPr>
                <w:sz w:val="18"/>
              </w:rPr>
              <w:t>7664-93-9</w:t>
            </w:r>
          </w:p>
        </w:tc>
        <w:tc>
          <w:tcPr>
            <w:tcW w:type="dxa" w:w="1881"/>
            <w:shd w:fill="E8EDF2"/>
          </w:tcPr>
          <w:p>
            <w:r>
              <w:rPr>
                <w:sz w:val="18"/>
              </w:rPr>
              <w:t>ADR 8, PG II</w:t>
            </w:r>
          </w:p>
        </w:tc>
        <w:tc>
          <w:tcPr>
            <w:tcW w:type="dxa" w:w="1881"/>
            <w:shd w:fill="E8EDF2"/>
          </w:tcPr>
          <w:p>
            <w:r>
              <w:rPr>
                <w:sz w:val="18"/>
              </w:rPr>
              <w:t>100 L</w:t>
            </w:r>
          </w:p>
        </w:tc>
        <w:tc>
          <w:tcPr>
            <w:tcW w:type="dxa" w:w="1881"/>
            <w:shd w:fill="E8EDF2"/>
          </w:tcPr>
          <w:p>
            <w:r>
              <w:rPr>
                <w:sz w:val="18"/>
              </w:rPr>
              <w:t>Corrosief, H314/H290</w:t>
            </w:r>
          </w:p>
        </w:tc>
      </w:tr>
      <w:tr>
        <w:tc>
          <w:tcPr>
            <w:tcW w:type="dxa" w:w="1881"/>
          </w:tcPr>
          <w:p>
            <w:r>
              <w:rPr>
                <w:sz w:val="18"/>
              </w:rPr>
              <w:t>Al₂(SO₄)₃·18H₂O</w:t>
            </w:r>
          </w:p>
        </w:tc>
        <w:tc>
          <w:tcPr>
            <w:tcW w:type="dxa" w:w="1881"/>
          </w:tcPr>
          <w:p>
            <w:r>
              <w:rPr>
                <w:sz w:val="18"/>
              </w:rPr>
              <w:t>7784-31-8</w:t>
            </w:r>
          </w:p>
        </w:tc>
        <w:tc>
          <w:tcPr>
            <w:tcW w:type="dxa" w:w="1881"/>
          </w:tcPr>
          <w:p>
            <w:r>
              <w:rPr>
                <w:sz w:val="18"/>
              </w:rPr>
              <w:t>N/A</w:t>
            </w:r>
          </w:p>
        </w:tc>
        <w:tc>
          <w:tcPr>
            <w:tcW w:type="dxa" w:w="1881"/>
          </w:tcPr>
          <w:p>
            <w:r>
              <w:rPr>
                <w:sz w:val="18"/>
              </w:rPr>
              <w:t>5 kg</w:t>
            </w:r>
          </w:p>
        </w:tc>
        <w:tc>
          <w:tcPr>
            <w:tcW w:type="dxa" w:w="1881"/>
          </w:tcPr>
          <w:p>
            <w:r>
              <w:rPr>
                <w:sz w:val="18"/>
              </w:rPr>
              <w:t>Niet-geclassificeerd</w:t>
            </w:r>
          </w:p>
        </w:tc>
      </w:tr>
      <w:tr>
        <w:tc>
          <w:tcPr>
            <w:tcW w:type="dxa" w:w="1881"/>
            <w:shd w:fill="E8EDF2"/>
          </w:tcPr>
          <w:p>
            <w:r>
              <w:rPr>
                <w:sz w:val="18"/>
              </w:rPr>
              <w:t>CaO</w:t>
            </w:r>
          </w:p>
        </w:tc>
        <w:tc>
          <w:tcPr>
            <w:tcW w:type="dxa" w:w="1881"/>
            <w:shd w:fill="E8EDF2"/>
          </w:tcPr>
          <w:p>
            <w:r>
              <w:rPr>
                <w:sz w:val="18"/>
              </w:rPr>
              <w:t>1305-78-8</w:t>
            </w:r>
          </w:p>
        </w:tc>
        <w:tc>
          <w:tcPr>
            <w:tcW w:type="dxa" w:w="1881"/>
            <w:shd w:fill="E8EDF2"/>
          </w:tcPr>
          <w:p>
            <w:r>
              <w:rPr>
                <w:sz w:val="18"/>
              </w:rPr>
              <w:t>N/A</w:t>
            </w:r>
          </w:p>
        </w:tc>
        <w:tc>
          <w:tcPr>
            <w:tcW w:type="dxa" w:w="1881"/>
            <w:shd w:fill="E8EDF2"/>
          </w:tcPr>
          <w:p>
            <w:r>
              <w:rPr>
                <w:sz w:val="18"/>
              </w:rPr>
              <w:t>10 kg</w:t>
            </w:r>
          </w:p>
        </w:tc>
        <w:tc>
          <w:tcPr>
            <w:tcW w:type="dxa" w:w="1881"/>
            <w:shd w:fill="E8EDF2"/>
          </w:tcPr>
          <w:p>
            <w:r>
              <w:rPr>
                <w:sz w:val="18"/>
              </w:rPr>
              <w:t>H315/H318</w:t>
            </w:r>
          </w:p>
        </w:tc>
      </w:tr>
      <w:tr>
        <w:tc>
          <w:tcPr>
            <w:tcW w:type="dxa" w:w="1881"/>
          </w:tcPr>
          <w:p>
            <w:r>
              <w:rPr>
                <w:sz w:val="18"/>
              </w:rPr>
              <w:t>V₂O₅ (ingaand)</w:t>
            </w:r>
          </w:p>
        </w:tc>
        <w:tc>
          <w:tcPr>
            <w:tcW w:type="dxa" w:w="1881"/>
          </w:tcPr>
          <w:p>
            <w:r>
              <w:rPr>
                <w:sz w:val="18"/>
              </w:rPr>
              <w:t>1314-62-1</w:t>
            </w:r>
          </w:p>
        </w:tc>
        <w:tc>
          <w:tcPr>
            <w:tcW w:type="dxa" w:w="1881"/>
          </w:tcPr>
          <w:p>
            <w:r>
              <w:rPr>
                <w:sz w:val="18"/>
              </w:rPr>
              <w:t>ADR 6.1, PG III*</w:t>
            </w:r>
          </w:p>
        </w:tc>
        <w:tc>
          <w:tcPr>
            <w:tcW w:type="dxa" w:w="1881"/>
          </w:tcPr>
          <w:p>
            <w:r>
              <w:rPr>
                <w:sz w:val="18"/>
              </w:rPr>
              <w:t>zie massabalans</w:t>
            </w:r>
          </w:p>
        </w:tc>
        <w:tc>
          <w:tcPr>
            <w:tcW w:type="dxa" w:w="1881"/>
          </w:tcPr>
          <w:p>
            <w:r>
              <w:rPr>
                <w:sz w:val="18"/>
              </w:rPr>
              <w:t>Toxisch, H331/H341</w:t>
            </w:r>
          </w:p>
        </w:tc>
      </w:tr>
      <w:tr>
        <w:tc>
          <w:tcPr>
            <w:tcW w:type="dxa" w:w="1881"/>
            <w:shd w:fill="E8EDF2"/>
          </w:tcPr>
          <w:p>
            <w:r>
              <w:rPr>
                <w:sz w:val="18"/>
              </w:rPr>
              <w:t>Vanadiumelektrolyt</w:t>
            </w:r>
          </w:p>
        </w:tc>
        <w:tc>
          <w:tcPr>
            <w:tcW w:type="dxa" w:w="1881"/>
            <w:shd w:fill="E8EDF2"/>
          </w:tcPr>
          <w:p>
            <w:r>
              <w:rPr>
                <w:sz w:val="18"/>
              </w:rPr>
              <w:t>UVCB</w:t>
            </w:r>
          </w:p>
        </w:tc>
        <w:tc>
          <w:tcPr>
            <w:tcW w:type="dxa" w:w="1881"/>
            <w:shd w:fill="E8EDF2"/>
          </w:tcPr>
          <w:p>
            <w:r>
              <w:rPr>
                <w:sz w:val="18"/>
              </w:rPr>
              <w:t>ADR 8, PG III</w:t>
            </w:r>
          </w:p>
        </w:tc>
        <w:tc>
          <w:tcPr>
            <w:tcW w:type="dxa" w:w="1881"/>
            <w:shd w:fill="E8EDF2"/>
          </w:tcPr>
          <w:p>
            <w:r>
              <w:rPr>
                <w:sz w:val="18"/>
              </w:rPr>
              <w:t>uitgaand product</w:t>
            </w:r>
          </w:p>
        </w:tc>
        <w:tc>
          <w:tcPr>
            <w:tcW w:type="dxa" w:w="1881"/>
            <w:shd w:fill="E8EDF2"/>
          </w:tcPr>
          <w:p>
            <w:r>
              <w:rPr>
                <w:sz w:val="18"/>
              </w:rPr>
              <w:t>Corrosief, H314</w:t>
            </w:r>
          </w:p>
        </w:tc>
      </w:tr>
    </w:tbl>
    <w:p/>
    <w:p>
      <w:pPr>
        <w:pStyle w:val="Heading2"/>
      </w:pPr>
      <w:r>
        <w:rPr>
          <w:color w:val="003366"/>
        </w:rPr>
        <w:t>2.5 Massabalans</w:t>
      </w:r>
    </w:p>
    <w:p>
      <w:pPr>
        <w:spacing w:after="120"/>
      </w:pPr>
      <w:r>
        <w:rPr>
          <w:sz w:val="20"/>
        </w:rPr>
        <w:t>Pilotfase: 80–120 ton staalslakken per jaar → 7.200 kg verwerkt in pilot batches. Commerciële schaal (6 ML): 1.200 ton V₂O₅ + 7.200 ton H₂SO₄ per jaar → 6.000.000 liter vanadiumelektrolyt. Nevenproducten: gips (CaSO₄), restchemicaliën (~350.000 L), vast afval (~50 ton). (Uitgangspuntendocument, §1–§2; Haalbaarheidsstudie Arcadis V04, §1)</w:t>
      </w:r>
    </w:p>
    <w:p>
      <w:pPr>
        <w:pStyle w:val="Heading1"/>
      </w:pPr>
      <w:r>
        <w:rPr>
          <w:color w:val="003366"/>
        </w:rPr>
        <w:t>3 End-of-Waste Analyse</w:t>
      </w:r>
    </w:p>
    <w:p>
      <w:pPr>
        <w:pStyle w:val="Heading2"/>
      </w:pPr>
      <w:r>
        <w:rPr>
          <w:color w:val="003366"/>
        </w:rPr>
        <w:t>3.1 Kader: Kaderrichtlijn Afval (KRA)</w:t>
      </w:r>
    </w:p>
    <w:p>
      <w:pPr>
        <w:spacing w:after="120"/>
      </w:pPr>
      <w:r>
        <w:rPr>
          <w:sz w:val="20"/>
        </w:rPr>
        <w:t>De KRA (Richtlijn 2008/98/EG) definieert in artikel 6 de voorwaarden waaronder een bepaalde afvalstof ophoudt afval te zijn (End-of-Waste, EoW). Een stof is geen afval meer wanneer deze cumulatief voldoet aan: (a) de stof is bestemd om voor bepaalde doeleinden te worden gebruikt, (b) er is een markt voor of een vraag naar de stof, (c) de stof voldoet aan de technische vereisten voor de betreffende doeleinden en aan de toepasselijke normen voor producten, en (d) het gebruik van de stof leidt niet tot nadelige effecten voor mens en milieu. (KRA art. 6; Duurzaamheid Praktische Gids 13, §2)</w:t>
      </w:r>
    </w:p>
    <w:p>
      <w:pPr>
        <w:pStyle w:val="Heading2"/>
      </w:pPr>
      <w:r>
        <w:rPr>
          <w:color w:val="003366"/>
        </w:rPr>
        <w:t>3.2 Toepassing op Phoenix Metals</w:t>
      </w:r>
    </w:p>
    <w:p>
      <w:pPr>
        <w:spacing w:after="120"/>
      </w:pPr>
      <w:r>
        <w:rPr>
          <w:sz w:val="20"/>
        </w:rPr>
        <w:t>De ingaande grondstof (staalslakken van Tata Steel) kwalificeert momenteel als afvalstof in de zin van de KRA. Dit betekent dat REACH-artikel 2(7)(b) van toepassing kan zijn: stoffen die bij een afvalbehandelingsproces worden verkregen, zijn vrijgesteld van registratie totdat zij zijn opgenomen in een EoW-beslissing van de Commissie. Echter, zodra PM's uitgaande producten (vanadiumelektrolyt, gips) de EoW-status bereiken, vallen deze wél onder REACH. (REACH art. 2(7)(b); Duurzaamheid Praktische Gids 13, §3.1)</w:t>
      </w:r>
    </w:p>
    <w:p>
      <w:pPr>
        <w:pStyle w:val="Heading2"/>
      </w:pPr>
      <w:r>
        <w:rPr>
          <w:color w:val="003366"/>
        </w:rPr>
        <w:t>3.3 EoW-Verordening Status</w:t>
      </w:r>
    </w:p>
    <w:p>
      <w:pPr>
        <w:spacing w:after="120"/>
      </w:pPr>
      <w:r>
        <w:rPr>
          <w:sz w:val="20"/>
        </w:rPr>
        <w:t>Er is nog geen specifieke EU-EoW-beslissing voor staalslakken of vanadiumconcentraten uit slakextractie. Dit betekent dat PM de bewijslast draagt om per product aan te tonen dat de vier EoW-criteria zijn vervuld. Het is aanbevolen om een EoW-dossier voor te bereiden als onderdeel van het registratietraject. (KRA art. 6, lid 4; Duurzaamheid Praktische Gids 13, §4)</w:t>
      </w:r>
    </w:p>
    <w:p>
      <w:pPr>
        <w:pStyle w:val="Heading1"/>
      </w:pPr>
      <w:r>
        <w:rPr>
          <w:color w:val="003366"/>
        </w:rPr>
        <w:t>4 Art. 2(7)(d) Analyse — Gerecycleerde Stoffen</w:t>
      </w:r>
    </w:p>
    <w:p>
      <w:pPr>
        <w:spacing w:after="120"/>
      </w:pPr>
      <w:r>
        <w:rPr>
          <w:sz w:val="20"/>
        </w:rPr>
        <w:t>REACH artikel 2, lid 7, onderdeel (d) biedt een vrijstelling van registratie, evaluatie en autorisatie voor stoffen die: (i) in de Gemeenschap zijn vervaardigd of ingevoerd, (ii) al eerder zijn geregistreerd (door dezelfde of een andere rechtspersoon), en (iii) dezelfde chemische identiteit hebben als de reeds geregistreerde stof. De vrijstelling geldt alleen als aan alle drie de voorwaarden cumulatief wordt voldaan. (REACH art. 2(7)(d); ECHA Registratiegids v4.0, §1.5)</w:t>
      </w:r>
    </w:p>
    <w:p>
      <w:pPr>
        <w:spacing w:after="120"/>
      </w:pPr>
      <w:r>
        <w:rPr>
          <w:sz w:val="20"/>
        </w:rPr>
        <w:t>Voor Phoenix Metals betekent dit:</w:t>
      </w:r>
    </w:p>
    <w:p>
      <w:pPr>
        <w:pStyle w:val="ListBullet"/>
        <w:ind w:left="720"/>
      </w:pPr>
      <w:r>
        <w:rPr>
          <w:sz w:val="20"/>
        </w:rPr>
        <w:t>V₂O₅ (vanadiumpentoxide): Als dit identiek is aan een reeds geregistreerde stof EN PM deze hergebruikt uit een afvalstroom, kan de vrijstelling gelden. Echter, PM gebruikt V₂O₅ als ingaande grondstof (niet als gerecycleerd product), waardoor Art. 2(7)(d) waarschijnlijk niet van toepassing is. (Uitgangspuntendocument, §1)</w:t>
      </w:r>
    </w:p>
    <w:p>
      <w:pPr>
        <w:pStyle w:val="ListBullet"/>
        <w:ind w:left="720"/>
      </w:pPr>
      <w:r>
        <w:rPr>
          <w:sz w:val="20"/>
        </w:rPr>
        <w:t>Vanadiumelektrolyt (uitgaand product): Dit is een nieuwe stof (UVCB) die nog niet is geregistreerd. Art. 2(7)(d) is niet van toepassing. PM moet registreren zodra de productie &gt;1 ton/jaar bedraagt. (REACH art. 2(7)(d); Stofidentificatiegids v3.0, §2.1)</w:t>
      </w:r>
    </w:p>
    <w:p>
      <w:pPr>
        <w:pStyle w:val="ListBullet"/>
        <w:ind w:left="720"/>
      </w:pPr>
      <w:r>
        <w:rPr>
          <w:sz w:val="20"/>
        </w:rPr>
        <w:t>Gips (nevenproduct): Indien het geproduceerde gips identiek is aan reeds geregistreerd calciumsulfaat en wordt gebruikt als product (niet als afval), kan Art. 2(7)(d) van toepassing zijn. Dit vereist een gelijkheidstoets via ECHA-databases. (ECHA Registratiegids v4.0, §1.5.2)</w:t>
      </w:r>
    </w:p>
    <w:p>
      <w:pPr>
        <w:pStyle w:val="Heading1"/>
      </w:pPr>
      <w:r>
        <w:rPr>
          <w:color w:val="003366"/>
        </w:rPr>
        <w:t>5 Stofidentificatie &amp; Stofidentiteitsprofiel (SIP)</w:t>
      </w:r>
    </w:p>
    <w:p>
      <w:pPr>
        <w:pStyle w:val="Heading2"/>
      </w:pPr>
      <w:r>
        <w:rPr>
          <w:color w:val="003366"/>
        </w:rPr>
        <w:t>5.1 REACH-vereisten voor stofidentificatie</w:t>
      </w:r>
    </w:p>
    <w:p>
      <w:pPr>
        <w:spacing w:after="120"/>
      </w:pPr>
      <w:r>
        <w:rPr>
          <w:sz w:val="20"/>
        </w:rPr>
        <w:t>Ondubbelzinnige identificatie is een voorwaarde voor een geldig registratiedossier. REACH onderscheidt: (a) mono-constituent stoffen (hoofdbestanddeel ≥80%), (b) multi-constituent stoffen (meerdere bestanddelen 10–80%), en (c) UVCB-stoffen (Unknown or Variable composition, Complex reaction products or Biological materials). (REACH Bijlage VI, §2; Stofidentificatiegids v3.0, §3.1)</w:t>
      </w:r>
    </w:p>
    <w:p>
      <w:pPr>
        <w:pStyle w:val="Heading2"/>
      </w:pPr>
      <w:r>
        <w:rPr>
          <w:color w:val="003366"/>
        </w:rPr>
        <w:t>5.2 UVCB-problematiek bij Phoenix Metals</w:t>
      </w:r>
    </w:p>
    <w:p>
      <w:pPr>
        <w:spacing w:after="120"/>
      </w:pPr>
      <w:r>
        <w:rPr>
          <w:sz w:val="20"/>
        </w:rPr>
        <w:t>De vanadiumelektrolyt die PM produceert is een UVCB-stof: de exacte samenstelling varieert afhankelijk van de slaksamenstelling (die afhankelijk is van het Tata Steel productieproces), de extractie-effectiviteit en de elektroreductieparameters. Voor UVCB-stoffen moet een Stofidentiteitsprofiel (SIP) worden opgesteld dat de grenssamenstellingen beschrijft. (Stofidentificatiegids v3.0, §4.2; SIP Praktische Gids, §3.1–3.2)</w:t>
      </w:r>
    </w:p>
    <w:p>
      <w:pPr>
        <w:spacing w:after="120"/>
      </w:pPr>
      <w:r>
        <w:rPr>
          <w:sz w:val="20"/>
        </w:rPr>
        <w:t>Het SIP voor PM's vanadiumelektrolyt dient minimaal te bevatten:</w:t>
      </w:r>
    </w:p>
    <w:p>
      <w:pPr>
        <w:pStyle w:val="ListBullet"/>
        <w:ind w:left="720"/>
      </w:pPr>
      <w:r>
        <w:rPr>
          <w:sz w:val="20"/>
        </w:rPr>
        <w:t>Chemische naam: 'Reactiemassa van vanadium(IV)sulfaat, zwavelzuur en water'</w:t>
      </w:r>
    </w:p>
    <w:p>
      <w:pPr>
        <w:pStyle w:val="ListBullet"/>
        <w:ind w:left="720"/>
      </w:pPr>
      <w:r>
        <w:rPr>
          <w:sz w:val="20"/>
        </w:rPr>
        <w:t>CAS-nummer: Niet-toegewezen (UVCB) → aanvraag bij CAS vereist</w:t>
      </w:r>
    </w:p>
    <w:p>
      <w:pPr>
        <w:pStyle w:val="ListBullet"/>
        <w:ind w:left="720"/>
      </w:pPr>
      <w:r>
        <w:rPr>
          <w:sz w:val="20"/>
        </w:rPr>
        <w:t>EC-nummer: Niet-toegewezen → aanvraag bij ECHA vereist</w:t>
      </w:r>
    </w:p>
    <w:p>
      <w:pPr>
        <w:pStyle w:val="ListBullet"/>
        <w:ind w:left="720"/>
      </w:pPr>
      <w:r>
        <w:rPr>
          <w:sz w:val="20"/>
        </w:rPr>
        <w:t>Samenstellingsbereik: V(IV) 1,5–2,5 molair, H₂SO₄ 1,0–3,0 molair, H₂O rest</w:t>
      </w:r>
    </w:p>
    <w:p>
      <w:pPr>
        <w:pStyle w:val="ListBullet"/>
        <w:ind w:left="720"/>
      </w:pPr>
      <w:r>
        <w:rPr>
          <w:sz w:val="20"/>
        </w:rPr>
        <w:t>Fysicochemische parameters: dichtheid, viscositeit, kleur, pH</w:t>
      </w:r>
    </w:p>
    <w:p>
      <w:pPr>
        <w:pStyle w:val="ListBullet"/>
        <w:ind w:left="720"/>
      </w:pPr>
      <w:r>
        <w:rPr>
          <w:sz w:val="20"/>
        </w:rPr>
        <w:t>Bronidentificatie: staalslakken van Tata Steel IJmuiden</w:t>
      </w:r>
    </w:p>
    <w:p>
      <w:pPr>
        <w:spacing w:after="120"/>
      </w:pPr>
      <w:r>
        <w:rPr>
          <w:sz w:val="20"/>
        </w:rPr>
        <w:t>(SIP Praktische Gids, §3.2; Stofidentificatiegids v3.0, §4.3)</w:t>
      </w:r>
    </w:p>
    <w:p>
      <w:pPr>
        <w:pStyle w:val="Heading2"/>
      </w:pPr>
      <w:r>
        <w:rPr>
          <w:color w:val="003366"/>
        </w:rPr>
        <w:t>5.3 QSAR en Read-Across</w:t>
      </w:r>
    </w:p>
    <w:p>
      <w:pPr>
        <w:spacing w:after="120"/>
      </w:pPr>
      <w:r>
        <w:rPr>
          <w:sz w:val="20"/>
        </w:rPr>
        <w:t>Voor ontbrekende toxicologische data kan PM gebruikmaken van (Q)SAR-voorspellingen en read-across, mits de modellen voldoen aan de validatiecriteria van Bijlage XI van REACH. Dit is met name relevant voor de vanadiumverbindingen waarvoor beperkte chronische toxiciteitsdata beschikbaar zijn. (QSAR Wegwijzer v3.1, §2.4–2.5)</w:t>
      </w:r>
    </w:p>
    <w:p>
      <w:pPr>
        <w:pStyle w:val="Heading1"/>
      </w:pPr>
      <w:r>
        <w:rPr>
          <w:color w:val="003366"/>
        </w:rPr>
        <w:t>6 Registratieverplichtingen</w:t>
      </w:r>
    </w:p>
    <w:p>
      <w:pPr>
        <w:pStyle w:val="Heading2"/>
      </w:pPr>
      <w:r>
        <w:rPr>
          <w:color w:val="003366"/>
        </w:rPr>
        <w:t>6.1 1-ton grens en toepassingsgebied</w:t>
      </w:r>
    </w:p>
    <w:p>
      <w:pPr>
        <w:spacing w:after="120"/>
      </w:pPr>
      <w:r>
        <w:rPr>
          <w:sz w:val="20"/>
        </w:rPr>
        <w:t>REACH artikel 6 verplicht elke fabrikant of importeur die een stof in hoeveelheden van 1 ton of meer per jaar produceert of importeert, deze stof te registreren bij ECHA. Voor PM betekent dit dat registratie verplicht is zodra de jaarlijkse productie van vanadiumelektrolyt (of een andere stof) de 1-ton drempel overschrijdt. Gezien de geplande productiecapaciteit (6 ML/jaar op commerciële schaal) is registratie onvermijdelijk. (REACH art. 6; ECHA Registratiegids v4.0, §1.2)</w:t>
      </w:r>
    </w:p>
    <w:p>
      <w:pPr>
        <w:pStyle w:val="Heading2"/>
      </w:pPr>
      <w:r>
        <w:rPr>
          <w:color w:val="003366"/>
        </w:rPr>
        <w:t>6.2 Tonnage-banden en data-requirements</w:t>
      </w:r>
    </w:p>
    <w:p>
      <w:pPr>
        <w:spacing w:after="120"/>
      </w:pPr>
      <w:r>
        <w:rPr>
          <w:sz w:val="20"/>
        </w:rPr>
        <w:t>REACH hanteert de volgende tonnage-banden met oplopende data-vereisten: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left"/>
            </w:pPr>
            <w:r/>
            <w:r>
              <w:rPr>
                <w:b/>
                <w:color w:val="FFFFFF"/>
                <w:sz w:val="18"/>
              </w:rPr>
              <w:t>Tonnage-band</w:t>
            </w:r>
          </w:p>
        </w:tc>
        <w:tc>
          <w:tcPr>
            <w:tcW w:type="dxa" w:w="3135"/>
            <w:shd w:fill="003366"/>
          </w:tcPr>
          <w:p>
            <w:pPr>
              <w:jc w:val="left"/>
            </w:pPr>
            <w:r/>
            <w:r>
              <w:rPr>
                <w:b/>
                <w:color w:val="FFFFFF"/>
                <w:sz w:val="18"/>
              </w:rPr>
              <w:t>Bijlage REACH</w:t>
            </w:r>
          </w:p>
        </w:tc>
        <w:tc>
          <w:tcPr>
            <w:tcW w:type="dxa" w:w="3135"/>
            <w:shd w:fill="003366"/>
          </w:tcPr>
          <w:p>
            <w:pPr>
              <w:jc w:val="left"/>
            </w:pPr>
            <w:r/>
            <w:r>
              <w:rPr>
                <w:b/>
                <w:color w:val="FFFFFF"/>
                <w:sz w:val="18"/>
              </w:rPr>
              <w:t>Data-requirements (samenvatting)</w:t>
            </w:r>
          </w:p>
        </w:tc>
      </w:tr>
      <w:tr>
        <w:tc>
          <w:tcPr>
            <w:tcW w:type="dxa" w:w="3135"/>
          </w:tcPr>
          <w:p>
            <w:r>
              <w:rPr>
                <w:sz w:val="18"/>
              </w:rPr>
              <w:t>1–10 ton/jaar</w:t>
            </w:r>
          </w:p>
        </w:tc>
        <w:tc>
          <w:tcPr>
            <w:tcW w:type="dxa" w:w="3135"/>
          </w:tcPr>
          <w:p>
            <w:r>
              <w:rPr>
                <w:sz w:val="18"/>
              </w:rPr>
              <w:t>Bijlage VII</w:t>
            </w:r>
          </w:p>
        </w:tc>
        <w:tc>
          <w:tcPr>
            <w:tcW w:type="dxa" w:w="3135"/>
          </w:tcPr>
          <w:p>
            <w:r>
              <w:rPr>
                <w:sz w:val="18"/>
              </w:rPr>
              <w:t>Basisfysicochemisch, toxicologisch (huid/oog irritatie, sensibilisatie, mutageniteit in vitro), ecotoxicologisch</w:t>
            </w:r>
          </w:p>
        </w:tc>
      </w:tr>
      <w:tr>
        <w:tc>
          <w:tcPr>
            <w:tcW w:type="dxa" w:w="3135"/>
            <w:shd w:fill="E8EDF2"/>
          </w:tcPr>
          <w:p>
            <w:r>
              <w:rPr>
                <w:sz w:val="18"/>
              </w:rPr>
              <w:t>10–100 ton/jaar</w:t>
            </w:r>
          </w:p>
        </w:tc>
        <w:tc>
          <w:tcPr>
            <w:tcW w:type="dxa" w:w="3135"/>
            <w:shd w:fill="E8EDF2"/>
          </w:tcPr>
          <w:p>
            <w:r>
              <w:rPr>
                <w:sz w:val="18"/>
              </w:rPr>
              <w:t>Bijlage VII + VIII</w:t>
            </w:r>
          </w:p>
        </w:tc>
        <w:tc>
          <w:tcPr>
            <w:tcW w:type="dxa" w:w="3135"/>
            <w:shd w:fill="E8EDF2"/>
          </w:tcPr>
          <w:p>
            <w:r>
              <w:rPr>
                <w:sz w:val="18"/>
              </w:rPr>
              <w:t>Uitgebreider: herhaalde blootstelling (28-dag), toxiciteit bij reproductie (screening), afbraak, bioaccumulatie</w:t>
            </w:r>
          </w:p>
        </w:tc>
      </w:tr>
      <w:tr>
        <w:tc>
          <w:tcPr>
            <w:tcW w:type="dxa" w:w="3135"/>
          </w:tcPr>
          <w:p>
            <w:r>
              <w:rPr>
                <w:sz w:val="18"/>
              </w:rPr>
              <w:t>100–1.000 ton/jaar</w:t>
            </w:r>
          </w:p>
        </w:tc>
        <w:tc>
          <w:tcPr>
            <w:tcW w:type="dxa" w:w="3135"/>
          </w:tcPr>
          <w:p>
            <w:r>
              <w:rPr>
                <w:sz w:val="18"/>
              </w:rPr>
              <w:t>Bijlage VII–IX</w:t>
            </w:r>
          </w:p>
        </w:tc>
        <w:tc>
          <w:tcPr>
            <w:tcW w:type="dxa" w:w="3135"/>
          </w:tcPr>
          <w:p>
            <w:r>
              <w:rPr>
                <w:sz w:val="18"/>
              </w:rPr>
              <w:t>Subchronische toxiciteit (90-dag), ontwikkelingstoxiciteit, lange-termijn ecotoxiciteit</w:t>
            </w:r>
          </w:p>
        </w:tc>
      </w:tr>
      <w:tr>
        <w:tc>
          <w:tcPr>
            <w:tcW w:type="dxa" w:w="3135"/>
            <w:shd w:fill="E8EDF2"/>
          </w:tcPr>
          <w:p>
            <w:r>
              <w:rPr>
                <w:sz w:val="18"/>
              </w:rPr>
              <w:t>&gt;1.000 ton/jaar</w:t>
            </w:r>
          </w:p>
        </w:tc>
        <w:tc>
          <w:tcPr>
            <w:tcW w:type="dxa" w:w="3135"/>
            <w:shd w:fill="E8EDF2"/>
          </w:tcPr>
          <w:p>
            <w:r>
              <w:rPr>
                <w:sz w:val="18"/>
              </w:rPr>
              <w:t>Bijlage VII–X</w:t>
            </w:r>
          </w:p>
        </w:tc>
        <w:tc>
          <w:tcPr>
            <w:tcW w:type="dxa" w:w="3135"/>
            <w:shd w:fill="E8EDF2"/>
          </w:tcPr>
          <w:p>
            <w:r>
              <w:rPr>
                <w:sz w:val="18"/>
              </w:rPr>
              <w:t>Chronische toxiciteit, carcinogeniteit, volle PBT-beoordeling</w:t>
            </w:r>
          </w:p>
        </w:tc>
      </w:tr>
    </w:tbl>
    <w:p/>
    <w:p>
      <w:pPr>
        <w:pStyle w:val="Heading2"/>
      </w:pPr>
      <w:r>
        <w:rPr>
          <w:color w:val="003366"/>
        </w:rPr>
        <w:t>6.3 SME-voorzieningen</w:t>
      </w:r>
    </w:p>
    <w:p>
      <w:pPr>
        <w:spacing w:after="120"/>
      </w:pPr>
      <w:r>
        <w:rPr>
          <w:sz w:val="20"/>
        </w:rPr>
        <w:t>Als MKB-bedrijf kan PM gebruikmaken van de ECHA-ondersteuning voor KMO's, waaronder vereenvoudigde registratieprocedures en de mogelijkheid om een vertegenwoordiger aan te stellen. ECHA biedt ook een gratis IT-tool (IUCLID) voor het opstellen van registratiedossiers. (Veiligheid van chemische stoffen in uw bedrijf — Inleiding voor KMO's, §2; ECHA Registratiegids v4.0, §1.7)</w:t>
      </w:r>
    </w:p>
    <w:p>
      <w:pPr>
        <w:pStyle w:val="Heading1"/>
      </w:pPr>
      <w:r>
        <w:rPr>
          <w:color w:val="003366"/>
        </w:rPr>
        <w:t>7 SVHC-Analyse</w:t>
      </w:r>
    </w:p>
    <w:p>
      <w:pPr>
        <w:spacing w:after="120"/>
      </w:pPr>
      <w:r>
        <w:rPr>
          <w:sz w:val="20"/>
        </w:rPr>
        <w:t>SVHC's (Substances of Very High Concern) zijn stoffen die ernstige en vaak onomkeerbare effecten kunnen hebben op de menselijke gezondheid of het milieu. Criteria: CMR (categorie 1A/1B), PBT, vPvB, of equivalente zorgwekkende eigenschappen. (SVHC Guidance v2.1, §1.1–1.2)</w:t>
      </w:r>
    </w:p>
    <w:p>
      <w:pPr>
        <w:spacing w:after="120"/>
      </w:pPr>
      <w:r>
        <w:rPr>
          <w:sz w:val="20"/>
        </w:rPr>
        <w:t>Relevantie voor Phoenix Metals:</w:t>
      </w:r>
    </w:p>
    <w:p>
      <w:pPr>
        <w:pStyle w:val="ListBullet"/>
        <w:ind w:left="720"/>
      </w:pPr>
      <w:r>
        <w:rPr>
          <w:sz w:val="20"/>
        </w:rPr>
        <w:t>V₂O₅ (vanadiumpentoxide): Opgenomen op de ECHA-kandidatenlijst. PM moet controleren of de concentratie in het uitgaande product &gt;0,1% (w/w) bedraagt. Zo ja: communicatieverplichting naar downstream gebruikers en consumenten (indien van toepassing). (SVHC Guidance v2.1, §2.3)</w:t>
      </w:r>
    </w:p>
    <w:p>
      <w:pPr>
        <w:pStyle w:val="ListBullet"/>
        <w:ind w:left="720"/>
      </w:pPr>
      <w:r>
        <w:rPr>
          <w:sz w:val="20"/>
        </w:rPr>
        <w:t>Vanadiumverbindingen: Verschillende vanadiumverbindingen zijn geïdentificeerd als potentieel CMR (H341 – vermoedelijk mutageen). PM moet de SVHC-status van alle vanadiumspecies in het eindproduct monitoren. (SVHC Guidance v2.1, §3.1)</w:t>
      </w:r>
    </w:p>
    <w:p>
      <w:pPr>
        <w:pStyle w:val="ListBullet"/>
        <w:ind w:left="720"/>
      </w:pPr>
      <w:r>
        <w:rPr>
          <w:sz w:val="20"/>
        </w:rPr>
        <w:t>Nikkelsporen: De SARU ash bevat nikkeloxide (Fact Sheet Ash, §1). Nikkel en nikkelverbindingen zijn bekende SVHC's (carcinogeen Cat. 1A). PM moet aantonen dat nikkel in het eindproduct onder de 0,1%-drempel blijft. (Fact Sheet Ash 2025, §1; SVHC Guidance v2.1, §2.3)</w:t>
      </w:r>
    </w:p>
    <w:p>
      <w:pPr>
        <w:spacing w:after="120"/>
      </w:pPr>
      <w:r>
        <w:rPr>
          <w:sz w:val="20"/>
        </w:rPr>
        <w:t>Monitoring-verplichting: PM dient de ECHA-kandidatenlijst minimaal tweemaal per jaar te raadplegen en de Chemicals Master bij te werken. (Chemicals Master v2.1.0; SVHC Guidance v2.1, §4)</w:t>
      </w:r>
    </w:p>
    <w:p>
      <w:pPr>
        <w:pStyle w:val="Heading1"/>
      </w:pPr>
      <w:r>
        <w:rPr>
          <w:color w:val="003366"/>
        </w:rPr>
        <w:t>8 Datadeling — SIEF en Consortium</w:t>
      </w:r>
    </w:p>
    <w:p>
      <w:pPr>
        <w:spacing w:after="120"/>
      </w:pPr>
      <w:r>
        <w:rPr>
          <w:sz w:val="20"/>
        </w:rPr>
        <w:t>REACH artikel 26 verplicht (potentiële) registranten om deel te nemen aan een SIEF (Substance Information Exchange Forum) voor stoffen die vooraf zijn geregistreerd. In een SIEF delen deelnemers bestaande data en verdelen zij de kosten van nieuwe testen. (Richtsnoer Gezamenlijk Gebruik van Gegevens v4.1, §1.2)</w:t>
      </w:r>
    </w:p>
    <w:p>
      <w:pPr>
        <w:spacing w:after="120"/>
      </w:pPr>
      <w:r>
        <w:rPr>
          <w:sz w:val="20"/>
        </w:rPr>
        <w:t>Voor PM:</w:t>
      </w:r>
    </w:p>
    <w:p>
      <w:pPr>
        <w:pStyle w:val="ListBullet"/>
        <w:ind w:left="720"/>
      </w:pPr>
      <w:r>
        <w:rPr>
          <w:sz w:val="20"/>
        </w:rPr>
        <w:t>H₂SO₄: Al breed geregistreerd; PM kan aansluiten bij het bestaande SIEF/consortium. (Data Sharing Guidance v4.1, §2.1)</w:t>
      </w:r>
    </w:p>
    <w:p>
      <w:pPr>
        <w:pStyle w:val="ListBullet"/>
        <w:ind w:left="720"/>
      </w:pPr>
      <w:r>
        <w:rPr>
          <w:sz w:val="20"/>
        </w:rPr>
        <w:t>NaOH: Idem — breed geregistreerd, bestaand SIEF beschikbaar. (Data Sharing Guidance v4.1, §2.1)</w:t>
      </w:r>
    </w:p>
    <w:p>
      <w:pPr>
        <w:pStyle w:val="ListBullet"/>
        <w:ind w:left="720"/>
      </w:pPr>
      <w:r>
        <w:rPr>
          <w:sz w:val="20"/>
        </w:rPr>
        <w:t>Vanadiumelektrolyt (UVCB): Geen bestaand SIEF. PM moet zelf een dossier opbouwen of een nieuw SIEF initiëren indien andere partijen dezelfde stof produceren. (Data Sharing Guidance v4.1, §3.1)</w:t>
      </w:r>
    </w:p>
    <w:p>
      <w:pPr>
        <w:pStyle w:val="ListBullet"/>
        <w:ind w:left="720"/>
      </w:pPr>
      <w:r>
        <w:rPr>
          <w:sz w:val="20"/>
        </w:rPr>
        <w:t>V₂O₅: Bestaand SIEF beschikbaar via ECHA. (Data Sharing Guidance v4.1, §2.2)</w:t>
      </w:r>
    </w:p>
    <w:p>
      <w:pPr>
        <w:spacing w:after="120"/>
      </w:pPr>
      <w:r>
        <w:rPr>
          <w:sz w:val="20"/>
        </w:rPr>
        <w:t>Kostenverdeling: PM dient een 'Letter of Access' of 'Data Sharing Agreement' af te sluiten met bestaande registranten voor de stoffen die reeds zijn geregistreerd. (Data Sharing Guidance v4.1, §4.2)</w:t>
      </w:r>
    </w:p>
    <w:p>
      <w:pPr>
        <w:pStyle w:val="Heading1"/>
      </w:pPr>
      <w:r>
        <w:rPr>
          <w:color w:val="003366"/>
        </w:rPr>
        <w:t>9 Autorisatie — SRPV-Relevantie</w:t>
      </w:r>
    </w:p>
    <w:p>
      <w:pPr>
        <w:spacing w:after="120"/>
      </w:pPr>
      <w:r>
        <w:rPr>
          <w:sz w:val="20"/>
        </w:rPr>
        <w:t>Het REACH-autorisatieproces (Titel VII) is van toepassing op SVHC's die zijn opgenomen in Bijlage XIV. Een bedrijf dat een dergelijke stof gebruikt, moet een autorisatieaanvraag indienen, tenzij het gebruik is vrijgesteld. (How to Apply for Authorisation, §1.1)</w:t>
      </w:r>
    </w:p>
    <w:p>
      <w:pPr>
        <w:spacing w:after="120"/>
      </w:pPr>
      <w:r>
        <w:rPr>
          <w:sz w:val="20"/>
        </w:rPr>
        <w:t>Voor PM is autorisatie potentieel relevant indien: (a) vanadiumpentoxide (V₂O₅) wordt opgenomen in Bijlage XIV, of (b) andere vanadiumverbindingen in het proces SVHC-status krijgen en op de autorisatielijst worden geplaatst. In dat geval moet PM een aanvraag indienen op basis van een Socio-Economische Analyse (SEA) of een 'Suitability for Risk Management Measures' (SRPV)-route. (How to Apply for Authorisation, §2.1–2.3)</w:t>
      </w:r>
    </w:p>
    <w:p>
      <w:pPr>
        <w:spacing w:after="120"/>
      </w:pPr>
      <w:r>
        <w:rPr>
          <w:sz w:val="20"/>
        </w:rPr>
        <w:t>Actie: Monitor de Bijlage XIV-lijst. Indien autorisatie vereist wordt, start dan minimaal 18 maanden voor de deadline ('sunset date') met de voorbereiding van een aanvraag. (How to Apply for Authorisation, §1.2)</w:t>
      </w:r>
    </w:p>
    <w:p>
      <w:pPr>
        <w:pStyle w:val="Heading1"/>
      </w:pPr>
      <w:r>
        <w:rPr>
          <w:color w:val="003366"/>
        </w:rPr>
        <w:t>10 CLH-procedure — Vanadiumverbindingen</w:t>
      </w:r>
    </w:p>
    <w:p>
      <w:pPr>
        <w:spacing w:after="120"/>
      </w:pPr>
      <w:r>
        <w:rPr>
          <w:sz w:val="20"/>
        </w:rPr>
        <w:t>De CLH-procedure (Classification, Labelling and Packaging — Harmonised Classification) leidt tot een EU-brede geharmoniseerde classificatie voor stoffen die bijzondere zorg vereisen, met name CMR-stoffen. Een lidstaat of ECHA kan een CLH-voorstel indienen. (How to Submit a CLH Dossier, §1.2–1.3)</w:t>
      </w:r>
    </w:p>
    <w:p>
      <w:pPr>
        <w:spacing w:after="120"/>
      </w:pPr>
      <w:r>
        <w:rPr>
          <w:sz w:val="20"/>
        </w:rPr>
        <w:t>Voor PM is dit relevant omdat vanadiumverbindingen momenteel onderwerp zijn van evaluatie. Indien een geharmoniseerde classificatie wordt vastgesteld, moet PM zijn zelfclassificatie aanpassen en de etikettering van het eindproduct wijzigen. Dit kan ook gevolgen hebben voor de SVHC-status en autorisatievereisten. (How to Submit a CLH Dossier, §2.1; CLP Basisgids, §3)</w:t>
      </w:r>
    </w:p>
    <w:p>
      <w:pPr>
        <w:pStyle w:val="Heading1"/>
      </w:pPr>
      <w:r>
        <w:rPr>
          <w:color w:val="003366"/>
        </w:rPr>
        <w:t>11 Vergunningeisen</w:t>
      </w:r>
    </w:p>
    <w:p>
      <w:pPr>
        <w:pStyle w:val="Heading2"/>
      </w:pPr>
      <w:r>
        <w:rPr>
          <w:color w:val="003366"/>
        </w:rPr>
        <w:t>11.1 Omgevingsvergunning</w:t>
      </w:r>
    </w:p>
    <w:p>
      <w:pPr>
        <w:spacing w:after="120"/>
      </w:pPr>
      <w:r>
        <w:rPr>
          <w:sz w:val="20"/>
        </w:rPr>
        <w:t>De pilot plant op de Westerduinweg 3 te IJmuiden vereist een omgevingsvergunning milieubelastende activiteit. Op basis van het vooroverleg met OD IJmond (23 september 2023) is vastgesteld dat de pilotfase (80–120 ton/jaar) waarschijnlijk niet kwalificeert als 'chemische industrie' in de zin van het RIE (hoofdstuk 4), gelet op de beperkte omvang. Echter, categorie 2.5 en 2.6 van het RIE dienen te worden gecontroleerd. (Verslag vooroverleg, §RIE-activiteit; Haalbaarheidsstudie Arcadis V04, §2.2)</w:t>
      </w:r>
    </w:p>
    <w:p>
      <w:pPr>
        <w:pStyle w:val="Heading2"/>
      </w:pPr>
      <w:r>
        <w:rPr>
          <w:color w:val="003366"/>
        </w:rPr>
        <w:t>11.2 BRZO / Seveso</w:t>
      </w:r>
    </w:p>
    <w:p>
      <w:pPr>
        <w:spacing w:after="120"/>
      </w:pPr>
      <w:r>
        <w:rPr>
          <w:sz w:val="20"/>
        </w:rPr>
        <w:t>Het BRZO 2015 (Besluit Risico's Zware Ongevallen) implementeert de Seveso III-richtlijn. De toepasselijkheid hangt af van de hoeveelheden gevaarlijke stoffen op de locatie. Voor de pilotfase met beperkte hoeveelheden NaOH en H₂SO₄ is BRZO waarschijnlijk niet van toepassing. Bij opschaling naar commerciële productie (7.200 ton H₂SO₄/jaar) moet BRZO worden geëvalueerd. (BRZO Elementen en VBS overzicht; Haalbaarheidsstudie Arcadis V04, §2.3)</w:t>
      </w:r>
    </w:p>
    <w:p>
      <w:pPr>
        <w:pStyle w:val="Heading2"/>
      </w:pPr>
      <w:r>
        <w:rPr>
          <w:color w:val="003366"/>
        </w:rPr>
        <w:t>11.3 ADR-vervoer</w:t>
      </w:r>
    </w:p>
    <w:p>
      <w:pPr>
        <w:spacing w:after="120"/>
      </w:pPr>
      <w:r>
        <w:rPr>
          <w:sz w:val="20"/>
        </w:rPr>
        <w:t>De meeste door PM gebruikte en geproduceerde stoffen vallen onder ADR-klasse 8 (corrosieve stoffen). PM moet ervoor zorgen dat: (a) alle vervoerders beschikken over ADR-certificering, (b) de verpakking voldoet aan de PG II- of PG III-eisen, en (c) de documentatie compleet is (vrachtbrief, veiligheidsinformatieblad, instructieschrift). (Chemicals Master v2.1.0; Uitgangspuntendocument, §1)</w:t>
      </w:r>
    </w:p>
    <w:p>
      <w:pPr>
        <w:pStyle w:val="Heading1"/>
      </w:pPr>
      <w:r>
        <w:rPr>
          <w:color w:val="003366"/>
        </w:rPr>
        <w:t>12 Supply Chain — SDS- en Communicatieverplichtingen</w:t>
      </w:r>
    </w:p>
    <w:p>
      <w:pPr>
        <w:pStyle w:val="Heading2"/>
      </w:pPr>
      <w:r>
        <w:rPr>
          <w:color w:val="003366"/>
        </w:rPr>
        <w:t>12.1 Veiligheidsinformatiebladen (SDS)</w:t>
      </w:r>
    </w:p>
    <w:p>
      <w:pPr>
        <w:spacing w:after="120"/>
      </w:pPr>
      <w:r>
        <w:rPr>
          <w:sz w:val="20"/>
        </w:rPr>
        <w:t>REACH artikel 31 verplicht leveranciers van gevaarlijke stoffen om een veiligheidsinformatieblad (SDS) te verstrekken. Een SDS bestaat uit 16 secties conform Bijlage II van REACH. Voor stoffen die boven de 10 ton/jaar worden geproduceerd, moet een uitgebreid SDS (e-SDS) met blootstellingsscenario's worden opgesteld. (Richtsnoer SDS v4.0, §1.1–1.2)</w:t>
      </w:r>
    </w:p>
    <w:p>
      <w:pPr>
        <w:spacing w:after="120"/>
      </w:pPr>
      <w:r>
        <w:rPr>
          <w:sz w:val="20"/>
        </w:rPr>
        <w:t>PM moet SDS'en beschikbaar hebben voor:</w:t>
      </w:r>
    </w:p>
    <w:p>
      <w:pPr>
        <w:pStyle w:val="ListBullet"/>
        <w:ind w:left="720"/>
      </w:pPr>
      <w:r>
        <w:rPr>
          <w:sz w:val="20"/>
        </w:rPr>
        <w:t>Alle ingaande stoffen (verkregen van leveranciers: Carl Roth voor NaOH/H₂SO₄)</w:t>
      </w:r>
    </w:p>
    <w:p>
      <w:pPr>
        <w:pStyle w:val="ListBullet"/>
        <w:ind w:left="720"/>
      </w:pPr>
      <w:r>
        <w:rPr>
          <w:sz w:val="20"/>
        </w:rPr>
        <w:t>Het uitgaande product (vanadiumelektrolyt): PM moet zelf een SDS opstellen</w:t>
      </w:r>
    </w:p>
    <w:p>
      <w:pPr>
        <w:pStyle w:val="ListBullet"/>
        <w:ind w:left="720"/>
      </w:pPr>
      <w:r>
        <w:rPr>
          <w:sz w:val="20"/>
        </w:rPr>
        <w:t>Nevenproducten (gips, filtratiemateriaal): SDS indien deze als product worden afgezet</w:t>
      </w:r>
    </w:p>
    <w:p>
      <w:pPr>
        <w:pStyle w:val="Heading2"/>
      </w:pPr>
      <w:r>
        <w:rPr>
          <w:color w:val="003366"/>
        </w:rPr>
        <w:t>12.2 Downstream gebruikers</w:t>
      </w:r>
    </w:p>
    <w:p>
      <w:pPr>
        <w:spacing w:after="120"/>
      </w:pPr>
      <w:r>
        <w:rPr>
          <w:sz w:val="20"/>
        </w:rPr>
        <w:t>Als downstream gebruiker (DU) van H₂SO₄, NaOH en V₂O₅ moet PM controleren of het gebruik is gedekt door de blootstellingsscenario's in de ontvangen SDS'en. Indien niet, moet PM een eigen Chemische Veiligheidsbeoordeling (CSA) uitvoeren of de leverancier verzoeken het blootstellingsscenario uit te breiden. (Wegwijzer 13 — Downstreamgebruikers, §1; SDS Guidance v4.0, §3.22)</w:t>
      </w:r>
    </w:p>
    <w:p>
      <w:pPr>
        <w:pStyle w:val="Heading1"/>
      </w:pPr>
      <w:r>
        <w:rPr>
          <w:color w:val="003366"/>
        </w:rPr>
        <w:t>13 Strategisch Actieplan — 8 Acties</w:t>
      </w:r>
    </w:p>
    <w:p>
      <w:pPr>
        <w:spacing w:after="120"/>
      </w:pPr>
      <w:r>
        <w:rPr>
          <w:sz w:val="20"/>
        </w:rPr>
        <w:t>Het onderstaande actieplan is gebaseerd op de analyse in dit kennisdossier en is gericht op het tijdig en compliant realiseren van de REACH-verplichtingen van Phoenix Metals.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pPr>
              <w:jc w:val="left"/>
            </w:pPr>
            <w:r/>
            <w:r>
              <w:rPr>
                <w:b/>
                <w:color w:val="FFFFFF"/>
                <w:sz w:val="18"/>
              </w:rPr>
              <w:t>Actie</w:t>
            </w:r>
          </w:p>
        </w:tc>
        <w:tc>
          <w:tcPr>
            <w:tcW w:type="dxa" w:w="1881"/>
            <w:shd w:fill="003366"/>
          </w:tcPr>
          <w:p>
            <w:pPr>
              <w:jc w:val="left"/>
            </w:pPr>
            <w:r/>
            <w:r>
              <w:rPr>
                <w:b/>
                <w:color w:val="FFFFFF"/>
                <w:sz w:val="18"/>
              </w:rPr>
              <w:t>Titel</w:t>
            </w:r>
          </w:p>
        </w:tc>
        <w:tc>
          <w:tcPr>
            <w:tcW w:type="dxa" w:w="1881"/>
            <w:shd w:fill="003366"/>
          </w:tcPr>
          <w:p>
            <w:pPr>
              <w:jc w:val="left"/>
            </w:pPr>
            <w:r/>
            <w:r>
              <w:rPr>
                <w:b/>
                <w:color w:val="FFFFFF"/>
                <w:sz w:val="18"/>
              </w:rPr>
              <w:t>Deadline</w:t>
            </w:r>
          </w:p>
        </w:tc>
        <w:tc>
          <w:tcPr>
            <w:tcW w:type="dxa" w:w="1881"/>
            <w:shd w:fill="003366"/>
          </w:tcPr>
          <w:p>
            <w:pPr>
              <w:jc w:val="left"/>
            </w:pPr>
            <w:r/>
            <w:r>
              <w:rPr>
                <w:b/>
                <w:color w:val="FFFFFF"/>
                <w:sz w:val="18"/>
              </w:rPr>
              <w:t>Verantwoordelijke</w:t>
            </w:r>
          </w:p>
        </w:tc>
        <w:tc>
          <w:tcPr>
            <w:tcW w:type="dxa" w:w="1881"/>
            <w:shd w:fill="003366"/>
          </w:tcPr>
          <w:p>
            <w:pPr>
              <w:jc w:val="left"/>
            </w:pPr>
            <w:r/>
            <w:r>
              <w:rPr>
                <w:b/>
                <w:color w:val="FFFFFF"/>
                <w:sz w:val="18"/>
              </w:rPr>
              <w:t>Details / Bronverwijzing</w:t>
            </w:r>
          </w:p>
        </w:tc>
      </w:tr>
      <w:tr>
        <w:tc>
          <w:tcPr>
            <w:tcW w:type="dxa" w:w="1881"/>
          </w:tcPr>
          <w:p>
            <w:r>
              <w:rPr>
                <w:sz w:val="18"/>
              </w:rPr>
              <w:t>A1</w:t>
            </w:r>
          </w:p>
        </w:tc>
        <w:tc>
          <w:tcPr>
            <w:tcW w:type="dxa" w:w="1881"/>
          </w:tcPr>
          <w:p>
            <w:r>
              <w:rPr>
                <w:sz w:val="18"/>
              </w:rPr>
              <w:t>Stofidentificatie &amp; SIP ontwikkeling</w:t>
            </w:r>
          </w:p>
        </w:tc>
        <w:tc>
          <w:tcPr>
            <w:tcW w:type="dxa" w:w="1881"/>
          </w:tcPr>
          <w:p>
            <w:r>
              <w:rPr>
                <w:sz w:val="18"/>
              </w:rPr>
              <w:t>Q2 2026</w:t>
            </w:r>
          </w:p>
        </w:tc>
        <w:tc>
          <w:tcPr>
            <w:tcW w:type="dxa" w:w="1881"/>
          </w:tcPr>
          <w:p>
            <w:r>
              <w:rPr>
                <w:sz w:val="18"/>
              </w:rPr>
              <w:t>HSE Manager / Toxicoloog</w:t>
            </w:r>
          </w:p>
        </w:tc>
        <w:tc>
          <w:tcPr>
            <w:tcW w:type="dxa" w:w="1881"/>
          </w:tcPr>
          <w:p>
            <w:r>
              <w:rPr>
                <w:sz w:val="18"/>
              </w:rPr>
              <w:t>Ontwikkel SIP voor vanadiumelektrolyt (UVCB). Bepaal grenssamenstellingen en karak- teriseringsmethoden. (Bron 03, 07)</w:t>
            </w:r>
          </w:p>
        </w:tc>
      </w:tr>
      <w:tr>
        <w:tc>
          <w:tcPr>
            <w:tcW w:type="dxa" w:w="1881"/>
            <w:shd w:fill="E8EDF2"/>
          </w:tcPr>
          <w:p>
            <w:r>
              <w:rPr>
                <w:sz w:val="18"/>
              </w:rPr>
              <w:t>A2</w:t>
            </w:r>
          </w:p>
        </w:tc>
        <w:tc>
          <w:tcPr>
            <w:tcW w:type="dxa" w:w="1881"/>
            <w:shd w:fill="E8EDF2"/>
          </w:tcPr>
          <w:p>
            <w:r>
              <w:rPr>
                <w:sz w:val="18"/>
              </w:rPr>
              <w:t>EoW-dossier voorbereiding</w:t>
            </w:r>
          </w:p>
        </w:tc>
        <w:tc>
          <w:tcPr>
            <w:tcW w:type="dxa" w:w="1881"/>
            <w:shd w:fill="E8EDF2"/>
          </w:tcPr>
          <w:p>
            <w:r>
              <w:rPr>
                <w:sz w:val="18"/>
              </w:rPr>
              <w:t>Q3 2026</w:t>
            </w:r>
          </w:p>
        </w:tc>
        <w:tc>
          <w:tcPr>
            <w:tcW w:type="dxa" w:w="1881"/>
            <w:shd w:fill="E8EDF2"/>
          </w:tcPr>
          <w:p>
            <w:r>
              <w:rPr>
                <w:sz w:val="18"/>
              </w:rPr>
              <w:t>HSE Manager / Jurist</w:t>
            </w:r>
          </w:p>
        </w:tc>
        <w:tc>
          <w:tcPr>
            <w:tcW w:type="dxa" w:w="1881"/>
            <w:shd w:fill="E8EDF2"/>
          </w:tcPr>
          <w:p>
            <w:r>
              <w:rPr>
                <w:sz w:val="18"/>
              </w:rPr>
              <w:t>Bereid een End-of-Waste dossier voor de uitgaande producten voor, inclusief aantoon- bare marktvraag en productkwaliteit. (Bron 01, 09)</w:t>
            </w:r>
          </w:p>
        </w:tc>
      </w:tr>
      <w:tr>
        <w:tc>
          <w:tcPr>
            <w:tcW w:type="dxa" w:w="1881"/>
          </w:tcPr>
          <w:p>
            <w:r>
              <w:rPr>
                <w:sz w:val="18"/>
              </w:rPr>
              <w:t>A3</w:t>
            </w:r>
          </w:p>
        </w:tc>
        <w:tc>
          <w:tcPr>
            <w:tcW w:type="dxa" w:w="1881"/>
          </w:tcPr>
          <w:p>
            <w:r>
              <w:rPr>
                <w:sz w:val="18"/>
              </w:rPr>
              <w:t>SIEF-lidmaatschap en datadeling</w:t>
            </w:r>
          </w:p>
        </w:tc>
        <w:tc>
          <w:tcPr>
            <w:tcW w:type="dxa" w:w="1881"/>
          </w:tcPr>
          <w:p>
            <w:r>
              <w:rPr>
                <w:sz w:val="18"/>
              </w:rPr>
              <w:t>Q2 2026</w:t>
            </w:r>
          </w:p>
        </w:tc>
        <w:tc>
          <w:tcPr>
            <w:tcW w:type="dxa" w:w="1881"/>
          </w:tcPr>
          <w:p>
            <w:r>
              <w:rPr>
                <w:sz w:val="18"/>
              </w:rPr>
              <w:t>HSE Manager</w:t>
            </w:r>
          </w:p>
        </w:tc>
        <w:tc>
          <w:tcPr>
            <w:tcW w:type="dxa" w:w="1881"/>
          </w:tcPr>
          <w:p>
            <w:r>
              <w:rPr>
                <w:sz w:val="18"/>
              </w:rPr>
              <w:t>Sluit aan bij bestaande SIEF's voor H₂SO₄, NaOH en V₂O₅. Sluit Data Sharing Agreements af. (Bron 13)</w:t>
            </w:r>
          </w:p>
        </w:tc>
      </w:tr>
      <w:tr>
        <w:tc>
          <w:tcPr>
            <w:tcW w:type="dxa" w:w="1881"/>
            <w:shd w:fill="E8EDF2"/>
          </w:tcPr>
          <w:p>
            <w:r>
              <w:rPr>
                <w:sz w:val="18"/>
              </w:rPr>
              <w:t>A4</w:t>
            </w:r>
          </w:p>
        </w:tc>
        <w:tc>
          <w:tcPr>
            <w:tcW w:type="dxa" w:w="1881"/>
            <w:shd w:fill="E8EDF2"/>
          </w:tcPr>
          <w:p>
            <w:r>
              <w:rPr>
                <w:sz w:val="18"/>
              </w:rPr>
              <w:t>Registratiedossier voorbereiden</w:t>
            </w:r>
          </w:p>
        </w:tc>
        <w:tc>
          <w:tcPr>
            <w:tcW w:type="dxa" w:w="1881"/>
            <w:shd w:fill="E8EDF2"/>
          </w:tcPr>
          <w:p>
            <w:r>
              <w:rPr>
                <w:sz w:val="18"/>
              </w:rPr>
              <w:t>Q4 2026</w:t>
            </w:r>
          </w:p>
        </w:tc>
        <w:tc>
          <w:tcPr>
            <w:tcW w:type="dxa" w:w="1881"/>
            <w:shd w:fill="E8EDF2"/>
          </w:tcPr>
          <w:p>
            <w:r>
              <w:rPr>
                <w:sz w:val="18"/>
              </w:rPr>
              <w:t>HSE Manager / Registrar</w:t>
            </w:r>
          </w:p>
        </w:tc>
        <w:tc>
          <w:tcPr>
            <w:tcW w:type="dxa" w:w="1881"/>
            <w:shd w:fill="E8EDF2"/>
          </w:tcPr>
          <w:p>
            <w:r>
              <w:rPr>
                <w:sz w:val="18"/>
              </w:rPr>
              <w:t>Start IUCLID-dossier voor vanadiumelektrolyt. Verzamel Bijlage VII-data. Engageer een OR (Only Representative) indien nodig. (Bron 02)</w:t>
            </w:r>
          </w:p>
        </w:tc>
      </w:tr>
      <w:tr>
        <w:tc>
          <w:tcPr>
            <w:tcW w:type="dxa" w:w="1881"/>
          </w:tcPr>
          <w:p>
            <w:r>
              <w:rPr>
                <w:sz w:val="18"/>
              </w:rPr>
              <w:t>A5</w:t>
            </w:r>
          </w:p>
        </w:tc>
        <w:tc>
          <w:tcPr>
            <w:tcW w:type="dxa" w:w="1881"/>
          </w:tcPr>
          <w:p>
            <w:r>
              <w:rPr>
                <w:sz w:val="18"/>
              </w:rPr>
              <w:t>SVHC-monitoring systeem</w:t>
            </w:r>
          </w:p>
        </w:tc>
        <w:tc>
          <w:tcPr>
            <w:tcW w:type="dxa" w:w="1881"/>
          </w:tcPr>
          <w:p>
            <w:r>
              <w:rPr>
                <w:sz w:val="18"/>
              </w:rPr>
              <w:t>Q2 2026</w:t>
            </w:r>
          </w:p>
        </w:tc>
        <w:tc>
          <w:tcPr>
            <w:tcW w:type="dxa" w:w="1881"/>
          </w:tcPr>
          <w:p>
            <w:r>
              <w:rPr>
                <w:sz w:val="18"/>
              </w:rPr>
              <w:t>HSE Manager</w:t>
            </w:r>
          </w:p>
        </w:tc>
        <w:tc>
          <w:tcPr>
            <w:tcW w:type="dxa" w:w="1881"/>
          </w:tcPr>
          <w:p>
            <w:r>
              <w:rPr>
                <w:sz w:val="18"/>
              </w:rPr>
              <w:t>Implementeer kwartaalcontrole van de ECHA-kandidatenlijst. Werk Chemicals Master bij. (Bron 04, 26)</w:t>
            </w:r>
          </w:p>
        </w:tc>
      </w:tr>
      <w:tr>
        <w:tc>
          <w:tcPr>
            <w:tcW w:type="dxa" w:w="1881"/>
            <w:shd w:fill="E8EDF2"/>
          </w:tcPr>
          <w:p>
            <w:r>
              <w:rPr>
                <w:sz w:val="18"/>
              </w:rPr>
              <w:t>A6</w:t>
            </w:r>
          </w:p>
        </w:tc>
        <w:tc>
          <w:tcPr>
            <w:tcW w:type="dxa" w:w="1881"/>
            <w:shd w:fill="E8EDF2"/>
          </w:tcPr>
          <w:p>
            <w:r>
              <w:rPr>
                <w:sz w:val="18"/>
              </w:rPr>
              <w:t>SDS-ontwikkeling voor uitgaande producten</w:t>
            </w:r>
          </w:p>
        </w:tc>
        <w:tc>
          <w:tcPr>
            <w:tcW w:type="dxa" w:w="1881"/>
            <w:shd w:fill="E8EDF2"/>
          </w:tcPr>
          <w:p>
            <w:r>
              <w:rPr>
                <w:sz w:val="18"/>
              </w:rPr>
              <w:t>Q3 2026</w:t>
            </w:r>
          </w:p>
        </w:tc>
        <w:tc>
          <w:tcPr>
            <w:tcW w:type="dxa" w:w="1881"/>
            <w:shd w:fill="E8EDF2"/>
          </w:tcPr>
          <w:p>
            <w:r>
              <w:rPr>
                <w:sz w:val="18"/>
              </w:rPr>
              <w:t>HSE Manager / Milieuadviseur</w:t>
            </w:r>
          </w:p>
        </w:tc>
        <w:tc>
          <w:tcPr>
            <w:tcW w:type="dxa" w:w="1881"/>
            <w:shd w:fill="E8EDF2"/>
          </w:tcPr>
          <w:p>
            <w:r>
              <w:rPr>
                <w:sz w:val="18"/>
              </w:rPr>
              <w:t>Stel SDS op voor vanadiumelektrolyt conform REACH Bijlage II. (Bron 05)</w:t>
            </w:r>
          </w:p>
        </w:tc>
      </w:tr>
      <w:tr>
        <w:tc>
          <w:tcPr>
            <w:tcW w:type="dxa" w:w="1881"/>
          </w:tcPr>
          <w:p>
            <w:r>
              <w:rPr>
                <w:sz w:val="18"/>
              </w:rPr>
              <w:t>A7</w:t>
            </w:r>
          </w:p>
        </w:tc>
        <w:tc>
          <w:tcPr>
            <w:tcW w:type="dxa" w:w="1881"/>
          </w:tcPr>
          <w:p>
            <w:r>
              <w:rPr>
                <w:sz w:val="18"/>
              </w:rPr>
              <w:t>Vergunningtraject initiëren</w:t>
            </w:r>
          </w:p>
        </w:tc>
        <w:tc>
          <w:tcPr>
            <w:tcW w:type="dxa" w:w="1881"/>
          </w:tcPr>
          <w:p>
            <w:r>
              <w:rPr>
                <w:sz w:val="18"/>
              </w:rPr>
              <w:t>Q2 2026</w:t>
            </w:r>
          </w:p>
        </w:tc>
        <w:tc>
          <w:tcPr>
            <w:tcW w:type="dxa" w:w="1881"/>
          </w:tcPr>
          <w:p>
            <w:r>
              <w:rPr>
                <w:sz w:val="18"/>
              </w:rPr>
              <w:t>Manager Operations / Arcadis</w:t>
            </w:r>
          </w:p>
        </w:tc>
        <w:tc>
          <w:tcPr>
            <w:tcW w:type="dxa" w:w="1881"/>
          </w:tcPr>
          <w:p>
            <w:r>
              <w:rPr>
                <w:sz w:val="18"/>
              </w:rPr>
              <w:t>Start omgevingsvergunningaanvraag via gemeente Velsen. Betrek BRZO-analyse bij opschaling. (Bron 39–41, 47)</w:t>
            </w:r>
          </w:p>
        </w:tc>
      </w:tr>
      <w:tr>
        <w:tc>
          <w:tcPr>
            <w:tcW w:type="dxa" w:w="1881"/>
            <w:shd w:fill="E8EDF2"/>
          </w:tcPr>
          <w:p>
            <w:r>
              <w:rPr>
                <w:sz w:val="18"/>
              </w:rPr>
              <w:t>A8</w:t>
            </w:r>
          </w:p>
        </w:tc>
        <w:tc>
          <w:tcPr>
            <w:tcW w:type="dxa" w:w="1881"/>
            <w:shd w:fill="E8EDF2"/>
          </w:tcPr>
          <w:p>
            <w:r>
              <w:rPr>
                <w:sz w:val="18"/>
              </w:rPr>
              <w:t>CLH- en autorisatiewake</w:t>
            </w:r>
          </w:p>
        </w:tc>
        <w:tc>
          <w:tcPr>
            <w:tcW w:type="dxa" w:w="1881"/>
            <w:shd w:fill="E8EDF2"/>
          </w:tcPr>
          <w:p>
            <w:r>
              <w:rPr>
                <w:sz w:val="18"/>
              </w:rPr>
              <w:t>Q2 2026 (voortdurend)</w:t>
            </w:r>
          </w:p>
        </w:tc>
        <w:tc>
          <w:tcPr>
            <w:tcW w:type="dxa" w:w="1881"/>
            <w:shd w:fill="E8EDF2"/>
          </w:tcPr>
          <w:p>
            <w:r>
              <w:rPr>
                <w:sz w:val="18"/>
              </w:rPr>
              <w:t>HSE Manager</w:t>
            </w:r>
          </w:p>
        </w:tc>
        <w:tc>
          <w:tcPr>
            <w:tcW w:type="dxa" w:w="1881"/>
            <w:shd w:fill="E8EDF2"/>
          </w:tcPr>
          <w:p>
            <w:r>
              <w:rPr>
                <w:sz w:val="18"/>
              </w:rPr>
              <w:t>Monitor CLH-ontwikkelingen voor vanadiumverbindingen en autorisatielijst. (Bron 12, 14)</w:t>
            </w:r>
          </w:p>
        </w:tc>
      </w:tr>
    </w:tbl>
    <w:p/>
    <w:p>
      <w:pPr>
        <w:pStyle w:val="Heading1"/>
      </w:pPr>
      <w:r>
        <w:rPr>
          <w:color w:val="003366"/>
        </w:rPr>
        <w:t>14 Referenties</w:t>
      </w:r>
    </w:p>
    <w:p>
      <w:pPr>
        <w:spacing w:after="120"/>
      </w:pPr>
      <w:r>
        <w:rPr>
          <w:sz w:val="20"/>
        </w:rPr>
        <w:t>Alle in dit dossier geraadpleegde bronnen:</w:t>
      </w:r>
    </w:p>
    <w:p>
      <w:pPr>
        <w:pStyle w:val="ListBullet"/>
        <w:ind w:left="720"/>
      </w:pPr>
      <w:r>
        <w:rPr>
          <w:sz w:val="20"/>
        </w:rPr>
        <w:t>[01]: REACH Basis — Kern REACH/CLP-kader, OSOR-principe, stofidentificatie, ECHA-rol, PCN/UFI</w:t>
      </w:r>
    </w:p>
    <w:p>
      <w:pPr>
        <w:pStyle w:val="ListBullet"/>
        <w:ind w:left="720"/>
      </w:pPr>
      <w:r>
        <w:rPr>
          <w:sz w:val="20"/>
        </w:rPr>
        <w:t>[02]: ECHA Richtsnoer voor Registratie, v4.0, augustus 2021 — Registratieplicht, vrijstellingen, tonnage-berekening</w:t>
      </w:r>
    </w:p>
    <w:p>
      <w:pPr>
        <w:pStyle w:val="ListBullet"/>
        <w:ind w:left="720"/>
      </w:pPr>
      <w:r>
        <w:rPr>
          <w:sz w:val="20"/>
        </w:rPr>
        <w:t>[03]: Richtsnoer voor identificatie en naamgeving van stoffen volgens REACH en CLP, v3.0, december 2023</w:t>
      </w:r>
    </w:p>
    <w:p>
      <w:pPr>
        <w:pStyle w:val="ListBullet"/>
        <w:ind w:left="720"/>
      </w:pPr>
      <w:r>
        <w:rPr>
          <w:sz w:val="20"/>
        </w:rPr>
        <w:t>[04]: Guidance on the preparation of an Annex XV dossier for SVHC identification, v2.1, oktober 2018</w:t>
      </w:r>
    </w:p>
    <w:p>
      <w:pPr>
        <w:pStyle w:val="ListBullet"/>
        <w:ind w:left="720"/>
      </w:pPr>
      <w:r>
        <w:rPr>
          <w:sz w:val="20"/>
        </w:rPr>
        <w:t>[05]: Richtsnoer voor het samenstellen van veiligheidsinformatiebladen, v4.0, december 2020</w:t>
      </w:r>
    </w:p>
    <w:p>
      <w:pPr>
        <w:pStyle w:val="ListBullet"/>
        <w:ind w:left="720"/>
      </w:pPr>
      <w:r>
        <w:rPr>
          <w:sz w:val="20"/>
        </w:rPr>
        <w:t>[06]: Veiligheid van chemische stoffen in uw bedrijf — Inleiding voor KMO's, ECHA 2015</w:t>
      </w:r>
    </w:p>
    <w:p>
      <w:pPr>
        <w:pStyle w:val="ListBullet"/>
        <w:ind w:left="720"/>
      </w:pPr>
      <w:r>
        <w:rPr>
          <w:sz w:val="20"/>
        </w:rPr>
        <w:t>[07]: Het voorbereiden en ontwikkelen van een stofidentiteitsprofiel (SIP), ECHA april 2018</w:t>
      </w:r>
    </w:p>
    <w:p>
      <w:pPr>
        <w:pStyle w:val="ListBullet"/>
        <w:ind w:left="720"/>
      </w:pPr>
      <w:r>
        <w:rPr>
          <w:sz w:val="20"/>
        </w:rPr>
        <w:t>[08]: Guidance on labelling and packaging (CLP), v4.2, maart 2021</w:t>
      </w:r>
    </w:p>
    <w:p>
      <w:pPr>
        <w:pStyle w:val="ListBullet"/>
        <w:ind w:left="720"/>
      </w:pPr>
      <w:r>
        <w:rPr>
          <w:sz w:val="20"/>
        </w:rPr>
        <w:t>[09]: Praktische Gids 13 — Downstreamgebruikers en blootstellingsscenario's, v2, mei 2016</w:t>
      </w:r>
    </w:p>
    <w:p>
      <w:pPr>
        <w:pStyle w:val="ListBullet"/>
        <w:ind w:left="720"/>
      </w:pPr>
      <w:r>
        <w:rPr>
          <w:sz w:val="20"/>
        </w:rPr>
        <w:t>[10]: Practical Guide 15 — Qualitative human health assessment, november 2012</w:t>
      </w:r>
    </w:p>
    <w:p>
      <w:pPr>
        <w:pStyle w:val="ListBullet"/>
        <w:ind w:left="720"/>
      </w:pPr>
      <w:r>
        <w:rPr>
          <w:sz w:val="20"/>
        </w:rPr>
        <w:t>[11]: Wegwijzer Gebruiken en melden van (Q)SAR's, v3.1, oktober 2016</w:t>
      </w:r>
    </w:p>
    <w:p>
      <w:pPr>
        <w:pStyle w:val="ListBullet"/>
        <w:ind w:left="720"/>
      </w:pPr>
      <w:r>
        <w:rPr>
          <w:sz w:val="20"/>
        </w:rPr>
        <w:t>[12]: How to submit a CLH dossier, ECHA juni 2022</w:t>
      </w:r>
    </w:p>
    <w:p>
      <w:pPr>
        <w:pStyle w:val="ListBullet"/>
        <w:ind w:left="720"/>
      </w:pPr>
      <w:r>
        <w:rPr>
          <w:sz w:val="20"/>
        </w:rPr>
        <w:t>[13]: Richtsnoer voor gezamenlijk gebruik van gegevens (SIEF/consortium), v4.1, december 2023</w:t>
      </w:r>
    </w:p>
    <w:p>
      <w:pPr>
        <w:pStyle w:val="ListBullet"/>
        <w:ind w:left="720"/>
      </w:pPr>
      <w:r>
        <w:rPr>
          <w:sz w:val="20"/>
        </w:rPr>
        <w:t>[14]: How to apply for authorisation, ECHA februari 2021</w:t>
      </w:r>
    </w:p>
    <w:p>
      <w:pPr>
        <w:pStyle w:val="ListBullet"/>
        <w:ind w:left="720"/>
      </w:pPr>
      <w:r>
        <w:rPr>
          <w:sz w:val="20"/>
        </w:rPr>
        <w:t>[15]: Basisgids Chemische Veiligheid — Begrijpen en Werken met CLP</w:t>
      </w:r>
    </w:p>
    <w:p>
      <w:pPr>
        <w:pStyle w:val="ListBullet"/>
        <w:ind w:left="720"/>
      </w:pPr>
      <w:r>
        <w:rPr>
          <w:sz w:val="20"/>
        </w:rPr>
        <w:t>[16]: Phoenix Metals — Motivatiebrief HSE Manager rol</w:t>
      </w:r>
    </w:p>
    <w:p>
      <w:pPr>
        <w:pStyle w:val="ListBullet"/>
        <w:ind w:left="720"/>
      </w:pPr>
      <w:r>
        <w:rPr>
          <w:sz w:val="20"/>
        </w:rPr>
        <w:t>[17]: Phoenix Metals — Voorbereidingsoverzicht (takenlijst)</w:t>
      </w:r>
    </w:p>
    <w:p>
      <w:pPr>
        <w:pStyle w:val="ListBullet"/>
        <w:ind w:left="720"/>
      </w:pPr>
      <w:r>
        <w:rPr>
          <w:sz w:val="20"/>
        </w:rPr>
        <w:t>[18]: Draft PvA opstart Phoenix R&amp;D</w:t>
      </w:r>
    </w:p>
    <w:p>
      <w:pPr>
        <w:pStyle w:val="ListBullet"/>
        <w:ind w:left="720"/>
      </w:pPr>
      <w:r>
        <w:rPr>
          <w:sz w:val="20"/>
        </w:rPr>
        <w:t>[19]: Haalbaarheidsstudie Phoenix Metals IJmuiden, Arcadis, 1 september 2025</w:t>
      </w:r>
    </w:p>
    <w:p>
      <w:pPr>
        <w:pStyle w:val="ListBullet"/>
        <w:ind w:left="720"/>
      </w:pPr>
      <w:r>
        <w:rPr>
          <w:sz w:val="20"/>
        </w:rPr>
        <w:t>[20]: Block Flow Diagram — visueel procesoverzicht</w:t>
      </w:r>
    </w:p>
    <w:p>
      <w:pPr>
        <w:pStyle w:val="ListBullet"/>
        <w:ind w:left="720"/>
      </w:pPr>
      <w:r>
        <w:rPr>
          <w:sz w:val="20"/>
        </w:rPr>
        <w:t>[21]: PFD — 1 Mil Plant Process Overview, P2-PFD-001-01 Rev.03</w:t>
      </w:r>
    </w:p>
    <w:p>
      <w:pPr>
        <w:pStyle w:val="ListBullet"/>
        <w:ind w:left="720"/>
      </w:pPr>
      <w:r>
        <w:rPr>
          <w:sz w:val="20"/>
        </w:rPr>
        <w:t>[22]: Plant Layout — overzicht installatie-indeling</w:t>
      </w:r>
    </w:p>
    <w:p>
      <w:pPr>
        <w:pStyle w:val="ListBullet"/>
        <w:ind w:left="720"/>
      </w:pPr>
      <w:r>
        <w:rPr>
          <w:sz w:val="20"/>
        </w:rPr>
        <w:t>[23–24]: Demo Process VR — procesbeschrijving demoplant (26 stappen)</w:t>
      </w:r>
    </w:p>
    <w:p>
      <w:pPr>
        <w:pStyle w:val="ListBullet"/>
        <w:ind w:left="720"/>
      </w:pPr>
      <w:r>
        <w:rPr>
          <w:sz w:val="20"/>
        </w:rPr>
        <w:t>[25]: Demo Layout — visuele indeling demoplant</w:t>
      </w:r>
    </w:p>
    <w:p>
      <w:pPr>
        <w:pStyle w:val="ListBullet"/>
        <w:ind w:left="720"/>
      </w:pPr>
      <w:r>
        <w:rPr>
          <w:sz w:val="20"/>
        </w:rPr>
        <w:t>[26]: Registration Chemicals MASTER v2.1.0 — Chemische stoffen register</w:t>
      </w:r>
    </w:p>
    <w:p>
      <w:pPr>
        <w:pStyle w:val="ListBullet"/>
        <w:ind w:left="720"/>
      </w:pPr>
      <w:r>
        <w:rPr>
          <w:sz w:val="20"/>
        </w:rPr>
        <w:t>[27]: SDS Vanadiumconcentraat</w:t>
      </w:r>
    </w:p>
    <w:p>
      <w:pPr>
        <w:pStyle w:val="ListBullet"/>
        <w:ind w:left="720"/>
      </w:pPr>
      <w:r>
        <w:rPr>
          <w:sz w:val="20"/>
        </w:rPr>
        <w:t>[28]: SDS Sulfuric Acid 25–75%, RCI Labscan, juli 2021</w:t>
      </w:r>
    </w:p>
    <w:p>
      <w:pPr>
        <w:pStyle w:val="ListBullet"/>
        <w:ind w:left="720"/>
      </w:pPr>
      <w:r>
        <w:rPr>
          <w:sz w:val="20"/>
        </w:rPr>
        <w:t>[29]: SDS Sodium Hydroxide 50%, Millipore, juli 2024</w:t>
      </w:r>
    </w:p>
    <w:p>
      <w:pPr>
        <w:pStyle w:val="ListBullet"/>
        <w:ind w:left="720"/>
      </w:pPr>
      <w:r>
        <w:rPr>
          <w:sz w:val="20"/>
        </w:rPr>
        <w:t>[30]: Rapportage verdiepende RI&amp;E Gevaarlijke stoffen 2021, v3.0</w:t>
      </w:r>
    </w:p>
    <w:p>
      <w:pPr>
        <w:pStyle w:val="ListBullet"/>
        <w:ind w:left="720"/>
      </w:pPr>
      <w:r>
        <w:rPr>
          <w:sz w:val="20"/>
        </w:rPr>
        <w:t>[31]: PE-240-01-NL — Procedure aanvraag/beoordeling gevaarlijke stoffen</w:t>
      </w:r>
    </w:p>
    <w:p>
      <w:pPr>
        <w:pStyle w:val="ListBullet"/>
        <w:ind w:left="720"/>
      </w:pPr>
      <w:r>
        <w:rPr>
          <w:sz w:val="20"/>
        </w:rPr>
        <w:t>[32]: Phoenix Metals HSE Policy-V1, 1 januari 2025</w:t>
      </w:r>
    </w:p>
    <w:p>
      <w:pPr>
        <w:pStyle w:val="ListBullet"/>
        <w:ind w:left="720"/>
      </w:pPr>
      <w:r>
        <w:rPr>
          <w:sz w:val="20"/>
        </w:rPr>
        <w:t>[33]: Phoenix Metals BNP-V1 — Bedrijfsnoodplan</w:t>
      </w:r>
    </w:p>
    <w:p>
      <w:pPr>
        <w:pStyle w:val="ListBullet"/>
        <w:ind w:left="720"/>
      </w:pPr>
      <w:r>
        <w:rPr>
          <w:sz w:val="20"/>
        </w:rPr>
        <w:t>[34]: PBM Matrix Phoenix Metals draft 1</w:t>
      </w:r>
    </w:p>
    <w:p>
      <w:pPr>
        <w:pStyle w:val="ListBullet"/>
        <w:ind w:left="720"/>
      </w:pPr>
      <w:r>
        <w:rPr>
          <w:sz w:val="20"/>
        </w:rPr>
        <w:t>[35]: PS-201-NL v1.0 — PBM beleid</w:t>
      </w:r>
    </w:p>
    <w:p>
      <w:pPr>
        <w:pStyle w:val="ListBullet"/>
        <w:ind w:left="720"/>
      </w:pPr>
      <w:r>
        <w:rPr>
          <w:sz w:val="20"/>
        </w:rPr>
        <w:t>[36]: RI&amp;E Inventarisatie PhoenixMetals</w:t>
      </w:r>
    </w:p>
    <w:p>
      <w:pPr>
        <w:pStyle w:val="ListBullet"/>
        <w:ind w:left="720"/>
      </w:pPr>
      <w:r>
        <w:rPr>
          <w:sz w:val="20"/>
        </w:rPr>
        <w:t>[37]: RI&amp;E Inventarisatie PhoenixMetals MKB</w:t>
      </w:r>
    </w:p>
    <w:p>
      <w:pPr>
        <w:pStyle w:val="ListBullet"/>
        <w:ind w:left="720"/>
      </w:pPr>
      <w:r>
        <w:rPr>
          <w:sz w:val="20"/>
        </w:rPr>
        <w:t>[38]: RI&amp;E Action plan and follow up</w:t>
      </w:r>
    </w:p>
    <w:p>
      <w:pPr>
        <w:pStyle w:val="ListBullet"/>
        <w:ind w:left="720"/>
      </w:pPr>
      <w:r>
        <w:rPr>
          <w:sz w:val="20"/>
        </w:rPr>
        <w:t>[39]: Verslag vooroverleg Phoenix, OD IJmond, 23 september 2023</w:t>
      </w:r>
    </w:p>
    <w:p>
      <w:pPr>
        <w:pStyle w:val="ListBullet"/>
        <w:ind w:left="720"/>
      </w:pPr>
      <w:r>
        <w:rPr>
          <w:sz w:val="20"/>
        </w:rPr>
        <w:t>[40]: Haalbaarheidsstudie Phoenix Metals IJmuiden, Arcadis V04, 12 december 2025</w:t>
      </w:r>
    </w:p>
    <w:p>
      <w:pPr>
        <w:pStyle w:val="ListBullet"/>
        <w:ind w:left="720"/>
      </w:pPr>
      <w:r>
        <w:rPr>
          <w:sz w:val="20"/>
        </w:rPr>
        <w:t>[41]: Uitgangspuntendocument Phoenix Metals IJmuiden — logistiek model</w:t>
      </w:r>
    </w:p>
    <w:p>
      <w:pPr>
        <w:pStyle w:val="ListBullet"/>
        <w:ind w:left="720"/>
      </w:pPr>
      <w:r>
        <w:rPr>
          <w:sz w:val="20"/>
        </w:rPr>
        <w:t>[42]: Factsheet SARU Ash 2025, v1.0</w:t>
      </w:r>
    </w:p>
    <w:p>
      <w:pPr>
        <w:pStyle w:val="ListBullet"/>
        <w:ind w:left="720"/>
      </w:pPr>
      <w:r>
        <w:rPr>
          <w:sz w:val="20"/>
        </w:rPr>
        <w:t>[43]: HSEQ Instructies Plant One Rotterdam, HS-P-00A, revisie 09</w:t>
      </w:r>
    </w:p>
    <w:p>
      <w:pPr>
        <w:pStyle w:val="ListBullet"/>
        <w:ind w:left="720"/>
      </w:pPr>
      <w:r>
        <w:rPr>
          <w:sz w:val="20"/>
        </w:rPr>
        <w:t>[44]: Legal Compliance Phoenix Metals 2025</w:t>
      </w:r>
    </w:p>
    <w:p>
      <w:pPr>
        <w:pStyle w:val="ListBullet"/>
        <w:ind w:left="720"/>
      </w:pPr>
      <w:r>
        <w:rPr>
          <w:sz w:val="20"/>
        </w:rPr>
        <w:t>[45]: Register Milieu Wet- en Regelgeving, HSE-02-L010.00 rev.8</w:t>
      </w:r>
    </w:p>
    <w:p>
      <w:pPr>
        <w:pStyle w:val="ListBullet"/>
        <w:ind w:left="720"/>
      </w:pPr>
      <w:r>
        <w:rPr>
          <w:sz w:val="20"/>
        </w:rPr>
        <w:t>[46]: Environmental Aspects and Compliance Register</w:t>
      </w:r>
    </w:p>
    <w:p>
      <w:pPr>
        <w:pStyle w:val="ListBullet"/>
        <w:ind w:left="720"/>
      </w:pPr>
      <w:r>
        <w:rPr>
          <w:sz w:val="20"/>
        </w:rPr>
        <w:t>[47]: Overzicht Relatie BRZO Elementen en VBS 3</w:t>
      </w:r>
    </w:p>
    <w:p>
      <w:pPr>
        <w:pStyle w:val="ListBullet"/>
        <w:ind w:left="720"/>
      </w:pPr>
      <w:r>
        <w:rPr>
          <w:sz w:val="20"/>
        </w:rPr>
        <w:t>[48]: PE-202-01 v1 — Management of Change</w:t>
      </w:r>
    </w:p>
    <w:p>
      <w:pPr>
        <w:pStyle w:val="ListBullet"/>
        <w:ind w:left="720"/>
      </w:pPr>
      <w:r>
        <w:rPr>
          <w:sz w:val="20"/>
        </w:rPr>
        <w:t>[49]: PE-210-04-NL v14 — Document Control</w:t>
      </w:r>
    </w:p>
    <w:p>
      <w:pPr>
        <w:pStyle w:val="ListBullet"/>
        <w:ind w:left="720"/>
      </w:pPr>
      <w:r>
        <w:rPr>
          <w:sz w:val="20"/>
        </w:rPr>
        <w:t>[50]: HS-F-0003 — TRA Hulplijst formulier</w:t>
      </w:r>
    </w:p>
    <w:p>
      <w:pPr>
        <w:pStyle w:val="ListBullet"/>
        <w:ind w:left="720"/>
      </w:pPr>
      <w:r>
        <w:rPr>
          <w:sz w:val="20"/>
        </w:rPr>
        <w:t>[51]: HS-P-0008 — TRA Procedure</w:t>
      </w:r>
    </w:p>
    <w:p>
      <w:pPr>
        <w:pStyle w:val="ListBullet"/>
        <w:ind w:left="720"/>
      </w:pPr>
      <w:r>
        <w:rPr>
          <w:sz w:val="20"/>
        </w:rPr>
        <w:t>[52]: HS-P-0018 — PSSR Procedure</w:t>
      </w:r>
    </w:p>
    <w:p>
      <w:pPr>
        <w:pStyle w:val="ListBullet"/>
        <w:ind w:left="720"/>
      </w:pPr>
      <w:r>
        <w:rPr>
          <w:sz w:val="20"/>
        </w:rPr>
        <w:t>[53]: Training Exposure to Hazardous Chemicals, Phoenix Metals 2025</w:t>
      </w:r>
    </w:p>
    <w:p>
      <w:pPr>
        <w:pStyle w:val="ListBullet"/>
        <w:ind w:left="720"/>
      </w:pPr>
      <w:r>
        <w:rPr>
          <w:sz w:val="20"/>
        </w:rPr>
        <w:t>[54]: Training Ergonomics, Phoenix Metals 2025</w:t>
      </w:r>
    </w:p>
    <w:p>
      <w:pPr>
        <w:pStyle w:val="ListBullet"/>
        <w:ind w:left="720"/>
      </w:pPr>
      <w:r>
        <w:rPr>
          <w:sz w:val="20"/>
        </w:rPr>
        <w:t>[55]: Opleiding Matrix Phoenix Metals 2024, rev.1</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 xml:space="preserve">JvG Consultancy  |  REACH Compliance Advisory  |  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shd w:fill="003366" w:val="clear"/>
    </w:pPr>
    <w:r>
      <w:drawing>
        <wp:inline xmlns:a="http://schemas.openxmlformats.org/drawingml/2006/main" xmlns:pic="http://schemas.openxmlformats.org/drawingml/2006/picture">
          <wp:extent cx="401114" cy="360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401114" cy="360000"/>
                  </a:xfrm>
                  <a:prstGeom prst="rect"/>
                </pic:spPr>
              </pic:pic>
            </a:graphicData>
          </a:graphic>
        </wp:inline>
      </w:drawing>
    </w:r>
    <w:r>
      <w:rPr>
        <w:b/>
        <w:color w:val="FFFFFF"/>
        <w:sz w:val="18"/>
      </w:rPr>
      <w:t xml:space="preserve">    JvG Consultancy — Regulatorische Analyse &amp; Compliance Roadmap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