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9"/>
                    <a:stretch>
                      <a:fillRect/>
                    </a:stretch>
                  </pic:blipFill>
                  <pic:spPr>
                    <a:xfrm>
                      <a:off x="0" y="0"/>
                      <a:ext cx="1440000" cy="1291034"/>
                    </a:xfrm>
                    <a:prstGeom prst="rect"/>
                  </pic:spPr>
                </pic:pic>
              </a:graphicData>
            </a:graphic>
          </wp:inline>
        </w:drawing>
      </w:r>
    </w:p>
    <w:p/>
    <w:p>
      <w:pPr>
        <w:jc w:val="center"/>
      </w:pPr>
      <w:r>
        <w:rPr>
          <w:rFonts w:ascii="Segoe UI" w:hAnsi="Segoe UI"/>
          <w:b/>
          <w:color w:val="003366"/>
          <w:sz w:val="56"/>
        </w:rPr>
        <w:t>REACH COMPLIANCE SCAN</w:t>
      </w:r>
    </w:p>
    <w:p>
      <w:pPr>
        <w:jc w:val="center"/>
      </w:pPr>
      <w:r>
        <w:rPr>
          <w:rFonts w:ascii="Segoe UI" w:hAnsi="Segoe UI"/>
          <w:color w:val="374151"/>
          <w:sz w:val="36"/>
        </w:rPr>
        <w:t>Phoenix Metals B.V.</w:t>
      </w:r>
    </w:p>
    <w:p>
      <w:pPr>
        <w:jc w:val="center"/>
      </w:pPr>
      <w:r>
        <w:rPr>
          <w:rFonts w:ascii="Segoe UI" w:hAnsi="Segoe UI"/>
          <w:i/>
          <w:color w:val="374151"/>
          <w:sz w:val="24"/>
        </w:rPr>
        <w:t>Pilotfase IJmuiden — Hydrometallurgische Vanadiumextractie</w:t>
      </w:r>
    </w:p>
    <w:p/>
    <w:p/>
    <w:p/>
    <w:p/>
    <w:tbl>
      <w:tblPr>
        <w:tblW w:type="auto" w:w="0"/>
        <w:jc w:val="center"/>
        <w:tblLook w:firstColumn="1" w:firstRow="1" w:lastColumn="0" w:lastRow="0" w:noHBand="0" w:noVBand="1" w:val="04A0"/>
      </w:tblPr>
      <w:tblGrid>
        <w:gridCol w:w="4703"/>
        <w:gridCol w:w="4703"/>
      </w:tblGrid>
      <w:tr>
        <w:tc>
          <w:tcPr>
            <w:tcW w:type="dxa" w:w="2835"/>
          </w:tcPr>
          <w:p>
            <w:r/>
            <w:r>
              <w:rPr>
                <w:rFonts w:ascii="Segoe UI" w:hAnsi="Segoe UI"/>
                <w:b/>
                <w:color w:val="003366"/>
                <w:sz w:val="20"/>
              </w:rPr>
              <w:t>Opdrachtgever</w:t>
            </w:r>
          </w:p>
        </w:tc>
        <w:tc>
          <w:tcPr>
            <w:tcW w:type="dxa" w:w="5102"/>
          </w:tcPr>
          <w:p>
            <w:r/>
            <w:r>
              <w:rPr>
                <w:rFonts w:ascii="Segoe UI" w:hAnsi="Segoe UI"/>
                <w:color w:val="1F2937"/>
                <w:sz w:val="20"/>
              </w:rPr>
              <w:t>Phoenix Metals B.V.</w:t>
            </w:r>
          </w:p>
        </w:tc>
      </w:tr>
      <w:tr>
        <w:tc>
          <w:tcPr>
            <w:tcW w:type="dxa" w:w="2835"/>
          </w:tcPr>
          <w:p>
            <w:r/>
            <w:r>
              <w:rPr>
                <w:rFonts w:ascii="Segoe UI" w:hAnsi="Segoe UI"/>
                <w:b/>
                <w:color w:val="003366"/>
                <w:sz w:val="20"/>
              </w:rPr>
              <w:t>Uitgevoerd door</w:t>
            </w:r>
          </w:p>
        </w:tc>
        <w:tc>
          <w:tcPr>
            <w:tcW w:type="dxa" w:w="5102"/>
          </w:tcPr>
          <w:p>
            <w:r/>
            <w:r>
              <w:rPr>
                <w:rFonts w:ascii="Segoe UI" w:hAnsi="Segoe UI"/>
                <w:color w:val="1F2937"/>
                <w:sz w:val="20"/>
              </w:rPr>
              <w:t>JvG Consultancy</w:t>
            </w:r>
          </w:p>
        </w:tc>
      </w:tr>
      <w:tr>
        <w:tc>
          <w:tcPr>
            <w:tcW w:type="dxa" w:w="2835"/>
          </w:tcPr>
          <w:p>
            <w:r/>
            <w:r>
              <w:rPr>
                <w:rFonts w:ascii="Segoe UI" w:hAnsi="Segoe UI"/>
                <w:b/>
                <w:color w:val="003366"/>
                <w:sz w:val="20"/>
              </w:rPr>
              <w:t>Projectnummer</w:t>
            </w:r>
          </w:p>
        </w:tc>
        <w:tc>
          <w:tcPr>
            <w:tcW w:type="dxa" w:w="5102"/>
          </w:tcPr>
          <w:p>
            <w:r/>
            <w:r>
              <w:rPr>
                <w:rFonts w:ascii="Segoe UI" w:hAnsi="Segoe UI"/>
                <w:color w:val="1F2937"/>
                <w:sz w:val="20"/>
              </w:rPr>
              <w:t>JvG-2026-REACH-001</w:t>
            </w:r>
          </w:p>
        </w:tc>
      </w:tr>
      <w:tr>
        <w:tc>
          <w:tcPr>
            <w:tcW w:type="dxa" w:w="2835"/>
          </w:tcPr>
          <w:p>
            <w:r/>
            <w:r>
              <w:rPr>
                <w:rFonts w:ascii="Segoe UI" w:hAnsi="Segoe UI"/>
                <w:b/>
                <w:color w:val="003366"/>
                <w:sz w:val="20"/>
              </w:rPr>
              <w:t>Versie</w:t>
            </w:r>
          </w:p>
        </w:tc>
        <w:tc>
          <w:tcPr>
            <w:tcW w:type="dxa" w:w="5102"/>
          </w:tcPr>
          <w:p>
            <w:r/>
            <w:r>
              <w:rPr>
                <w:rFonts w:ascii="Segoe UI" w:hAnsi="Segoe UI"/>
                <w:color w:val="1F2937"/>
                <w:sz w:val="20"/>
              </w:rPr>
              <w:t>1.0</w:t>
            </w:r>
          </w:p>
        </w:tc>
      </w:tr>
      <w:tr>
        <w:tc>
          <w:tcPr>
            <w:tcW w:type="dxa" w:w="2835"/>
          </w:tcPr>
          <w:p>
            <w:r/>
            <w:r>
              <w:rPr>
                <w:rFonts w:ascii="Segoe UI" w:hAnsi="Segoe UI"/>
                <w:b/>
                <w:color w:val="003366"/>
                <w:sz w:val="20"/>
              </w:rPr>
              <w:t>Datum</w:t>
            </w:r>
          </w:p>
        </w:tc>
        <w:tc>
          <w:tcPr>
            <w:tcW w:type="dxa" w:w="5102"/>
          </w:tcPr>
          <w:p>
            <w:r/>
            <w:r>
              <w:rPr>
                <w:rFonts w:ascii="Segoe UI" w:hAnsi="Segoe UI"/>
                <w:color w:val="1F2937"/>
                <w:sz w:val="20"/>
              </w:rPr>
              <w:t>20 april 2026</w:t>
            </w:r>
          </w:p>
        </w:tc>
      </w:tr>
      <w:tr>
        <w:tc>
          <w:tcPr>
            <w:tcW w:type="dxa" w:w="2835"/>
          </w:tcPr>
          <w:p>
            <w:r/>
            <w:r>
              <w:rPr>
                <w:rFonts w:ascii="Segoe UI" w:hAnsi="Segoe UI"/>
                <w:b/>
                <w:color w:val="003366"/>
                <w:sz w:val="20"/>
              </w:rPr>
              <w:t>Classificatie</w:t>
            </w:r>
          </w:p>
        </w:tc>
        <w:tc>
          <w:tcPr>
            <w:tcW w:type="dxa" w:w="5102"/>
          </w:tcPr>
          <w:p>
            <w:r/>
            <w:r>
              <w:rPr>
                <w:rFonts w:ascii="Segoe UI" w:hAnsi="Segoe UI"/>
                <w:b/>
                <w:color w:val="EF4444"/>
                <w:sz w:val="20"/>
              </w:rPr>
              <w:t>VERTROUWELIJK</w:t>
            </w:r>
          </w:p>
        </w:tc>
      </w:tr>
    </w:tbl>
    <w:p>
      <w:r>
        <w:br w:type="page"/>
      </w:r>
    </w:p>
    <w:p>
      <w:pPr>
        <w:pStyle w:val="Heading1"/>
      </w:pPr>
      <w:r>
        <w:rPr>
          <w:rFonts w:ascii="Segoe UI" w:hAnsi="Segoe UI"/>
          <w:color w:val="003366"/>
          <w:sz w:val="40"/>
        </w:rPr>
        <w:t>Management Samenvatting</w:t>
      </w:r>
    </w:p>
    <w:p>
      <w:r>
        <w:rPr>
          <w:rFonts w:ascii="Segoe UI" w:hAnsi="Segoe UI"/>
          <w:b w:val="0"/>
          <w:i w:val="0"/>
          <w:color w:val="1F2937"/>
          <w:sz w:val="22"/>
        </w:rPr>
        <w:t>Deze REACH Compliance Scan identificeert de wettelijke verplichtingen van Phoenix Metals B.V. onder de EU REACH-verordening (EG 1907/2006) voor de pilotfase te IJmuiden en de toekomstige FOAK-productiefabriek.</w:t>
      </w:r>
    </w:p>
    <w:p>
      <w:pPr>
        <w:pStyle w:val="Heading2"/>
      </w:pPr>
      <w:r>
        <w:rPr>
          <w:rFonts w:ascii="Segoe UI" w:hAnsi="Segoe UI"/>
          <w:color w:val="003366"/>
          <w:sz w:val="32"/>
        </w:rPr>
        <w:t>Kernbevindingen</w:t>
      </w:r>
    </w:p>
    <w:p>
      <w:pPr>
        <w:pStyle w:val="ListBullet"/>
        <w:ind w:left="850"/>
      </w:pPr>
      <w:r>
        <w:rPr>
          <w:rFonts w:ascii="Segoe UI" w:hAnsi="Segoe UI"/>
          <w:sz w:val="20"/>
        </w:rPr>
        <w:t>Grondstofstromen (SARU ash en staalslakken) kwalificeren als afvalstoffen en zijn derhalve REACH-vrijgesteld zolang de afvalstatus gehandhaafd blijft.</w:t>
      </w:r>
    </w:p>
    <w:p>
      <w:pPr>
        <w:pStyle w:val="ListBullet"/>
        <w:ind w:left="850"/>
      </w:pPr>
      <w:r>
        <w:rPr>
          <w:rFonts w:ascii="Segoe UI" w:hAnsi="Segoe UI"/>
          <w:sz w:val="20"/>
        </w:rPr>
        <w:t>Alle vier invoerchemicaliën (NaOH, H₂SO₄, Al₂(SO₄)₃, CaO) zijn reeds geregistreerd door leveranciers. Phoenix Metals is downstream user — geen eigen registratie vereist.</w:t>
      </w:r>
    </w:p>
    <w:p>
      <w:pPr>
        <w:pStyle w:val="ListBullet"/>
        <w:ind w:left="850"/>
      </w:pPr>
      <w:r>
        <w:rPr>
          <w:rFonts w:ascii="Segoe UI" w:hAnsi="Segoe UI"/>
          <w:sz w:val="20"/>
        </w:rPr>
        <w:t>Vanadium(V) oxide (V₂O₅) is reeds geregistreerd via het Vanadium Consortium. Een Letter of Access (LoA) volstaat voor commercialisatie.</w:t>
      </w:r>
    </w:p>
    <w:p>
      <w:pPr>
        <w:pStyle w:val="ListBullet"/>
        <w:ind w:left="850"/>
      </w:pPr>
      <w:r>
        <w:rPr>
          <w:rFonts w:ascii="Segoe UI" w:hAnsi="Segoe UI"/>
          <w:sz w:val="20"/>
        </w:rPr>
        <w:t>De pilotfase valt onder de PPORD-uitsondering (Artikel 9 REACH), mits tijdig genotificeerd bij ECHA. Volume: &lt; 1 ton/jaar per stof.</w:t>
      </w:r>
    </w:p>
    <w:p>
      <w:pPr>
        <w:pStyle w:val="ListBullet"/>
        <w:ind w:left="850"/>
      </w:pPr>
      <w:r>
        <w:rPr>
          <w:rFonts w:ascii="Segoe UI" w:hAnsi="Segoe UI"/>
          <w:sz w:val="20"/>
        </w:rPr>
        <w:t>Het vanadium-elektrolyt (VRFB-mengsel) vertoont kenmerken van een nieuwe stofidentiteit. Nader onderzoek naar bestaande SVHC-registraties is aanbevolen.</w:t>
      </w:r>
    </w:p>
    <w:p>
      <w:pPr>
        <w:pStyle w:val="ListBullet"/>
        <w:ind w:left="850"/>
      </w:pPr>
      <w:r>
        <w:rPr>
          <w:rFonts w:ascii="Segoe UI" w:hAnsi="Segoe UI"/>
          <w:sz w:val="20"/>
        </w:rPr>
        <w:t>Geschatte totale compliancekosten: €15.000 – €45.000 (pilot + FOAK-voorbereiding), exclusief volledige REACH-registratie (€120.000 – €290.000 bij FOAK).</w:t>
      </w:r>
    </w:p>
    <w:p>
      <w:pPr>
        <w:pStyle w:val="Heading2"/>
      </w:pPr>
      <w:r>
        <w:rPr>
          <w:rFonts w:ascii="Segoe UI" w:hAnsi="Segoe UI"/>
          <w:color w:val="003366"/>
          <w:sz w:val="32"/>
        </w:rPr>
        <w:t>Advies</w:t>
      </w:r>
    </w:p>
    <w:p>
      <w:r>
        <w:rPr>
          <w:rFonts w:ascii="Segoe UI" w:hAnsi="Segoe UI"/>
          <w:b w:val="0"/>
          <w:i w:val="0"/>
          <w:color w:val="1F2937"/>
          <w:sz w:val="22"/>
        </w:rPr>
        <w:t>Phoenix Metals dient uiterlijk Q3 2026 een PPORD-notificatie bij ECHA in te dienen en gelijktijdig een Letter of Access bij het Vanadium Consortium aan te vragen. De end-of-wipe status van staalslakken vereist juridische beoordeling vóórafgaand aan commercialisatie.</w:t>
      </w:r>
    </w:p>
    <w:p>
      <w:pPr>
        <w:spacing w:before="160" w:after="160"/>
        <w:ind w:left="567"/>
        <w:shd w:fill="FFF7ED" w:val="clear"/>
        <w:pBdr>
          <w:left w:val="single" w:sz="24" w:space="8" w:color="FF6D00"/>
        </w:pBdr>
      </w:pPr>
      <w:r>
        <w:rPr>
          <w:rFonts w:ascii="Segoe UI" w:hAnsi="Segoe UI"/>
          <w:color w:val="1F2937"/>
          <w:sz w:val="20"/>
        </w:rPr>
        <w:t>⚠ CRITIEK: De overgang van afvalstof naar product (end-of-wipe) is de belangrijkste REACH-trigger. Zonder tijdige voorbereiding ontstaat een compliance gap bij commercialisatie.</w:t>
      </w:r>
    </w:p>
    <w:p>
      <w:r>
        <w:br w:type="page"/>
      </w:r>
    </w:p>
    <w:p>
      <w:pPr>
        <w:pStyle w:val="Heading1"/>
      </w:pPr>
      <w:r>
        <w:rPr>
          <w:rFonts w:ascii="Segoe UI" w:hAnsi="Segoe UI"/>
          <w:color w:val="003366"/>
          <w:sz w:val="40"/>
        </w:rPr>
        <w:t>Scope &amp; Definities</w:t>
      </w:r>
    </w:p>
    <w:p>
      <w:pPr>
        <w:pStyle w:val="Heading2"/>
      </w:pPr>
      <w:r>
        <w:rPr>
          <w:rFonts w:ascii="Segoe UI" w:hAnsi="Segoe UI"/>
          <w:color w:val="003366"/>
          <w:sz w:val="32"/>
        </w:rPr>
        <w:t>Scope</w:t>
      </w:r>
    </w:p>
    <w:p>
      <w:r>
        <w:rPr>
          <w:rFonts w:ascii="Segoe UI" w:hAnsi="Segoe UI"/>
          <w:b w:val="0"/>
          <w:i w:val="0"/>
          <w:color w:val="1F2937"/>
          <w:sz w:val="22"/>
        </w:rPr>
        <w:t>Deze scan omvat alle chemische stoffen en mengsels die door Phoenix Metals worden ingevoerd, verwerkt of geproduceerd in het kader van:</w:t>
      </w:r>
    </w:p>
    <w:p>
      <w:pPr>
        <w:pStyle w:val="ListBullet"/>
        <w:ind w:left="850"/>
      </w:pPr>
      <w:r>
        <w:rPr>
          <w:rFonts w:ascii="Segoe UI" w:hAnsi="Segoe UI"/>
          <w:sz w:val="20"/>
        </w:rPr>
        <w:t>Pilot plant te IJmuiden (Westerduinweg 3) — 3.000L batch, 7.200 kg staalslakken/jaar</w:t>
      </w:r>
    </w:p>
    <w:p>
      <w:pPr>
        <w:pStyle w:val="ListBullet"/>
        <w:ind w:left="850"/>
      </w:pPr>
      <w:r>
        <w:rPr>
          <w:rFonts w:ascii="Segoe UI" w:hAnsi="Segoe UI"/>
          <w:sz w:val="20"/>
        </w:rPr>
        <w:t>Demo-plant te Plant One Rotterdam — SARU ash verwerking, ≤60 kg, ≤3 maanden</w:t>
      </w:r>
    </w:p>
    <w:p>
      <w:pPr>
        <w:pStyle w:val="ListBullet"/>
        <w:ind w:left="850"/>
      </w:pPr>
      <w:r>
        <w:rPr>
          <w:rFonts w:ascii="Segoe UI" w:hAnsi="Segoe UI"/>
          <w:sz w:val="20"/>
        </w:rPr>
        <w:t>FOAK-productiefabriek (conceptueel) — toekomstige commerciële schaal</w:t>
      </w:r>
    </w:p>
    <w:p>
      <w:pPr>
        <w:pStyle w:val="Heading2"/>
      </w:pPr>
      <w:r>
        <w:rPr>
          <w:rFonts w:ascii="Segoe UI" w:hAnsi="Segoe UI"/>
          <w:color w:val="003366"/>
          <w:sz w:val="32"/>
        </w:rPr>
        <w:t>Uitsluitingen</w:t>
      </w:r>
    </w:p>
    <w:p>
      <w:pPr>
        <w:pStyle w:val="ListBullet"/>
        <w:ind w:left="850"/>
      </w:pPr>
      <w:r>
        <w:rPr>
          <w:rFonts w:ascii="Segoe UI" w:hAnsi="Segoe UI"/>
          <w:sz w:val="20"/>
        </w:rPr>
        <w:t>Arbeidsomstandigheden (ARBO-wetgeving) — apart traject</w:t>
      </w:r>
    </w:p>
    <w:p>
      <w:pPr>
        <w:pStyle w:val="ListBullet"/>
        <w:ind w:left="850"/>
      </w:pPr>
      <w:r>
        <w:rPr>
          <w:rFonts w:ascii="Segoe UI" w:hAnsi="Segoe UI"/>
          <w:sz w:val="20"/>
        </w:rPr>
        <w:t>Milieupermitting (Omgevingsvergunning) — apart traject via Arcadis</w:t>
      </w:r>
    </w:p>
    <w:p>
      <w:pPr>
        <w:pStyle w:val="ListBullet"/>
        <w:ind w:left="850"/>
      </w:pPr>
      <w:r>
        <w:rPr>
          <w:rFonts w:ascii="Segoe UI" w:hAnsi="Segoe UI"/>
          <w:sz w:val="20"/>
        </w:rPr>
        <w:t>Stralingsbescherming (SARU ash NORM) — apart traject, parallel aan REACH</w:t>
      </w:r>
    </w:p>
    <w:p>
      <w:pPr>
        <w:pStyle w:val="ListBullet"/>
        <w:ind w:left="850"/>
      </w:pPr>
      <w:r>
        <w:rPr>
          <w:rFonts w:ascii="Segoe UI" w:hAnsi="Segoe UI"/>
          <w:sz w:val="20"/>
        </w:rPr>
        <w:t>Transport en opslag (ADR/ADR-klasse) — buiten scope</w:t>
      </w:r>
    </w:p>
    <w:p>
      <w:pPr>
        <w:pStyle w:val="Heading2"/>
      </w:pPr>
      <w:r>
        <w:rPr>
          <w:rFonts w:ascii="Segoe UI" w:hAnsi="Segoe UI"/>
          <w:color w:val="003366"/>
          <w:sz w:val="32"/>
        </w:rPr>
        <w:t>Definities</w:t>
      </w:r>
    </w:p>
    <w:tbl>
      <w:tblPr>
        <w:tblStyle w:val="TableGrid"/>
        <w:tblW w:type="auto" w:w="0"/>
        <w:jc w:val="center"/>
        <w:tblLook w:firstColumn="1" w:firstRow="1" w:lastColumn="0" w:lastRow="0" w:noHBand="0" w:noVBand="1" w:val="04A0"/>
      </w:tblPr>
      <w:tblGrid>
        <w:gridCol w:w="4703"/>
        <w:gridCol w:w="4703"/>
      </w:tblGrid>
      <w:tr>
        <w:tc>
          <w:tcPr>
            <w:tcW w:type="dxa" w:w="1984"/>
            <w:shd w:fill="003366"/>
          </w:tcPr>
          <w:p>
            <w:pPr>
              <w:jc w:val="center"/>
            </w:pPr>
            <w:r/>
            <w:r>
              <w:rPr>
                <w:rFonts w:ascii="Segoe UI" w:hAnsi="Segoe UI"/>
                <w:b/>
                <w:color w:val="FFFFFF"/>
                <w:sz w:val="20"/>
              </w:rPr>
              <w:t>Term</w:t>
            </w:r>
          </w:p>
        </w:tc>
        <w:tc>
          <w:tcPr>
            <w:tcW w:type="dxa" w:w="7370"/>
            <w:shd w:fill="003366"/>
          </w:tcPr>
          <w:p>
            <w:pPr>
              <w:jc w:val="center"/>
            </w:pPr>
            <w:r/>
            <w:r>
              <w:rPr>
                <w:rFonts w:ascii="Segoe UI" w:hAnsi="Segoe UI"/>
                <w:b/>
                <w:color w:val="FFFFFF"/>
                <w:sz w:val="20"/>
              </w:rPr>
              <w:t>Definitie</w:t>
            </w:r>
          </w:p>
        </w:tc>
      </w:tr>
      <w:tr>
        <w:tc>
          <w:tcPr>
            <w:tcW w:type="dxa" w:w="1984"/>
          </w:tcPr>
          <w:p>
            <w:r/>
            <w:r>
              <w:rPr>
                <w:rFonts w:ascii="Segoe UI" w:hAnsi="Segoe UI"/>
                <w:color w:val="1F2937"/>
                <w:sz w:val="18"/>
              </w:rPr>
              <w:t>REACH</w:t>
            </w:r>
          </w:p>
        </w:tc>
        <w:tc>
          <w:tcPr>
            <w:tcW w:type="dxa" w:w="7370"/>
          </w:tcPr>
          <w:p>
            <w:r/>
            <w:r>
              <w:rPr>
                <w:rFonts w:ascii="Segoe UI" w:hAnsi="Segoe UI"/>
                <w:color w:val="1F2937"/>
                <w:sz w:val="18"/>
              </w:rPr>
              <w:t>Registration, Evaluation, Authorisation and Restriction of Chemicals (EG 1907/2006)</w:t>
            </w:r>
          </w:p>
        </w:tc>
      </w:tr>
      <w:tr>
        <w:tc>
          <w:tcPr>
            <w:tcW w:type="dxa" w:w="1984"/>
            <w:shd w:fill="F0F4F8"/>
          </w:tcPr>
          <w:p>
            <w:r/>
            <w:r>
              <w:rPr>
                <w:rFonts w:ascii="Segoe UI" w:hAnsi="Segoe UI"/>
                <w:color w:val="1F2937"/>
                <w:sz w:val="18"/>
              </w:rPr>
              <w:t>ECHA</w:t>
            </w:r>
          </w:p>
        </w:tc>
        <w:tc>
          <w:tcPr>
            <w:tcW w:type="dxa" w:w="7370"/>
            <w:shd w:fill="F0F4F8"/>
          </w:tcPr>
          <w:p>
            <w:r/>
            <w:r>
              <w:rPr>
                <w:rFonts w:ascii="Segoe UI" w:hAnsi="Segoe UI"/>
                <w:color w:val="1F2937"/>
                <w:sz w:val="18"/>
              </w:rPr>
              <w:t>European Chemicals Agency — toezichthouder REACH</w:t>
            </w:r>
          </w:p>
        </w:tc>
      </w:tr>
      <w:tr>
        <w:tc>
          <w:tcPr>
            <w:tcW w:type="dxa" w:w="1984"/>
          </w:tcPr>
          <w:p>
            <w:r/>
            <w:r>
              <w:rPr>
                <w:rFonts w:ascii="Segoe UI" w:hAnsi="Segoe UI"/>
                <w:color w:val="1F2937"/>
                <w:sz w:val="18"/>
              </w:rPr>
              <w:t>PPORD</w:t>
            </w:r>
          </w:p>
        </w:tc>
        <w:tc>
          <w:tcPr>
            <w:tcW w:type="dxa" w:w="7370"/>
          </w:tcPr>
          <w:p>
            <w:r/>
            <w:r>
              <w:rPr>
                <w:rFonts w:ascii="Segoe UI" w:hAnsi="Segoe UI"/>
                <w:color w:val="1F2937"/>
                <w:sz w:val="18"/>
              </w:rPr>
              <w:t>Product and Process Oriented Research and Development (Art. 9 REACH)</w:t>
            </w:r>
          </w:p>
        </w:tc>
      </w:tr>
      <w:tr>
        <w:tc>
          <w:tcPr>
            <w:tcW w:type="dxa" w:w="1984"/>
            <w:shd w:fill="F0F4F8"/>
          </w:tcPr>
          <w:p>
            <w:r/>
            <w:r>
              <w:rPr>
                <w:rFonts w:ascii="Segoe UI" w:hAnsi="Segoe UI"/>
                <w:color w:val="1F2937"/>
                <w:sz w:val="18"/>
              </w:rPr>
              <w:t>FOAK</w:t>
            </w:r>
          </w:p>
        </w:tc>
        <w:tc>
          <w:tcPr>
            <w:tcW w:type="dxa" w:w="7370"/>
            <w:shd w:fill="F0F4F8"/>
          </w:tcPr>
          <w:p>
            <w:r/>
            <w:r>
              <w:rPr>
                <w:rFonts w:ascii="Segoe UI" w:hAnsi="Segoe UI"/>
                <w:color w:val="1F2937"/>
                <w:sz w:val="18"/>
              </w:rPr>
              <w:t>First-of-a-Kind — eerste commerciële productiefabriek</w:t>
            </w:r>
          </w:p>
        </w:tc>
      </w:tr>
      <w:tr>
        <w:tc>
          <w:tcPr>
            <w:tcW w:type="dxa" w:w="1984"/>
          </w:tcPr>
          <w:p>
            <w:r/>
            <w:r>
              <w:rPr>
                <w:rFonts w:ascii="Segoe UI" w:hAnsi="Segoe UI"/>
                <w:color w:val="1F2937"/>
                <w:sz w:val="18"/>
              </w:rPr>
              <w:t>End-of-Waste</w:t>
            </w:r>
          </w:p>
        </w:tc>
        <w:tc>
          <w:tcPr>
            <w:tcW w:type="dxa" w:w="7370"/>
          </w:tcPr>
          <w:p>
            <w:r/>
            <w:r>
              <w:rPr>
                <w:rFonts w:ascii="Segoe UI" w:hAnsi="Segoe UI"/>
                <w:color w:val="1F2937"/>
                <w:sz w:val="18"/>
              </w:rPr>
              <w:t>Het moment waarop een afvalstof voldoet aan de criteria om als product te gelden (Richtlijn 2008/98/EG)</w:t>
            </w:r>
          </w:p>
        </w:tc>
      </w:tr>
      <w:tr>
        <w:tc>
          <w:tcPr>
            <w:tcW w:type="dxa" w:w="1984"/>
            <w:shd w:fill="F0F4F8"/>
          </w:tcPr>
          <w:p>
            <w:r/>
            <w:r>
              <w:rPr>
                <w:rFonts w:ascii="Segoe UI" w:hAnsi="Segoe UI"/>
                <w:color w:val="1F2937"/>
                <w:sz w:val="18"/>
              </w:rPr>
              <w:t>SVHC</w:t>
            </w:r>
          </w:p>
        </w:tc>
        <w:tc>
          <w:tcPr>
            <w:tcW w:type="dxa" w:w="7370"/>
            <w:shd w:fill="F0F4F8"/>
          </w:tcPr>
          <w:p>
            <w:r/>
            <w:r>
              <w:rPr>
                <w:rFonts w:ascii="Segoe UI" w:hAnsi="Segoe UI"/>
                <w:color w:val="1F2937"/>
                <w:sz w:val="18"/>
              </w:rPr>
              <w:t>Substance of Very High Concern</w:t>
            </w:r>
          </w:p>
        </w:tc>
      </w:tr>
      <w:tr>
        <w:tc>
          <w:tcPr>
            <w:tcW w:type="dxa" w:w="1984"/>
          </w:tcPr>
          <w:p>
            <w:r/>
            <w:r>
              <w:rPr>
                <w:rFonts w:ascii="Segoe UI" w:hAnsi="Segoe UI"/>
                <w:color w:val="1F2937"/>
                <w:sz w:val="18"/>
              </w:rPr>
              <w:t>LoA</w:t>
            </w:r>
          </w:p>
        </w:tc>
        <w:tc>
          <w:tcPr>
            <w:tcW w:type="dxa" w:w="7370"/>
          </w:tcPr>
          <w:p>
            <w:r/>
            <w:r>
              <w:rPr>
                <w:rFonts w:ascii="Segoe UI" w:hAnsi="Segoe UI"/>
                <w:color w:val="1F2937"/>
                <w:sz w:val="18"/>
              </w:rPr>
              <w:t>Letter of Access — recht op gebruik van bestaande REACH-registratie</w:t>
            </w:r>
          </w:p>
        </w:tc>
      </w:tr>
      <w:tr>
        <w:tc>
          <w:tcPr>
            <w:tcW w:type="dxa" w:w="1984"/>
            <w:shd w:fill="F0F4F8"/>
          </w:tcPr>
          <w:p>
            <w:r/>
            <w:r>
              <w:rPr>
                <w:rFonts w:ascii="Segoe UI" w:hAnsi="Segoe UI"/>
                <w:color w:val="1F2937"/>
                <w:sz w:val="18"/>
              </w:rPr>
              <w:t>SR&amp;D</w:t>
            </w:r>
          </w:p>
        </w:tc>
        <w:tc>
          <w:tcPr>
            <w:tcW w:type="dxa" w:w="7370"/>
            <w:shd w:fill="F0F4F8"/>
          </w:tcPr>
          <w:p>
            <w:r/>
            <w:r>
              <w:rPr>
                <w:rFonts w:ascii="Segoe UI" w:hAnsi="Segoe UI"/>
                <w:color w:val="1F2937"/>
                <w:sz w:val="18"/>
              </w:rPr>
              <w:t>Scientific Research and Development (Art. 3(23) REACH)</w:t>
            </w:r>
          </w:p>
        </w:tc>
      </w:tr>
      <w:tr>
        <w:tc>
          <w:tcPr>
            <w:tcW w:type="dxa" w:w="1984"/>
          </w:tcPr>
          <w:p>
            <w:r/>
            <w:r>
              <w:rPr>
                <w:rFonts w:ascii="Segoe UI" w:hAnsi="Segoe UI"/>
                <w:color w:val="1F2937"/>
                <w:sz w:val="18"/>
              </w:rPr>
              <w:t>Downstream User</w:t>
            </w:r>
          </w:p>
        </w:tc>
        <w:tc>
          <w:tcPr>
            <w:tcW w:type="dxa" w:w="7370"/>
          </w:tcPr>
          <w:p>
            <w:r/>
            <w:r>
              <w:rPr>
                <w:rFonts w:ascii="Segoe UI" w:hAnsi="Segoe UI"/>
                <w:color w:val="1F2937"/>
                <w:sz w:val="18"/>
              </w:rPr>
              <w:t>Gebruiker van een stof in de toeleveringsketen, niet de registrant</w:t>
            </w:r>
          </w:p>
        </w:tc>
      </w:tr>
    </w:tbl>
    <w:p>
      <w:r>
        <w:br w:type="page"/>
      </w:r>
    </w:p>
    <w:p>
      <w:pPr>
        <w:pStyle w:val="Heading1"/>
      </w:pPr>
      <w:r>
        <w:rPr>
          <w:rFonts w:ascii="Segoe UI" w:hAnsi="Segoe UI"/>
          <w:color w:val="003366"/>
          <w:sz w:val="40"/>
        </w:rPr>
        <w:t>Wettelijk Kader</w:t>
      </w:r>
    </w:p>
    <w:p>
      <w:pPr>
        <w:pStyle w:val="Heading2"/>
      </w:pPr>
      <w:r>
        <w:rPr>
          <w:rFonts w:ascii="Segoe UI" w:hAnsi="Segoe UI"/>
          <w:color w:val="003366"/>
          <w:sz w:val="32"/>
        </w:rPr>
        <w:t>REACH-verordening (EG 1907/2006)</w:t>
      </w:r>
    </w:p>
    <w:p>
      <w:r>
        <w:rPr>
          <w:rFonts w:ascii="Segoe UI" w:hAnsi="Segoe UI"/>
          <w:b w:val="0"/>
          <w:i w:val="0"/>
          <w:color w:val="1F2937"/>
          <w:sz w:val="22"/>
        </w:rPr>
        <w:t>REACH verplicht fabrikanten, importeurs en downstream users om de veiligheid van chemische stoffen te waarborgen. De verordening geldt voor alle stoffen die in of naar de EU/EER worden vervaardigd of ingevoerd in volumes ≥ 1 ton/jaar, tenzij een uitzondering van toepassing is.</w:t>
      </w:r>
    </w:p>
    <w:p>
      <w:pPr>
        <w:pStyle w:val="Heading2"/>
      </w:pPr>
      <w:r>
        <w:rPr>
          <w:rFonts w:ascii="Segoe UI" w:hAnsi="Segoe UI"/>
          <w:color w:val="003366"/>
          <w:sz w:val="32"/>
        </w:rPr>
        <w:t>Relevante artikelen voor Phoenix Metals</w:t>
      </w:r>
    </w:p>
    <w:tbl>
      <w:tblPr>
        <w:tblStyle w:val="TableGrid"/>
        <w:tblW w:type="auto" w:w="0"/>
        <w:jc w:val="center"/>
        <w:tblLook w:firstColumn="1" w:firstRow="1" w:lastColumn="0" w:lastRow="0" w:noHBand="0" w:noVBand="1" w:val="04A0"/>
      </w:tblPr>
      <w:tblGrid>
        <w:gridCol w:w="4703"/>
        <w:gridCol w:w="4703"/>
      </w:tblGrid>
      <w:tr>
        <w:tc>
          <w:tcPr>
            <w:tcW w:type="dxa" w:w="1417"/>
            <w:shd w:fill="003366"/>
          </w:tcPr>
          <w:p>
            <w:pPr>
              <w:jc w:val="center"/>
            </w:pPr>
            <w:r/>
            <w:r>
              <w:rPr>
                <w:rFonts w:ascii="Segoe UI" w:hAnsi="Segoe UI"/>
                <w:b/>
                <w:color w:val="FFFFFF"/>
                <w:sz w:val="20"/>
              </w:rPr>
              <w:t>Artikel</w:t>
            </w:r>
          </w:p>
        </w:tc>
        <w:tc>
          <w:tcPr>
            <w:tcW w:type="dxa" w:w="7937"/>
            <w:shd w:fill="003366"/>
          </w:tcPr>
          <w:p>
            <w:pPr>
              <w:jc w:val="center"/>
            </w:pPr>
            <w:r/>
            <w:r>
              <w:rPr>
                <w:rFonts w:ascii="Segoe UI" w:hAnsi="Segoe UI"/>
                <w:b/>
                <w:color w:val="FFFFFF"/>
                <w:sz w:val="20"/>
              </w:rPr>
              <w:t>Relevantie</w:t>
            </w:r>
          </w:p>
        </w:tc>
      </w:tr>
      <w:tr>
        <w:tc>
          <w:tcPr>
            <w:tcW w:type="dxa" w:w="1417"/>
          </w:tcPr>
          <w:p>
            <w:r/>
            <w:r>
              <w:rPr>
                <w:rFonts w:ascii="Segoe UI" w:hAnsi="Segoe UI"/>
                <w:color w:val="1F2937"/>
                <w:sz w:val="18"/>
              </w:rPr>
              <w:t>Art. 2(1)</w:t>
            </w:r>
          </w:p>
        </w:tc>
        <w:tc>
          <w:tcPr>
            <w:tcW w:type="dxa" w:w="7937"/>
          </w:tcPr>
          <w:p>
            <w:r/>
            <w:r>
              <w:rPr>
                <w:rFonts w:ascii="Segoe UI" w:hAnsi="Segoe UI"/>
                <w:color w:val="1F2937"/>
                <w:sz w:val="18"/>
              </w:rPr>
              <w:t>Toepassingsgebied — stoffen als zodanig, in mengsels of in artikelen</w:t>
            </w:r>
          </w:p>
        </w:tc>
      </w:tr>
      <w:tr>
        <w:tc>
          <w:tcPr>
            <w:tcW w:type="dxa" w:w="1417"/>
            <w:shd w:fill="F0F4F8"/>
          </w:tcPr>
          <w:p>
            <w:r/>
            <w:r>
              <w:rPr>
                <w:rFonts w:ascii="Segoe UI" w:hAnsi="Segoe UI"/>
                <w:color w:val="1F2937"/>
                <w:sz w:val="18"/>
              </w:rPr>
              <w:t>Art. 2(2)(a)</w:t>
            </w:r>
          </w:p>
        </w:tc>
        <w:tc>
          <w:tcPr>
            <w:tcW w:type="dxa" w:w="7937"/>
            <w:shd w:fill="F0F4F8"/>
          </w:tcPr>
          <w:p>
            <w:r/>
            <w:r>
              <w:rPr>
                <w:rFonts w:ascii="Segoe UI" w:hAnsi="Segoe UI"/>
                <w:color w:val="1F2937"/>
                <w:sz w:val="18"/>
              </w:rPr>
              <w:t>Uitzondering: radioactieve stoffen (gewaarborgd door EURATOM-verdrag)</w:t>
            </w:r>
          </w:p>
        </w:tc>
      </w:tr>
      <w:tr>
        <w:tc>
          <w:tcPr>
            <w:tcW w:type="dxa" w:w="1417"/>
          </w:tcPr>
          <w:p>
            <w:r/>
            <w:r>
              <w:rPr>
                <w:rFonts w:ascii="Segoe UI" w:hAnsi="Segoe UI"/>
                <w:color w:val="1F2937"/>
                <w:sz w:val="18"/>
              </w:rPr>
              <w:t>Art. 3(23)</w:t>
            </w:r>
          </w:p>
        </w:tc>
        <w:tc>
          <w:tcPr>
            <w:tcW w:type="dxa" w:w="7937"/>
          </w:tcPr>
          <w:p>
            <w:r/>
            <w:r>
              <w:rPr>
                <w:rFonts w:ascii="Segoe UI" w:hAnsi="Segoe UI"/>
                <w:color w:val="1F2937"/>
                <w:sz w:val="18"/>
              </w:rPr>
              <w:t>Definitie SR&amp;D — stoffen voor wetenschappelijk onderzoek, &lt; 1 ton/jaar</w:t>
            </w:r>
          </w:p>
        </w:tc>
      </w:tr>
      <w:tr>
        <w:tc>
          <w:tcPr>
            <w:tcW w:type="dxa" w:w="1417"/>
            <w:shd w:fill="F0F4F8"/>
          </w:tcPr>
          <w:p>
            <w:r/>
            <w:r>
              <w:rPr>
                <w:rFonts w:ascii="Segoe UI" w:hAnsi="Segoe UI"/>
                <w:color w:val="1F2937"/>
                <w:sz w:val="18"/>
              </w:rPr>
              <w:t>Art. 9</w:t>
            </w:r>
          </w:p>
        </w:tc>
        <w:tc>
          <w:tcPr>
            <w:tcW w:type="dxa" w:w="7937"/>
            <w:shd w:fill="F0F4F8"/>
          </w:tcPr>
          <w:p>
            <w:r/>
            <w:r>
              <w:rPr>
                <w:rFonts w:ascii="Segoe UI" w:hAnsi="Segoe UI"/>
                <w:color w:val="1F2937"/>
                <w:sz w:val="18"/>
              </w:rPr>
              <w:t>PPORD — R&amp;D gericht op product- en procesontwikkeling, geen tonnage-limiet</w:t>
            </w:r>
          </w:p>
        </w:tc>
      </w:tr>
      <w:tr>
        <w:tc>
          <w:tcPr>
            <w:tcW w:type="dxa" w:w="1417"/>
          </w:tcPr>
          <w:p>
            <w:r/>
            <w:r>
              <w:rPr>
                <w:rFonts w:ascii="Segoe UI" w:hAnsi="Segoe UI"/>
                <w:color w:val="1F2937"/>
                <w:sz w:val="18"/>
              </w:rPr>
              <w:t>Art. 6</w:t>
            </w:r>
          </w:p>
        </w:tc>
        <w:tc>
          <w:tcPr>
            <w:tcW w:type="dxa" w:w="7937"/>
          </w:tcPr>
          <w:p>
            <w:r/>
            <w:r>
              <w:rPr>
                <w:rFonts w:ascii="Segoe UI" w:hAnsi="Segoe UI"/>
                <w:color w:val="1F2937"/>
                <w:sz w:val="18"/>
              </w:rPr>
              <w:t>Registratieplicht — ≥ 1 ton/jaar, algemene of specifieke registratie</w:t>
            </w:r>
          </w:p>
        </w:tc>
      </w:tr>
      <w:tr>
        <w:tc>
          <w:tcPr>
            <w:tcW w:type="dxa" w:w="1417"/>
            <w:shd w:fill="F0F4F8"/>
          </w:tcPr>
          <w:p>
            <w:r/>
            <w:r>
              <w:rPr>
                <w:rFonts w:ascii="Segoe UI" w:hAnsi="Segoe UI"/>
                <w:color w:val="1F2937"/>
                <w:sz w:val="18"/>
              </w:rPr>
              <w:t>Art. 7</w:t>
            </w:r>
          </w:p>
        </w:tc>
        <w:tc>
          <w:tcPr>
            <w:tcW w:type="dxa" w:w="7937"/>
            <w:shd w:fill="F0F4F8"/>
          </w:tcPr>
          <w:p>
            <w:r/>
            <w:r>
              <w:rPr>
                <w:rFonts w:ascii="Segoe UI" w:hAnsi="Segoe UI"/>
                <w:color w:val="1F2937"/>
                <w:sz w:val="18"/>
              </w:rPr>
              <w:t>Registratieplicht stoffen in artikelen — ≥ 1 ton/jaar en ≥ 0,1% gewicht</w:t>
            </w:r>
          </w:p>
        </w:tc>
      </w:tr>
      <w:tr>
        <w:tc>
          <w:tcPr>
            <w:tcW w:type="dxa" w:w="1417"/>
          </w:tcPr>
          <w:p>
            <w:r/>
            <w:r>
              <w:rPr>
                <w:rFonts w:ascii="Segoe UI" w:hAnsi="Segoe UI"/>
                <w:color w:val="1F2937"/>
                <w:sz w:val="18"/>
              </w:rPr>
              <w:t>Art. 31-32</w:t>
            </w:r>
          </w:p>
        </w:tc>
        <w:tc>
          <w:tcPr>
            <w:tcW w:type="dxa" w:w="7937"/>
          </w:tcPr>
          <w:p>
            <w:r/>
            <w:r>
              <w:rPr>
                <w:rFonts w:ascii="Segoe UI" w:hAnsi="Segoe UI"/>
                <w:color w:val="1F2937"/>
                <w:sz w:val="18"/>
              </w:rPr>
              <w:t>Veiligheidsinformatieblad (SDS) verplichtingen downstream users</w:t>
            </w:r>
          </w:p>
        </w:tc>
      </w:tr>
      <w:tr>
        <w:tc>
          <w:tcPr>
            <w:tcW w:type="dxa" w:w="1417"/>
            <w:shd w:fill="F0F4F8"/>
          </w:tcPr>
          <w:p>
            <w:r/>
            <w:r>
              <w:rPr>
                <w:rFonts w:ascii="Segoe UI" w:hAnsi="Segoe UI"/>
                <w:color w:val="1F2937"/>
                <w:sz w:val="18"/>
              </w:rPr>
              <w:t>Art. 33</w:t>
            </w:r>
          </w:p>
        </w:tc>
        <w:tc>
          <w:tcPr>
            <w:tcW w:type="dxa" w:w="7937"/>
            <w:shd w:fill="F0F4F8"/>
          </w:tcPr>
          <w:p>
            <w:r/>
            <w:r>
              <w:rPr>
                <w:rFonts w:ascii="Segoe UI" w:hAnsi="Segoe UI"/>
                <w:color w:val="1F2937"/>
                <w:sz w:val="18"/>
              </w:rPr>
              <w:t>Informatieplicht SVHC in artikelen aan afnemers</w:t>
            </w:r>
          </w:p>
        </w:tc>
      </w:tr>
      <w:tr>
        <w:tc>
          <w:tcPr>
            <w:tcW w:type="dxa" w:w="1417"/>
          </w:tcPr>
          <w:p>
            <w:r/>
            <w:r>
              <w:rPr>
                <w:rFonts w:ascii="Segoe UI" w:hAnsi="Segoe UI"/>
                <w:color w:val="1F2937"/>
                <w:sz w:val="18"/>
              </w:rPr>
              <w:t>Art. 56</w:t>
            </w:r>
          </w:p>
        </w:tc>
        <w:tc>
          <w:tcPr>
            <w:tcW w:type="dxa" w:w="7937"/>
          </w:tcPr>
          <w:p>
            <w:r/>
            <w:r>
              <w:rPr>
                <w:rFonts w:ascii="Segoe UI" w:hAnsi="Segoe UI"/>
                <w:color w:val="1F2937"/>
                <w:sz w:val="18"/>
              </w:rPr>
              <w:t>Autorisatieplicht — stoffen op de Autorisatielijst (Annex XIV)</w:t>
            </w:r>
          </w:p>
        </w:tc>
      </w:tr>
    </w:tbl>
    <w:p>
      <w:pPr>
        <w:pStyle w:val="Heading2"/>
      </w:pPr>
      <w:r>
        <w:rPr>
          <w:rFonts w:ascii="Segoe UI" w:hAnsi="Segoe UI"/>
          <w:color w:val="003366"/>
          <w:sz w:val="32"/>
        </w:rPr>
        <w:t>Afvalwetgeving &amp; End-of-Waste</w:t>
      </w:r>
    </w:p>
    <w:p>
      <w:r>
        <w:rPr>
          <w:rFonts w:ascii="Segoe UI" w:hAnsi="Segoe UI"/>
          <w:b w:val="0"/>
          <w:i w:val="0"/>
          <w:color w:val="1F2937"/>
          <w:sz w:val="22"/>
        </w:rPr>
        <w:t>Richtlijn 2008/98/EG (Kaderrichtlijn Afvalstoffen) bepaalt wanneer een afvalstof ophoudt afval te zijn. Een stof is 'end-of-waste' wanneer:</w:t>
      </w:r>
    </w:p>
    <w:p>
      <w:pPr>
        <w:pStyle w:val="ListBullet"/>
        <w:ind w:left="850"/>
      </w:pPr>
      <w:r>
        <w:rPr>
          <w:rFonts w:ascii="Segoe UI" w:hAnsi="Segoe UI"/>
          <w:sz w:val="20"/>
        </w:rPr>
        <w:t>De stof algemeen wordt gebruikt voor specifieke doeleinden</w:t>
      </w:r>
    </w:p>
    <w:p>
      <w:pPr>
        <w:pStyle w:val="ListBullet"/>
        <w:ind w:left="850"/>
      </w:pPr>
      <w:r>
        <w:rPr>
          <w:rFonts w:ascii="Segoe UI" w:hAnsi="Segoe UI"/>
          <w:sz w:val="20"/>
        </w:rPr>
        <w:t>Er een markt of vraag bestaat voor de stof</w:t>
      </w:r>
    </w:p>
    <w:p>
      <w:pPr>
        <w:pStyle w:val="ListBullet"/>
        <w:ind w:left="850"/>
      </w:pPr>
      <w:r>
        <w:rPr>
          <w:rFonts w:ascii="Segoe UI" w:hAnsi="Segoe UI"/>
          <w:sz w:val="20"/>
        </w:rPr>
        <w:t>De stof voldoet aan de technische eisen voor het beoogde gebruik</w:t>
      </w:r>
    </w:p>
    <w:p>
      <w:pPr>
        <w:pStyle w:val="ListBullet"/>
        <w:ind w:left="850"/>
      </w:pPr>
      <w:r>
        <w:rPr>
          <w:rFonts w:ascii="Segoe UI" w:hAnsi="Segoe UI"/>
          <w:sz w:val="20"/>
        </w:rPr>
        <w:t>Het gebruik geen negatieve milieu- of gezondheidseffecten teweegbrengt</w:t>
      </w:r>
    </w:p>
    <w:p>
      <w:pPr>
        <w:spacing w:before="160" w:after="160"/>
        <w:ind w:left="567"/>
        <w:shd w:fill="EFF6FF" w:val="clear"/>
        <w:pBdr>
          <w:left w:val="single" w:sz="24" w:space="8" w:color="3B82F6"/>
        </w:pBdr>
      </w:pPr>
      <w:r>
        <w:rPr>
          <w:rFonts w:ascii="Segoe UI" w:hAnsi="Segoe UI"/>
          <w:color w:val="1F2937"/>
          <w:sz w:val="20"/>
        </w:rPr>
        <w:t>ℹ Informatief: De haalbaarheidsstudie van Arcadis (december 2025) bevestigt dat zowel SARU ash als staalslakken momenteel kwalificeren als afvalstoffen. Echter, de producten die Phoenix Metals hieruit extrageert zijn géén afvalstoffen — zij zijn nieuwe stoffen geproduceerd door een chemisch proces.</w:t>
      </w:r>
    </w:p>
    <w:p>
      <w:r>
        <w:br w:type="page"/>
      </w:r>
    </w:p>
    <w:p>
      <w:pPr>
        <w:pStyle w:val="Heading1"/>
      </w:pPr>
      <w:r>
        <w:rPr>
          <w:rFonts w:ascii="Segoe UI" w:hAnsi="Segoe UI"/>
          <w:color w:val="003366"/>
          <w:sz w:val="40"/>
        </w:rPr>
        <w:t>Stoffeninventarisatie</w:t>
      </w:r>
    </w:p>
    <w:p>
      <w:r>
        <w:rPr>
          <w:rFonts w:ascii="Segoe UI" w:hAnsi="Segoe UI"/>
          <w:b w:val="0"/>
          <w:i w:val="0"/>
          <w:color w:val="1F2937"/>
          <w:sz w:val="22"/>
        </w:rPr>
        <w:t>Overzicht van alle stoffen in de Phoenix Metals waardeketen, inclusief REACH-status en benodigde acties.</w:t>
      </w:r>
    </w:p>
    <w:p>
      <w:pPr>
        <w:pStyle w:val="Heading2"/>
      </w:pPr>
      <w:r>
        <w:rPr>
          <w:rFonts w:ascii="Segoe UI" w:hAnsi="Segoe UI"/>
          <w:color w:val="003366"/>
          <w:sz w:val="32"/>
        </w:rPr>
        <w:t>Compleet Stoffenregister</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020"/>
            <w:shd w:fill="003366"/>
          </w:tcPr>
          <w:p>
            <w:pPr>
              <w:jc w:val="center"/>
            </w:pPr>
            <w:r/>
            <w:r>
              <w:rPr>
                <w:rFonts w:ascii="Segoe UI" w:hAnsi="Segoe UI"/>
                <w:b/>
                <w:color w:val="FFFFFF"/>
                <w:sz w:val="20"/>
              </w:rPr>
              <w:t>Categorie</w:t>
            </w:r>
          </w:p>
        </w:tc>
        <w:tc>
          <w:tcPr>
            <w:tcW w:type="dxa" w:w="1814"/>
            <w:shd w:fill="003366"/>
          </w:tcPr>
          <w:p>
            <w:pPr>
              <w:jc w:val="center"/>
            </w:pPr>
            <w:r/>
            <w:r>
              <w:rPr>
                <w:rFonts w:ascii="Segoe UI" w:hAnsi="Segoe UI"/>
                <w:b/>
                <w:color w:val="FFFFFF"/>
                <w:sz w:val="20"/>
              </w:rPr>
              <w:t>Stof</w:t>
            </w:r>
          </w:p>
        </w:tc>
        <w:tc>
          <w:tcPr>
            <w:tcW w:type="dxa" w:w="1247"/>
            <w:shd w:fill="003366"/>
          </w:tcPr>
          <w:p>
            <w:pPr>
              <w:jc w:val="center"/>
            </w:pPr>
            <w:r/>
            <w:r>
              <w:rPr>
                <w:rFonts w:ascii="Segoe UI" w:hAnsi="Segoe UI"/>
                <w:b/>
                <w:color w:val="FFFFFF"/>
                <w:sz w:val="20"/>
              </w:rPr>
              <w:t>CAS</w:t>
            </w:r>
          </w:p>
        </w:tc>
        <w:tc>
          <w:tcPr>
            <w:tcW w:type="dxa" w:w="1417"/>
            <w:shd w:fill="003366"/>
          </w:tcPr>
          <w:p>
            <w:pPr>
              <w:jc w:val="center"/>
            </w:pPr>
            <w:r/>
            <w:r>
              <w:rPr>
                <w:rFonts w:ascii="Segoe UI" w:hAnsi="Segoe UI"/>
                <w:b/>
                <w:color w:val="FFFFFF"/>
                <w:sz w:val="20"/>
              </w:rPr>
              <w:t>REACH Geregistreerd</w:t>
            </w:r>
          </w:p>
        </w:tc>
        <w:tc>
          <w:tcPr>
            <w:tcW w:type="dxa" w:w="1984"/>
            <w:shd w:fill="003366"/>
          </w:tcPr>
          <w:p>
            <w:pPr>
              <w:jc w:val="center"/>
            </w:pPr>
            <w:r/>
            <w:r>
              <w:rPr>
                <w:rFonts w:ascii="Segoe UI" w:hAnsi="Segoe UI"/>
                <w:b/>
                <w:color w:val="FFFFFF"/>
                <w:sz w:val="20"/>
              </w:rPr>
              <w:t>Status Phoenix Metals</w:t>
            </w:r>
          </w:p>
        </w:tc>
        <w:tc>
          <w:tcPr>
            <w:tcW w:type="dxa" w:w="2154"/>
            <w:shd w:fill="003366"/>
          </w:tcPr>
          <w:p>
            <w:pPr>
              <w:jc w:val="center"/>
            </w:pPr>
            <w:r/>
            <w:r>
              <w:rPr>
                <w:rFonts w:ascii="Segoe UI" w:hAnsi="Segoe UI"/>
                <w:b/>
                <w:color w:val="FFFFFF"/>
                <w:sz w:val="20"/>
              </w:rPr>
              <w:t>Actie</w:t>
            </w:r>
          </w:p>
        </w:tc>
      </w:tr>
      <w:tr>
        <w:tc>
          <w:tcPr>
            <w:tcW w:type="dxa" w:w="1020"/>
          </w:tcPr>
          <w:p>
            <w:r/>
            <w:r>
              <w:rPr>
                <w:rFonts w:ascii="Segoe UI" w:hAnsi="Segoe UI"/>
                <w:color w:val="1F2937"/>
                <w:sz w:val="18"/>
              </w:rPr>
              <w:t>Invoer</w:t>
            </w:r>
          </w:p>
        </w:tc>
        <w:tc>
          <w:tcPr>
            <w:tcW w:type="dxa" w:w="1814"/>
          </w:tcPr>
          <w:p>
            <w:r/>
            <w:r>
              <w:rPr>
                <w:rFonts w:ascii="Segoe UI" w:hAnsi="Segoe UI"/>
                <w:color w:val="1F2937"/>
                <w:sz w:val="18"/>
              </w:rPr>
              <w:t>Sodium hydroxide 50%</w:t>
            </w:r>
          </w:p>
        </w:tc>
        <w:tc>
          <w:tcPr>
            <w:tcW w:type="dxa" w:w="1247"/>
          </w:tcPr>
          <w:p>
            <w:r/>
            <w:r>
              <w:rPr>
                <w:rFonts w:ascii="Segoe UI" w:hAnsi="Segoe UI"/>
                <w:color w:val="1F2937"/>
                <w:sz w:val="18"/>
              </w:rPr>
              <w:t>1310-73-2</w:t>
            </w:r>
          </w:p>
        </w:tc>
        <w:tc>
          <w:tcPr>
            <w:tcW w:type="dxa" w:w="1417"/>
          </w:tcPr>
          <w:p>
            <w:r/>
            <w:r>
              <w:rPr>
                <w:rFonts w:ascii="Segoe UI" w:hAnsi="Segoe UI"/>
                <w:color w:val="1F2937"/>
                <w:sz w:val="18"/>
              </w:rPr>
              <w:t>Ja</w:t>
            </w:r>
          </w:p>
        </w:tc>
        <w:tc>
          <w:tcPr>
            <w:tcW w:type="dxa" w:w="1984"/>
          </w:tcPr>
          <w:p>
            <w:r/>
            <w:r>
              <w:rPr>
                <w:rFonts w:ascii="Segoe UI" w:hAnsi="Segoe UI"/>
                <w:color w:val="1F2937"/>
                <w:sz w:val="18"/>
              </w:rPr>
              <w:t>Downstream user</w:t>
            </w:r>
          </w:p>
        </w:tc>
        <w:tc>
          <w:tcPr>
            <w:tcW w:type="dxa" w:w="2154"/>
          </w:tcPr>
          <w:p>
            <w:r/>
            <w:r>
              <w:rPr>
                <w:rFonts w:ascii="Segoe UI" w:hAnsi="Segoe UI"/>
                <w:color w:val="1F2937"/>
                <w:sz w:val="18"/>
              </w:rPr>
              <w:t>Geen — leveranciersregistratie volstaat</w:t>
            </w:r>
          </w:p>
        </w:tc>
      </w:tr>
      <w:tr>
        <w:tc>
          <w:tcPr>
            <w:tcW w:type="dxa" w:w="1020"/>
            <w:shd w:fill="F0F4F8"/>
          </w:tcPr>
          <w:p>
            <w:r/>
            <w:r>
              <w:rPr>
                <w:rFonts w:ascii="Segoe UI" w:hAnsi="Segoe UI"/>
                <w:color w:val="1F2937"/>
                <w:sz w:val="18"/>
              </w:rPr>
              <w:t>Invoer</w:t>
            </w:r>
          </w:p>
        </w:tc>
        <w:tc>
          <w:tcPr>
            <w:tcW w:type="dxa" w:w="1814"/>
            <w:shd w:fill="F0F4F8"/>
          </w:tcPr>
          <w:p>
            <w:r/>
            <w:r>
              <w:rPr>
                <w:rFonts w:ascii="Segoe UI" w:hAnsi="Segoe UI"/>
                <w:color w:val="1F2937"/>
                <w:sz w:val="18"/>
              </w:rPr>
              <w:t>Sulfuric acid 25-75%</w:t>
            </w:r>
          </w:p>
        </w:tc>
        <w:tc>
          <w:tcPr>
            <w:tcW w:type="dxa" w:w="1247"/>
            <w:shd w:fill="F0F4F8"/>
          </w:tcPr>
          <w:p>
            <w:r/>
            <w:r>
              <w:rPr>
                <w:rFonts w:ascii="Segoe UI" w:hAnsi="Segoe UI"/>
                <w:color w:val="1F2937"/>
                <w:sz w:val="18"/>
              </w:rPr>
              <w:t>7664-93-9</w:t>
            </w:r>
          </w:p>
        </w:tc>
        <w:tc>
          <w:tcPr>
            <w:tcW w:type="dxa" w:w="1417"/>
            <w:shd w:fill="F0F4F8"/>
          </w:tcPr>
          <w:p>
            <w:r/>
            <w:r>
              <w:rPr>
                <w:rFonts w:ascii="Segoe UI" w:hAnsi="Segoe UI"/>
                <w:color w:val="1F2937"/>
                <w:sz w:val="18"/>
              </w:rPr>
              <w:t>Ja</w:t>
            </w:r>
          </w:p>
        </w:tc>
        <w:tc>
          <w:tcPr>
            <w:tcW w:type="dxa" w:w="1984"/>
            <w:shd w:fill="F0F4F8"/>
          </w:tcPr>
          <w:p>
            <w:r/>
            <w:r>
              <w:rPr>
                <w:rFonts w:ascii="Segoe UI" w:hAnsi="Segoe UI"/>
                <w:color w:val="1F2937"/>
                <w:sz w:val="18"/>
              </w:rPr>
              <w:t>Downstream user</w:t>
            </w:r>
          </w:p>
        </w:tc>
        <w:tc>
          <w:tcPr>
            <w:tcW w:type="dxa" w:w="2154"/>
            <w:shd w:fill="F0F4F8"/>
          </w:tcPr>
          <w:p>
            <w:r/>
            <w:r>
              <w:rPr>
                <w:rFonts w:ascii="Segoe UI" w:hAnsi="Segoe UI"/>
                <w:color w:val="1F2937"/>
                <w:sz w:val="18"/>
              </w:rPr>
              <w:t>Geen — leveranciersregistratie volstaat</w:t>
            </w:r>
          </w:p>
        </w:tc>
      </w:tr>
      <w:tr>
        <w:tc>
          <w:tcPr>
            <w:tcW w:type="dxa" w:w="1020"/>
          </w:tcPr>
          <w:p>
            <w:r/>
            <w:r>
              <w:rPr>
                <w:rFonts w:ascii="Segoe UI" w:hAnsi="Segoe UI"/>
                <w:color w:val="1F2937"/>
                <w:sz w:val="18"/>
              </w:rPr>
              <w:t>Invoer</w:t>
            </w:r>
          </w:p>
        </w:tc>
        <w:tc>
          <w:tcPr>
            <w:tcW w:type="dxa" w:w="1814"/>
          </w:tcPr>
          <w:p>
            <w:r/>
            <w:r>
              <w:rPr>
                <w:rFonts w:ascii="Segoe UI" w:hAnsi="Segoe UI"/>
                <w:color w:val="1F2937"/>
                <w:sz w:val="18"/>
              </w:rPr>
              <w:t>Aluminum sulfate octadecahydrate</w:t>
            </w:r>
          </w:p>
        </w:tc>
        <w:tc>
          <w:tcPr>
            <w:tcW w:type="dxa" w:w="1247"/>
          </w:tcPr>
          <w:p>
            <w:r/>
            <w:r>
              <w:rPr>
                <w:rFonts w:ascii="Segoe UI" w:hAnsi="Segoe UI"/>
                <w:color w:val="1F2937"/>
                <w:sz w:val="18"/>
              </w:rPr>
              <w:t>7784-31-8</w:t>
            </w:r>
          </w:p>
        </w:tc>
        <w:tc>
          <w:tcPr>
            <w:tcW w:type="dxa" w:w="1417"/>
          </w:tcPr>
          <w:p>
            <w:r/>
            <w:r>
              <w:rPr>
                <w:rFonts w:ascii="Segoe UI" w:hAnsi="Segoe UI"/>
                <w:color w:val="1F2937"/>
                <w:sz w:val="18"/>
              </w:rPr>
              <w:t>Ja</w:t>
            </w:r>
          </w:p>
        </w:tc>
        <w:tc>
          <w:tcPr>
            <w:tcW w:type="dxa" w:w="1984"/>
          </w:tcPr>
          <w:p>
            <w:r/>
            <w:r>
              <w:rPr>
                <w:rFonts w:ascii="Segoe UI" w:hAnsi="Segoe UI"/>
                <w:color w:val="1F2937"/>
                <w:sz w:val="18"/>
              </w:rPr>
              <w:t>Downstream user</w:t>
            </w:r>
          </w:p>
        </w:tc>
        <w:tc>
          <w:tcPr>
            <w:tcW w:type="dxa" w:w="2154"/>
          </w:tcPr>
          <w:p>
            <w:r/>
            <w:r>
              <w:rPr>
                <w:rFonts w:ascii="Segoe UI" w:hAnsi="Segoe UI"/>
                <w:color w:val="1F2937"/>
                <w:sz w:val="18"/>
              </w:rPr>
              <w:t>Geen — leveranciersregistratie volstaat</w:t>
            </w:r>
          </w:p>
        </w:tc>
      </w:tr>
      <w:tr>
        <w:tc>
          <w:tcPr>
            <w:tcW w:type="dxa" w:w="1020"/>
            <w:shd w:fill="F0F4F8"/>
          </w:tcPr>
          <w:p>
            <w:r/>
            <w:r>
              <w:rPr>
                <w:rFonts w:ascii="Segoe UI" w:hAnsi="Segoe UI"/>
                <w:color w:val="1F2937"/>
                <w:sz w:val="18"/>
              </w:rPr>
              <w:t>Invoer</w:t>
            </w:r>
          </w:p>
        </w:tc>
        <w:tc>
          <w:tcPr>
            <w:tcW w:type="dxa" w:w="1814"/>
            <w:shd w:fill="F0F4F8"/>
          </w:tcPr>
          <w:p>
            <w:r/>
            <w:r>
              <w:rPr>
                <w:rFonts w:ascii="Segoe UI" w:hAnsi="Segoe UI"/>
                <w:color w:val="1F2937"/>
                <w:sz w:val="18"/>
              </w:rPr>
              <w:t>Calcium oxide</w:t>
            </w:r>
          </w:p>
        </w:tc>
        <w:tc>
          <w:tcPr>
            <w:tcW w:type="dxa" w:w="1247"/>
            <w:shd w:fill="F0F4F8"/>
          </w:tcPr>
          <w:p>
            <w:r/>
            <w:r>
              <w:rPr>
                <w:rFonts w:ascii="Segoe UI" w:hAnsi="Segoe UI"/>
                <w:color w:val="1F2937"/>
                <w:sz w:val="18"/>
              </w:rPr>
              <w:t>1305-78-8</w:t>
            </w:r>
          </w:p>
        </w:tc>
        <w:tc>
          <w:tcPr>
            <w:tcW w:type="dxa" w:w="1417"/>
            <w:shd w:fill="F0F4F8"/>
          </w:tcPr>
          <w:p>
            <w:r/>
            <w:r>
              <w:rPr>
                <w:rFonts w:ascii="Segoe UI" w:hAnsi="Segoe UI"/>
                <w:color w:val="1F2937"/>
                <w:sz w:val="18"/>
              </w:rPr>
              <w:t>Ja</w:t>
            </w:r>
          </w:p>
        </w:tc>
        <w:tc>
          <w:tcPr>
            <w:tcW w:type="dxa" w:w="1984"/>
            <w:shd w:fill="F0F4F8"/>
          </w:tcPr>
          <w:p>
            <w:r/>
            <w:r>
              <w:rPr>
                <w:rFonts w:ascii="Segoe UI" w:hAnsi="Segoe UI"/>
                <w:color w:val="1F2937"/>
                <w:sz w:val="18"/>
              </w:rPr>
              <w:t>Downstream user</w:t>
            </w:r>
          </w:p>
        </w:tc>
        <w:tc>
          <w:tcPr>
            <w:tcW w:type="dxa" w:w="2154"/>
            <w:shd w:fill="F0F4F8"/>
          </w:tcPr>
          <w:p>
            <w:r/>
            <w:r>
              <w:rPr>
                <w:rFonts w:ascii="Segoe UI" w:hAnsi="Segoe UI"/>
                <w:color w:val="1F2937"/>
                <w:sz w:val="18"/>
              </w:rPr>
              <w:t>Geen — leveranciersregistratie volstaat</w:t>
            </w:r>
          </w:p>
        </w:tc>
      </w:tr>
      <w:tr>
        <w:tc>
          <w:tcPr>
            <w:tcW w:type="dxa" w:w="1020"/>
          </w:tcPr>
          <w:p>
            <w:r/>
            <w:r>
              <w:rPr>
                <w:rFonts w:ascii="Segoe UI" w:hAnsi="Segoe UI"/>
                <w:color w:val="1F2937"/>
                <w:sz w:val="18"/>
              </w:rPr>
              <w:t>Grondstof</w:t>
            </w:r>
          </w:p>
        </w:tc>
        <w:tc>
          <w:tcPr>
            <w:tcW w:type="dxa" w:w="1814"/>
          </w:tcPr>
          <w:p>
            <w:r/>
            <w:r>
              <w:rPr>
                <w:rFonts w:ascii="Segoe UI" w:hAnsi="Segoe UI"/>
                <w:color w:val="1F2937"/>
                <w:sz w:val="18"/>
              </w:rPr>
              <w:t>SARU Ash (Shell)</w:t>
            </w:r>
          </w:p>
        </w:tc>
        <w:tc>
          <w:tcPr>
            <w:tcW w:type="dxa" w:w="1247"/>
          </w:tcPr>
          <w:p>
            <w:r/>
            <w:r>
              <w:rPr>
                <w:rFonts w:ascii="Segoe UI" w:hAnsi="Segoe UI"/>
                <w:color w:val="1F2937"/>
                <w:sz w:val="18"/>
              </w:rPr>
              <w:t>N.v.t.</w:t>
            </w:r>
          </w:p>
        </w:tc>
        <w:tc>
          <w:tcPr>
            <w:tcW w:type="dxa" w:w="1417"/>
          </w:tcPr>
          <w:p>
            <w:r/>
            <w:r>
              <w:rPr>
                <w:rFonts w:ascii="Segoe UI" w:hAnsi="Segoe UI"/>
                <w:color w:val="1F2937"/>
                <w:sz w:val="18"/>
              </w:rPr>
              <w:t>Nee</w:t>
            </w:r>
          </w:p>
        </w:tc>
        <w:tc>
          <w:tcPr>
            <w:tcW w:type="dxa" w:w="1984"/>
          </w:tcPr>
          <w:p>
            <w:r/>
            <w:r>
              <w:rPr>
                <w:rFonts w:ascii="Segoe UI" w:hAnsi="Segoe UI"/>
                <w:color w:val="1F2937"/>
                <w:sz w:val="18"/>
              </w:rPr>
              <w:t>Afvalstof (REACH vrijgesteld)</w:t>
            </w:r>
          </w:p>
        </w:tc>
        <w:tc>
          <w:tcPr>
            <w:tcW w:type="dxa" w:w="2154"/>
          </w:tcPr>
          <w:p>
            <w:r/>
            <w:r>
              <w:rPr>
                <w:rFonts w:ascii="Segoe UI" w:hAnsi="Segoe UI"/>
                <w:color w:val="1F2937"/>
                <w:sz w:val="18"/>
              </w:rPr>
              <w:t>Monitor end-of-wipe criteria</w:t>
            </w:r>
          </w:p>
        </w:tc>
      </w:tr>
      <w:tr>
        <w:tc>
          <w:tcPr>
            <w:tcW w:type="dxa" w:w="1020"/>
            <w:shd w:fill="F0F4F8"/>
          </w:tcPr>
          <w:p>
            <w:r/>
            <w:r>
              <w:rPr>
                <w:rFonts w:ascii="Segoe UI" w:hAnsi="Segoe UI"/>
                <w:color w:val="1F2937"/>
                <w:sz w:val="18"/>
              </w:rPr>
              <w:t>Grondstof</w:t>
            </w:r>
          </w:p>
        </w:tc>
        <w:tc>
          <w:tcPr>
            <w:tcW w:type="dxa" w:w="1814"/>
            <w:shd w:fill="F0F4F8"/>
          </w:tcPr>
          <w:p>
            <w:r/>
            <w:r>
              <w:rPr>
                <w:rFonts w:ascii="Segoe UI" w:hAnsi="Segoe UI"/>
                <w:color w:val="1F2937"/>
                <w:sz w:val="18"/>
              </w:rPr>
              <w:t>Staalslakken (Tata Steel)</w:t>
            </w:r>
          </w:p>
        </w:tc>
        <w:tc>
          <w:tcPr>
            <w:tcW w:type="dxa" w:w="1247"/>
            <w:shd w:fill="F0F4F8"/>
          </w:tcPr>
          <w:p>
            <w:r/>
            <w:r>
              <w:rPr>
                <w:rFonts w:ascii="Segoe UI" w:hAnsi="Segoe UI"/>
                <w:color w:val="1F2937"/>
                <w:sz w:val="18"/>
              </w:rPr>
              <w:t>N.v.t.</w:t>
            </w:r>
          </w:p>
        </w:tc>
        <w:tc>
          <w:tcPr>
            <w:tcW w:type="dxa" w:w="1417"/>
            <w:shd w:fill="F0F4F8"/>
          </w:tcPr>
          <w:p>
            <w:r/>
            <w:r>
              <w:rPr>
                <w:rFonts w:ascii="Segoe UI" w:hAnsi="Segoe UI"/>
                <w:color w:val="1F2937"/>
                <w:sz w:val="18"/>
              </w:rPr>
              <w:t>Nee</w:t>
            </w:r>
          </w:p>
        </w:tc>
        <w:tc>
          <w:tcPr>
            <w:tcW w:type="dxa" w:w="1984"/>
            <w:shd w:fill="F0F4F8"/>
          </w:tcPr>
          <w:p>
            <w:r/>
            <w:r>
              <w:rPr>
                <w:rFonts w:ascii="Segoe UI" w:hAnsi="Segoe UI"/>
                <w:color w:val="1F2937"/>
                <w:sz w:val="18"/>
              </w:rPr>
              <w:t>Afvalstof (REACH vrijgesteld)</w:t>
            </w:r>
          </w:p>
        </w:tc>
        <w:tc>
          <w:tcPr>
            <w:tcW w:type="dxa" w:w="2154"/>
            <w:shd w:fill="F0F4F8"/>
          </w:tcPr>
          <w:p>
            <w:r/>
            <w:r>
              <w:rPr>
                <w:rFonts w:ascii="Segoe UI" w:hAnsi="Segoe UI"/>
                <w:color w:val="1F2937"/>
                <w:sz w:val="18"/>
              </w:rPr>
              <w:t>Monitor end-of-wipe criteria</w:t>
            </w:r>
          </w:p>
        </w:tc>
      </w:tr>
      <w:tr>
        <w:tc>
          <w:tcPr>
            <w:tcW w:type="dxa" w:w="1020"/>
          </w:tcPr>
          <w:p>
            <w:r/>
            <w:r>
              <w:rPr>
                <w:rFonts w:ascii="Segoe UI" w:hAnsi="Segoe UI"/>
                <w:color w:val="1F2937"/>
                <w:sz w:val="18"/>
              </w:rPr>
              <w:t>Product</w:t>
            </w:r>
          </w:p>
        </w:tc>
        <w:tc>
          <w:tcPr>
            <w:tcW w:type="dxa" w:w="1814"/>
          </w:tcPr>
          <w:p>
            <w:r/>
            <w:r>
              <w:rPr>
                <w:rFonts w:ascii="Segoe UI" w:hAnsi="Segoe UI"/>
                <w:color w:val="1F2937"/>
                <w:sz w:val="18"/>
              </w:rPr>
              <w:t>Vanadium(V) oxide</w:t>
            </w:r>
          </w:p>
        </w:tc>
        <w:tc>
          <w:tcPr>
            <w:tcW w:type="dxa" w:w="1247"/>
          </w:tcPr>
          <w:p>
            <w:r/>
            <w:r>
              <w:rPr>
                <w:rFonts w:ascii="Segoe UI" w:hAnsi="Segoe UI"/>
                <w:color w:val="1F2937"/>
                <w:sz w:val="18"/>
              </w:rPr>
              <w:t>1314-62-1</w:t>
            </w:r>
          </w:p>
        </w:tc>
        <w:tc>
          <w:tcPr>
            <w:tcW w:type="dxa" w:w="1417"/>
          </w:tcPr>
          <w:p>
            <w:r/>
            <w:r>
              <w:rPr>
                <w:rFonts w:ascii="Segoe UI" w:hAnsi="Segoe UI"/>
                <w:color w:val="1F2937"/>
                <w:sz w:val="18"/>
              </w:rPr>
              <w:t>Ja (Vanadium Consortium)</w:t>
            </w:r>
          </w:p>
        </w:tc>
        <w:tc>
          <w:tcPr>
            <w:tcW w:type="dxa" w:w="1984"/>
          </w:tcPr>
          <w:p>
            <w:r/>
            <w:r>
              <w:rPr>
                <w:rFonts w:ascii="Segoe UI" w:hAnsi="Segoe UI"/>
                <w:color w:val="1F2937"/>
                <w:sz w:val="18"/>
              </w:rPr>
              <w:t>Registratie via LoA</w:t>
            </w:r>
          </w:p>
        </w:tc>
        <w:tc>
          <w:tcPr>
            <w:tcW w:type="dxa" w:w="2154"/>
          </w:tcPr>
          <w:p>
            <w:r/>
            <w:r>
              <w:rPr>
                <w:rFonts w:ascii="Segoe UI" w:hAnsi="Segoe UI"/>
                <w:color w:val="1F2937"/>
                <w:sz w:val="18"/>
              </w:rPr>
              <w:t>LoA aanvragen vóór commercialisatie</w:t>
            </w:r>
          </w:p>
        </w:tc>
      </w:tr>
      <w:tr>
        <w:tc>
          <w:tcPr>
            <w:tcW w:type="dxa" w:w="1020"/>
            <w:shd w:fill="F0F4F8"/>
          </w:tcPr>
          <w:p>
            <w:r/>
            <w:r>
              <w:rPr>
                <w:rFonts w:ascii="Segoe UI" w:hAnsi="Segoe UI"/>
                <w:color w:val="1F2937"/>
                <w:sz w:val="18"/>
              </w:rPr>
              <w:t>Product</w:t>
            </w:r>
          </w:p>
        </w:tc>
        <w:tc>
          <w:tcPr>
            <w:tcW w:type="dxa" w:w="1814"/>
            <w:shd w:fill="F0F4F8"/>
          </w:tcPr>
          <w:p>
            <w:r/>
            <w:r>
              <w:rPr>
                <w:rFonts w:ascii="Segoe UI" w:hAnsi="Segoe UI"/>
                <w:color w:val="1F2937"/>
                <w:sz w:val="18"/>
              </w:rPr>
              <w:t>Vanadium-elektrolyt (VRFB)</w:t>
            </w:r>
          </w:p>
        </w:tc>
        <w:tc>
          <w:tcPr>
            <w:tcW w:type="dxa" w:w="1247"/>
            <w:shd w:fill="F0F4F8"/>
          </w:tcPr>
          <w:p>
            <w:r/>
            <w:r>
              <w:rPr>
                <w:rFonts w:ascii="Segoe UI" w:hAnsi="Segoe UI"/>
                <w:color w:val="1F2937"/>
                <w:sz w:val="18"/>
              </w:rPr>
              <w:t>Nieuw mengsel</w:t>
            </w:r>
          </w:p>
        </w:tc>
        <w:tc>
          <w:tcPr>
            <w:tcW w:type="dxa" w:w="1417"/>
            <w:shd w:fill="F0F4F8"/>
          </w:tcPr>
          <w:p>
            <w:r/>
            <w:r>
              <w:rPr>
                <w:rFonts w:ascii="Segoe UI" w:hAnsi="Segoe UI"/>
                <w:color w:val="1F2937"/>
                <w:sz w:val="18"/>
              </w:rPr>
              <w:t>Niet geregistreerd</w:t>
            </w:r>
          </w:p>
        </w:tc>
        <w:tc>
          <w:tcPr>
            <w:tcW w:type="dxa" w:w="1984"/>
            <w:shd w:fill="F0F4F8"/>
          </w:tcPr>
          <w:p>
            <w:r/>
            <w:r>
              <w:rPr>
                <w:rFonts w:ascii="Segoe UI" w:hAnsi="Segoe UI"/>
                <w:color w:val="1F2937"/>
                <w:sz w:val="18"/>
              </w:rPr>
              <w:t>Nieuwe stofidentiteit?</w:t>
            </w:r>
          </w:p>
        </w:tc>
        <w:tc>
          <w:tcPr>
            <w:tcW w:type="dxa" w:w="2154"/>
            <w:shd w:fill="F0F4F8"/>
          </w:tcPr>
          <w:p>
            <w:r/>
            <w:r>
              <w:rPr>
                <w:rFonts w:ascii="Segoe UI" w:hAnsi="Segoe UI"/>
                <w:color w:val="1F2937"/>
                <w:sz w:val="18"/>
              </w:rPr>
              <w:t>Onderzoek bestaande registraties + PPORD</w:t>
            </w:r>
          </w:p>
        </w:tc>
      </w:tr>
      <w:tr>
        <w:tc>
          <w:tcPr>
            <w:tcW w:type="dxa" w:w="1020"/>
          </w:tcPr>
          <w:p>
            <w:r/>
            <w:r>
              <w:rPr>
                <w:rFonts w:ascii="Segoe UI" w:hAnsi="Segoe UI"/>
                <w:color w:val="1F2937"/>
                <w:sz w:val="18"/>
              </w:rPr>
              <w:t>Product</w:t>
            </w:r>
          </w:p>
        </w:tc>
        <w:tc>
          <w:tcPr>
            <w:tcW w:type="dxa" w:w="1814"/>
          </w:tcPr>
          <w:p>
            <w:r/>
            <w:r>
              <w:rPr>
                <w:rFonts w:ascii="Segoe UI" w:hAnsi="Segoe UI"/>
                <w:color w:val="1F2937"/>
                <w:sz w:val="18"/>
              </w:rPr>
              <w:t>Magnesiumhydroxide</w:t>
            </w:r>
          </w:p>
        </w:tc>
        <w:tc>
          <w:tcPr>
            <w:tcW w:type="dxa" w:w="1247"/>
          </w:tcPr>
          <w:p>
            <w:r/>
            <w:r>
              <w:rPr>
                <w:rFonts w:ascii="Segoe UI" w:hAnsi="Segoe UI"/>
                <w:color w:val="1F2937"/>
                <w:sz w:val="18"/>
              </w:rPr>
              <w:t>1309-42-8</w:t>
            </w:r>
          </w:p>
        </w:tc>
        <w:tc>
          <w:tcPr>
            <w:tcW w:type="dxa" w:w="1417"/>
          </w:tcPr>
          <w:p>
            <w:r/>
            <w:r>
              <w:rPr>
                <w:rFonts w:ascii="Segoe UI" w:hAnsi="Segoe UI"/>
                <w:color w:val="1F2937"/>
                <w:sz w:val="18"/>
              </w:rPr>
              <w:t>Ja</w:t>
            </w:r>
          </w:p>
        </w:tc>
        <w:tc>
          <w:tcPr>
            <w:tcW w:type="dxa" w:w="1984"/>
          </w:tcPr>
          <w:p>
            <w:r/>
            <w:r>
              <w:rPr>
                <w:rFonts w:ascii="Segoe UI" w:hAnsi="Segoe UI"/>
                <w:color w:val="1F2937"/>
                <w:sz w:val="18"/>
              </w:rPr>
              <w:t>Reeds geregistreerd door anderen</w:t>
            </w:r>
          </w:p>
        </w:tc>
        <w:tc>
          <w:tcPr>
            <w:tcW w:type="dxa" w:w="2154"/>
          </w:tcPr>
          <w:p>
            <w:r/>
            <w:r>
              <w:rPr>
                <w:rFonts w:ascii="Segoe UI" w:hAnsi="Segoe UI"/>
                <w:color w:val="1F2937"/>
                <w:sz w:val="18"/>
              </w:rPr>
              <w:t>SDS ontvangen van leverancier</w:t>
            </w:r>
          </w:p>
        </w:tc>
      </w:tr>
      <w:tr>
        <w:tc>
          <w:tcPr>
            <w:tcW w:type="dxa" w:w="1020"/>
            <w:shd w:fill="F0F4F8"/>
          </w:tcPr>
          <w:p>
            <w:r/>
            <w:r>
              <w:rPr>
                <w:rFonts w:ascii="Segoe UI" w:hAnsi="Segoe UI"/>
                <w:color w:val="1F2937"/>
                <w:sz w:val="18"/>
              </w:rPr>
              <w:t>Product</w:t>
            </w:r>
          </w:p>
        </w:tc>
        <w:tc>
          <w:tcPr>
            <w:tcW w:type="dxa" w:w="1814"/>
            <w:shd w:fill="F0F4F8"/>
          </w:tcPr>
          <w:p>
            <w:r/>
            <w:r>
              <w:rPr>
                <w:rFonts w:ascii="Segoe UI" w:hAnsi="Segoe UI"/>
                <w:color w:val="1F2937"/>
                <w:sz w:val="18"/>
              </w:rPr>
              <w:t>IJzeroxide</w:t>
            </w:r>
          </w:p>
        </w:tc>
        <w:tc>
          <w:tcPr>
            <w:tcW w:type="dxa" w:w="1247"/>
            <w:shd w:fill="F0F4F8"/>
          </w:tcPr>
          <w:p>
            <w:r/>
            <w:r>
              <w:rPr>
                <w:rFonts w:ascii="Segoe UI" w:hAnsi="Segoe UI"/>
                <w:color w:val="1F2937"/>
                <w:sz w:val="18"/>
              </w:rPr>
              <w:t>1309-37-1</w:t>
            </w:r>
          </w:p>
        </w:tc>
        <w:tc>
          <w:tcPr>
            <w:tcW w:type="dxa" w:w="1417"/>
            <w:shd w:fill="F0F4F8"/>
          </w:tcPr>
          <w:p>
            <w:r/>
            <w:r>
              <w:rPr>
                <w:rFonts w:ascii="Segoe UI" w:hAnsi="Segoe UI"/>
                <w:color w:val="1F2937"/>
                <w:sz w:val="18"/>
              </w:rPr>
              <w:t>Ja</w:t>
            </w:r>
          </w:p>
        </w:tc>
        <w:tc>
          <w:tcPr>
            <w:tcW w:type="dxa" w:w="1984"/>
            <w:shd w:fill="F0F4F8"/>
          </w:tcPr>
          <w:p>
            <w:r/>
            <w:r>
              <w:rPr>
                <w:rFonts w:ascii="Segoe UI" w:hAnsi="Segoe UI"/>
                <w:color w:val="1F2937"/>
                <w:sz w:val="18"/>
              </w:rPr>
              <w:t>Reeds geregistreerd door anderen</w:t>
            </w:r>
          </w:p>
        </w:tc>
        <w:tc>
          <w:tcPr>
            <w:tcW w:type="dxa" w:w="2154"/>
            <w:shd w:fill="F0F4F8"/>
          </w:tcPr>
          <w:p>
            <w:r/>
            <w:r>
              <w:rPr>
                <w:rFonts w:ascii="Segoe UI" w:hAnsi="Segoe UI"/>
                <w:color w:val="1F2937"/>
                <w:sz w:val="18"/>
              </w:rPr>
              <w:t>SDS ontvangen van leverancier</w:t>
            </w:r>
          </w:p>
        </w:tc>
      </w:tr>
      <w:tr>
        <w:tc>
          <w:tcPr>
            <w:tcW w:type="dxa" w:w="1020"/>
          </w:tcPr>
          <w:p>
            <w:r/>
            <w:r>
              <w:rPr>
                <w:rFonts w:ascii="Segoe UI" w:hAnsi="Segoe UI"/>
                <w:color w:val="1F2937"/>
                <w:sz w:val="18"/>
              </w:rPr>
              <w:t>Product</w:t>
            </w:r>
          </w:p>
        </w:tc>
        <w:tc>
          <w:tcPr>
            <w:tcW w:type="dxa" w:w="1814"/>
          </w:tcPr>
          <w:p>
            <w:r/>
            <w:r>
              <w:rPr>
                <w:rFonts w:ascii="Segoe UI" w:hAnsi="Segoe UI"/>
                <w:color w:val="1F2937"/>
                <w:sz w:val="18"/>
              </w:rPr>
              <w:t>Calciumhydroxide</w:t>
            </w:r>
          </w:p>
        </w:tc>
        <w:tc>
          <w:tcPr>
            <w:tcW w:type="dxa" w:w="1247"/>
          </w:tcPr>
          <w:p>
            <w:r/>
            <w:r>
              <w:rPr>
                <w:rFonts w:ascii="Segoe UI" w:hAnsi="Segoe UI"/>
                <w:color w:val="1F2937"/>
                <w:sz w:val="18"/>
              </w:rPr>
              <w:t>1305-62-0</w:t>
            </w:r>
          </w:p>
        </w:tc>
        <w:tc>
          <w:tcPr>
            <w:tcW w:type="dxa" w:w="1417"/>
          </w:tcPr>
          <w:p>
            <w:r/>
            <w:r>
              <w:rPr>
                <w:rFonts w:ascii="Segoe UI" w:hAnsi="Segoe UI"/>
                <w:color w:val="1F2937"/>
                <w:sz w:val="18"/>
              </w:rPr>
              <w:t>Ja</w:t>
            </w:r>
          </w:p>
        </w:tc>
        <w:tc>
          <w:tcPr>
            <w:tcW w:type="dxa" w:w="1984"/>
          </w:tcPr>
          <w:p>
            <w:r/>
            <w:r>
              <w:rPr>
                <w:rFonts w:ascii="Segoe UI" w:hAnsi="Segoe UI"/>
                <w:color w:val="1F2937"/>
                <w:sz w:val="18"/>
              </w:rPr>
              <w:t>Reeds geregistreerd door anderen</w:t>
            </w:r>
          </w:p>
        </w:tc>
        <w:tc>
          <w:tcPr>
            <w:tcW w:type="dxa" w:w="2154"/>
          </w:tcPr>
          <w:p>
            <w:r/>
            <w:r>
              <w:rPr>
                <w:rFonts w:ascii="Segoe UI" w:hAnsi="Segoe UI"/>
                <w:color w:val="1F2937"/>
                <w:sz w:val="18"/>
              </w:rPr>
              <w:t>SDS ontvangen van leverancier</w:t>
            </w:r>
          </w:p>
        </w:tc>
      </w:tr>
      <w:tr>
        <w:tc>
          <w:tcPr>
            <w:tcW w:type="dxa" w:w="1020"/>
            <w:shd w:fill="F0F4F8"/>
          </w:tcPr>
          <w:p>
            <w:r/>
            <w:r>
              <w:rPr>
                <w:rFonts w:ascii="Segoe UI" w:hAnsi="Segoe UI"/>
                <w:color w:val="1F2937"/>
                <w:sz w:val="18"/>
              </w:rPr>
              <w:t>Product</w:t>
            </w:r>
          </w:p>
        </w:tc>
        <w:tc>
          <w:tcPr>
            <w:tcW w:type="dxa" w:w="1814"/>
            <w:shd w:fill="F0F4F8"/>
          </w:tcPr>
          <w:p>
            <w:r/>
            <w:r>
              <w:rPr>
                <w:rFonts w:ascii="Segoe UI" w:hAnsi="Segoe UI"/>
                <w:color w:val="1F2937"/>
                <w:sz w:val="18"/>
              </w:rPr>
              <w:t>Gips (calciumsulfaat)</w:t>
            </w:r>
          </w:p>
        </w:tc>
        <w:tc>
          <w:tcPr>
            <w:tcW w:type="dxa" w:w="1247"/>
            <w:shd w:fill="F0F4F8"/>
          </w:tcPr>
          <w:p>
            <w:r/>
            <w:r>
              <w:rPr>
                <w:rFonts w:ascii="Segoe UI" w:hAnsi="Segoe UI"/>
                <w:color w:val="1F2937"/>
                <w:sz w:val="18"/>
              </w:rPr>
              <w:t>7778-18-9</w:t>
            </w:r>
          </w:p>
        </w:tc>
        <w:tc>
          <w:tcPr>
            <w:tcW w:type="dxa" w:w="1417"/>
            <w:shd w:fill="F0F4F8"/>
          </w:tcPr>
          <w:p>
            <w:r/>
            <w:r>
              <w:rPr>
                <w:rFonts w:ascii="Segoe UI" w:hAnsi="Segoe UI"/>
                <w:color w:val="1F2937"/>
                <w:sz w:val="18"/>
              </w:rPr>
              <w:t>Ja</w:t>
            </w:r>
          </w:p>
        </w:tc>
        <w:tc>
          <w:tcPr>
            <w:tcW w:type="dxa" w:w="1984"/>
            <w:shd w:fill="F0F4F8"/>
          </w:tcPr>
          <w:p>
            <w:r/>
            <w:r>
              <w:rPr>
                <w:rFonts w:ascii="Segoe UI" w:hAnsi="Segoe UI"/>
                <w:color w:val="1F2937"/>
                <w:sz w:val="18"/>
              </w:rPr>
              <w:t>Reeds geregistreerd door anderen</w:t>
            </w:r>
          </w:p>
        </w:tc>
        <w:tc>
          <w:tcPr>
            <w:tcW w:type="dxa" w:w="2154"/>
            <w:shd w:fill="F0F4F8"/>
          </w:tcPr>
          <w:p>
            <w:r/>
            <w:r>
              <w:rPr>
                <w:rFonts w:ascii="Segoe UI" w:hAnsi="Segoe UI"/>
                <w:color w:val="1F2937"/>
                <w:sz w:val="18"/>
              </w:rPr>
              <w:t>SDS ontvangen van leverancier</w:t>
            </w:r>
          </w:p>
        </w:tc>
      </w:tr>
    </w:tbl>
    <w:p>
      <w:r>
        <w:br w:type="page"/>
      </w:r>
    </w:p>
    <w:p>
      <w:pPr>
        <w:pStyle w:val="Heading1"/>
      </w:pPr>
      <w:r>
        <w:rPr>
          <w:rFonts w:ascii="Segoe UI" w:hAnsi="Segoe UI"/>
          <w:color w:val="003366"/>
          <w:sz w:val="40"/>
        </w:rPr>
        <w:t>Grondstofstromen Analyse</w:t>
      </w:r>
    </w:p>
    <w:p>
      <w:pPr>
        <w:pStyle w:val="Heading2"/>
      </w:pPr>
      <w:r>
        <w:rPr>
          <w:rFonts w:ascii="Segoe UI" w:hAnsi="Segoe UI"/>
          <w:color w:val="003366"/>
          <w:sz w:val="32"/>
        </w:rPr>
        <w:t>Stroom 1: SARU Ash (Shell)</w:t>
      </w:r>
    </w:p>
    <w:p>
      <w:r>
        <w:rPr>
          <w:rFonts w:ascii="Segoe UI" w:hAnsi="Segoe UI"/>
          <w:b w:val="0"/>
          <w:i w:val="0"/>
          <w:color w:val="1F2937"/>
          <w:sz w:val="22"/>
        </w:rPr>
        <w:t>SARU ash is een reststroom uit crude oil refining bij Shell. De stof bevat natriummetavanadaat, trinatriumorthovanadaat en nikkeloxide, alsmede natuurlijke radionucliden (U-238 serie, Pb-210, Ra-228).</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pPr>
              <w:jc w:val="center"/>
            </w:pPr>
            <w:r/>
            <w:r>
              <w:rPr>
                <w:rFonts w:ascii="Segoe UI" w:hAnsi="Segoe UI"/>
                <w:b/>
                <w:color w:val="FFFFFF"/>
                <w:sz w:val="20"/>
              </w:rPr>
              <w:t>Parameter</w:t>
            </w:r>
          </w:p>
        </w:tc>
        <w:tc>
          <w:tcPr>
            <w:tcW w:type="dxa" w:w="7937"/>
            <w:shd w:fill="003366"/>
          </w:tcPr>
          <w:p>
            <w:pPr>
              <w:jc w:val="center"/>
            </w:pPr>
            <w:r/>
            <w:r>
              <w:rPr>
                <w:rFonts w:ascii="Segoe UI" w:hAnsi="Segoe UI"/>
                <w:b/>
                <w:color w:val="FFFFFF"/>
                <w:sz w:val="20"/>
              </w:rPr>
              <w:t>Detail</w:t>
            </w:r>
          </w:p>
        </w:tc>
      </w:tr>
      <w:tr>
        <w:tc>
          <w:tcPr>
            <w:tcW w:type="dxa" w:w="1701"/>
          </w:tcPr>
          <w:p>
            <w:r/>
            <w:r>
              <w:rPr>
                <w:rFonts w:ascii="Segoe UI" w:hAnsi="Segoe UI"/>
                <w:color w:val="1F2937"/>
                <w:sz w:val="18"/>
              </w:rPr>
              <w:t>Locatie</w:t>
            </w:r>
          </w:p>
        </w:tc>
        <w:tc>
          <w:tcPr>
            <w:tcW w:type="dxa" w:w="7937"/>
          </w:tcPr>
          <w:p>
            <w:r/>
            <w:r>
              <w:rPr>
                <w:rFonts w:ascii="Segoe UI" w:hAnsi="Segoe UI"/>
                <w:color w:val="1F2937"/>
                <w:sz w:val="18"/>
              </w:rPr>
              <w:t>Plant One Rotterdam</w:t>
            </w:r>
          </w:p>
        </w:tc>
      </w:tr>
      <w:tr>
        <w:tc>
          <w:tcPr>
            <w:tcW w:type="dxa" w:w="1701"/>
            <w:shd w:fill="F0F4F8"/>
          </w:tcPr>
          <w:p>
            <w:r/>
            <w:r>
              <w:rPr>
                <w:rFonts w:ascii="Segoe UI" w:hAnsi="Segoe UI"/>
                <w:color w:val="1F2937"/>
                <w:sz w:val="18"/>
              </w:rPr>
              <w:t>Schaal</w:t>
            </w:r>
          </w:p>
        </w:tc>
        <w:tc>
          <w:tcPr>
            <w:tcW w:type="dxa" w:w="7937"/>
            <w:shd w:fill="F0F4F8"/>
          </w:tcPr>
          <w:p>
            <w:r/>
            <w:r>
              <w:rPr>
                <w:rFonts w:ascii="Segoe UI" w:hAnsi="Segoe UI"/>
                <w:color w:val="1F2937"/>
                <w:sz w:val="18"/>
              </w:rPr>
              <w:t>Demo: ≤60 kg ash (3,5 kg/batch), ≤3 maanden campagne</w:t>
            </w:r>
          </w:p>
        </w:tc>
      </w:tr>
      <w:tr>
        <w:tc>
          <w:tcPr>
            <w:tcW w:type="dxa" w:w="1701"/>
          </w:tcPr>
          <w:p>
            <w:r/>
            <w:r>
              <w:rPr>
                <w:rFonts w:ascii="Segoe UI" w:hAnsi="Segoe UI"/>
                <w:color w:val="1F2937"/>
                <w:sz w:val="18"/>
              </w:rPr>
              <w:t>REACH-status</w:t>
            </w:r>
          </w:p>
        </w:tc>
        <w:tc>
          <w:tcPr>
            <w:tcW w:type="dxa" w:w="7937"/>
          </w:tcPr>
          <w:p>
            <w:r/>
            <w:r>
              <w:rPr>
                <w:rFonts w:ascii="Segoe UI" w:hAnsi="Segoe UI"/>
                <w:color w:val="1F2937"/>
                <w:sz w:val="18"/>
              </w:rPr>
              <w:t>Afvalstof — REACH vrijgesteld (Art. 2(2)(d))</w:t>
            </w:r>
          </w:p>
        </w:tc>
      </w:tr>
      <w:tr>
        <w:tc>
          <w:tcPr>
            <w:tcW w:type="dxa" w:w="1701"/>
            <w:shd w:fill="F0F4F8"/>
          </w:tcPr>
          <w:p>
            <w:r/>
            <w:r>
              <w:rPr>
                <w:rFonts w:ascii="Segoe UI" w:hAnsi="Segoe UI"/>
                <w:color w:val="1F2937"/>
                <w:sz w:val="18"/>
              </w:rPr>
              <w:t>Overige wetgeving</w:t>
            </w:r>
          </w:p>
        </w:tc>
        <w:tc>
          <w:tcPr>
            <w:tcW w:type="dxa" w:w="7937"/>
            <w:shd w:fill="F0F4F8"/>
          </w:tcPr>
          <w:p>
            <w:r/>
            <w:r>
              <w:rPr>
                <w:rFonts w:ascii="Segoe UI" w:hAnsi="Segoe UI"/>
                <w:color w:val="1F2937"/>
                <w:sz w:val="18"/>
              </w:rPr>
              <w:t>Besluit basisveiligheidsnormen stralingsbescherming (NORM)</w:t>
            </w:r>
          </w:p>
        </w:tc>
      </w:tr>
      <w:tr>
        <w:tc>
          <w:tcPr>
            <w:tcW w:type="dxa" w:w="1701"/>
          </w:tcPr>
          <w:p>
            <w:r/>
            <w:r>
              <w:rPr>
                <w:rFonts w:ascii="Segoe UI" w:hAnsi="Segoe UI"/>
                <w:color w:val="1F2937"/>
                <w:sz w:val="18"/>
              </w:rPr>
              <w:t>Risico</w:t>
            </w:r>
          </w:p>
        </w:tc>
        <w:tc>
          <w:tcPr>
            <w:tcW w:type="dxa" w:w="7937"/>
          </w:tcPr>
          <w:p>
            <w:r/>
            <w:r>
              <w:rPr>
                <w:rFonts w:ascii="Segoe UI" w:hAnsi="Segoe UI"/>
                <w:color w:val="1F2937"/>
                <w:sz w:val="18"/>
              </w:rPr>
              <w:t>Laag — beperkte hoeveelheid, korte duur, afvalstatus</w:t>
            </w:r>
          </w:p>
        </w:tc>
      </w:tr>
    </w:tbl>
    <w:p>
      <w:pPr>
        <w:pStyle w:val="Heading2"/>
      </w:pPr>
      <w:r>
        <w:rPr>
          <w:rFonts w:ascii="Segoe UI" w:hAnsi="Segoe UI"/>
          <w:color w:val="003366"/>
          <w:sz w:val="32"/>
        </w:rPr>
        <w:t>Stroom 2: Staalslakken (Tata Steel)</w:t>
      </w:r>
    </w:p>
    <w:p>
      <w:r>
        <w:rPr>
          <w:rFonts w:ascii="Segoe UI" w:hAnsi="Segoe UI"/>
          <w:b w:val="0"/>
          <w:i w:val="0"/>
          <w:color w:val="1F2937"/>
          <w:sz w:val="22"/>
        </w:rPr>
        <w:t>Staalslakken zijn een reststroom uit de staalproductie van Tata Steel te IJmuiden. De slakken bevatten vanadium, ijzer, calcium en magnesium. De haalbaarheidsstudie van Arcadis (december 2025) bevestigt de afvalstatus.</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pPr>
              <w:jc w:val="center"/>
            </w:pPr>
            <w:r/>
            <w:r>
              <w:rPr>
                <w:rFonts w:ascii="Segoe UI" w:hAnsi="Segoe UI"/>
                <w:b/>
                <w:color w:val="FFFFFF"/>
                <w:sz w:val="20"/>
              </w:rPr>
              <w:t>Parameter</w:t>
            </w:r>
          </w:p>
        </w:tc>
        <w:tc>
          <w:tcPr>
            <w:tcW w:type="dxa" w:w="7937"/>
            <w:shd w:fill="003366"/>
          </w:tcPr>
          <w:p>
            <w:pPr>
              <w:jc w:val="center"/>
            </w:pPr>
            <w:r/>
            <w:r>
              <w:rPr>
                <w:rFonts w:ascii="Segoe UI" w:hAnsi="Segoe UI"/>
                <w:b/>
                <w:color w:val="FFFFFF"/>
                <w:sz w:val="20"/>
              </w:rPr>
              <w:t>Detail</w:t>
            </w:r>
          </w:p>
        </w:tc>
      </w:tr>
      <w:tr>
        <w:tc>
          <w:tcPr>
            <w:tcW w:type="dxa" w:w="1701"/>
          </w:tcPr>
          <w:p>
            <w:r/>
            <w:r>
              <w:rPr>
                <w:rFonts w:ascii="Segoe UI" w:hAnsi="Segoe UI"/>
                <w:color w:val="1F2937"/>
                <w:sz w:val="18"/>
              </w:rPr>
              <w:t>Locatie</w:t>
            </w:r>
          </w:p>
        </w:tc>
        <w:tc>
          <w:tcPr>
            <w:tcW w:type="dxa" w:w="7937"/>
          </w:tcPr>
          <w:p>
            <w:r/>
            <w:r>
              <w:rPr>
                <w:rFonts w:ascii="Segoe UI" w:hAnsi="Segoe UI"/>
                <w:color w:val="1F2937"/>
                <w:sz w:val="18"/>
              </w:rPr>
              <w:t>Westerduinweg 3, IJmuiden</w:t>
            </w:r>
          </w:p>
        </w:tc>
      </w:tr>
      <w:tr>
        <w:tc>
          <w:tcPr>
            <w:tcW w:type="dxa" w:w="1701"/>
            <w:shd w:fill="F0F4F8"/>
          </w:tcPr>
          <w:p>
            <w:r/>
            <w:r>
              <w:rPr>
                <w:rFonts w:ascii="Segoe UI" w:hAnsi="Segoe UI"/>
                <w:color w:val="1F2937"/>
                <w:sz w:val="18"/>
              </w:rPr>
              <w:t>Schaal</w:t>
            </w:r>
          </w:p>
        </w:tc>
        <w:tc>
          <w:tcPr>
            <w:tcW w:type="dxa" w:w="7937"/>
            <w:shd w:fill="F0F4F8"/>
          </w:tcPr>
          <w:p>
            <w:r/>
            <w:r>
              <w:rPr>
                <w:rFonts w:ascii="Segoe UI" w:hAnsi="Segoe UI"/>
                <w:color w:val="1F2937"/>
                <w:sz w:val="18"/>
              </w:rPr>
              <w:t>Pilot: 7.200 kg/jaar (100 kg/batch × 3.000L reactor)</w:t>
            </w:r>
          </w:p>
        </w:tc>
      </w:tr>
      <w:tr>
        <w:tc>
          <w:tcPr>
            <w:tcW w:type="dxa" w:w="1701"/>
          </w:tcPr>
          <w:p>
            <w:r/>
            <w:r>
              <w:rPr>
                <w:rFonts w:ascii="Segoe UI" w:hAnsi="Segoe UI"/>
                <w:color w:val="1F2937"/>
                <w:sz w:val="18"/>
              </w:rPr>
              <w:t>REACH-status</w:t>
            </w:r>
          </w:p>
        </w:tc>
        <w:tc>
          <w:tcPr>
            <w:tcW w:type="dxa" w:w="7937"/>
          </w:tcPr>
          <w:p>
            <w:r/>
            <w:r>
              <w:rPr>
                <w:rFonts w:ascii="Segoe UI" w:hAnsi="Segoe UI"/>
                <w:color w:val="1F2937"/>
                <w:sz w:val="18"/>
              </w:rPr>
              <w:t>Afvalstof — REACH vrijgesteld</w:t>
            </w:r>
          </w:p>
        </w:tc>
      </w:tr>
      <w:tr>
        <w:tc>
          <w:tcPr>
            <w:tcW w:type="dxa" w:w="1701"/>
            <w:shd w:fill="F0F4F8"/>
          </w:tcPr>
          <w:p>
            <w:r/>
            <w:r>
              <w:rPr>
                <w:rFonts w:ascii="Segoe UI" w:hAnsi="Segoe UI"/>
                <w:color w:val="1F2937"/>
                <w:sz w:val="18"/>
              </w:rPr>
              <w:t>End-of-wipe risico</w:t>
            </w:r>
          </w:p>
        </w:tc>
        <w:tc>
          <w:tcPr>
            <w:tcW w:type="dxa" w:w="7937"/>
            <w:shd w:fill="F0F4F8"/>
          </w:tcPr>
          <w:p>
            <w:r/>
            <w:r>
              <w:rPr>
                <w:rFonts w:ascii="Segoe UI" w:hAnsi="Segoe UI"/>
                <w:color w:val="1F2937"/>
                <w:sz w:val="18"/>
              </w:rPr>
              <w:t>MATIG — producten zijn géén afval, maar afgeleide stoffen uit hydrometallurgisch proces</w:t>
            </w:r>
          </w:p>
        </w:tc>
      </w:tr>
      <w:tr>
        <w:tc>
          <w:tcPr>
            <w:tcW w:type="dxa" w:w="1701"/>
          </w:tcPr>
          <w:p>
            <w:r/>
            <w:r>
              <w:rPr>
                <w:rFonts w:ascii="Segoe UI" w:hAnsi="Segoe UI"/>
                <w:color w:val="1F2937"/>
                <w:sz w:val="18"/>
              </w:rPr>
              <w:t>Arcadis advies</w:t>
            </w:r>
          </w:p>
        </w:tc>
        <w:tc>
          <w:tcPr>
            <w:tcW w:type="dxa" w:w="7937"/>
          </w:tcPr>
          <w:p>
            <w:r/>
            <w:r>
              <w:rPr>
                <w:rFonts w:ascii="Segoe UI" w:hAnsi="Segoe UI"/>
                <w:color w:val="1F2937"/>
                <w:sz w:val="18"/>
              </w:rPr>
              <w:t>Afvalstatus bevestigd (dec 2025); product-status vereist juridische beoordeling</w:t>
            </w:r>
          </w:p>
        </w:tc>
      </w:tr>
    </w:tbl>
    <w:p>
      <w:pPr>
        <w:spacing w:before="160" w:after="160"/>
        <w:ind w:left="567"/>
        <w:shd w:fill="FFFEBA" w:val="clear"/>
        <w:pBdr>
          <w:left w:val="single" w:sz="24" w:space="8" w:color="F59E0B"/>
        </w:pBdr>
      </w:pPr>
      <w:r>
        <w:rPr>
          <w:rFonts w:ascii="Segoe UI" w:hAnsi="Segoe UI"/>
          <w:color w:val="1F2937"/>
          <w:sz w:val="20"/>
        </w:rPr>
        <w:t>⚠ BELANGRIJK ONDERSCHEID: De grondstofstromen zijn afvalstoffen (REACH-vrijgesteld), maar de EXTRACTIEPRODUCTEN zijn dat NIET. Het hydrometallurgisch proces creëert nieuwe stoffen die onder REACH vallen bij volumes ≥ 1 ton/jaar of bij commercialisatie.</w:t>
      </w:r>
    </w:p>
    <w:p>
      <w:r>
        <w:br w:type="page"/>
      </w:r>
    </w:p>
    <w:p>
      <w:pPr>
        <w:pStyle w:val="Heading1"/>
      </w:pPr>
      <w:r>
        <w:rPr>
          <w:rFonts w:ascii="Segoe UI" w:hAnsi="Segoe UI"/>
          <w:color w:val="003366"/>
          <w:sz w:val="40"/>
        </w:rPr>
        <w:t>Invoerchemicaliën Assessment</w:t>
      </w:r>
    </w:p>
    <w:p>
      <w:r>
        <w:rPr>
          <w:rFonts w:ascii="Segoe UI" w:hAnsi="Segoe UI"/>
          <w:b w:val="0"/>
          <w:i w:val="0"/>
          <w:color w:val="1F2937"/>
          <w:sz w:val="22"/>
        </w:rPr>
        <w:t>Alle invoerchemicaliën zijn reeds geregistreerd bij ECHA door de desbetreffende leveranciers. Phoenix Metals fungeert als downstream user. De wettelijke verplichtingen zijn beperkt tot het naleven van de voorwaarden in het Veiligheidsinformatieblad (SDS).</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701"/>
            <w:shd w:fill="003366"/>
          </w:tcPr>
          <w:p>
            <w:pPr>
              <w:jc w:val="center"/>
            </w:pPr>
            <w:r/>
            <w:r>
              <w:rPr>
                <w:rFonts w:ascii="Segoe UI" w:hAnsi="Segoe UI"/>
                <w:b/>
                <w:color w:val="FFFFFF"/>
                <w:sz w:val="20"/>
              </w:rPr>
              <w:t>Stof</w:t>
            </w:r>
          </w:p>
        </w:tc>
        <w:tc>
          <w:tcPr>
            <w:tcW w:type="dxa" w:w="1020"/>
            <w:shd w:fill="003366"/>
          </w:tcPr>
          <w:p>
            <w:pPr>
              <w:jc w:val="center"/>
            </w:pPr>
            <w:r/>
            <w:r>
              <w:rPr>
                <w:rFonts w:ascii="Segoe UI" w:hAnsi="Segoe UI"/>
                <w:b/>
                <w:color w:val="FFFFFF"/>
                <w:sz w:val="20"/>
              </w:rPr>
              <w:t>CAS</w:t>
            </w:r>
          </w:p>
        </w:tc>
        <w:tc>
          <w:tcPr>
            <w:tcW w:type="dxa" w:w="1020"/>
            <w:shd w:fill="003366"/>
          </w:tcPr>
          <w:p>
            <w:pPr>
              <w:jc w:val="center"/>
            </w:pPr>
            <w:r/>
            <w:r>
              <w:rPr>
                <w:rFonts w:ascii="Segoe UI" w:hAnsi="Segoe UI"/>
                <w:b/>
                <w:color w:val="FFFFFF"/>
                <w:sz w:val="20"/>
              </w:rPr>
              <w:t>ADR</w:t>
            </w:r>
          </w:p>
        </w:tc>
        <w:tc>
          <w:tcPr>
            <w:tcW w:type="dxa" w:w="680"/>
            <w:shd w:fill="003366"/>
          </w:tcPr>
          <w:p>
            <w:pPr>
              <w:jc w:val="center"/>
            </w:pPr>
            <w:r/>
            <w:r>
              <w:rPr>
                <w:rFonts w:ascii="Segoe UI" w:hAnsi="Segoe UI"/>
                <w:b/>
                <w:color w:val="FFFFFF"/>
                <w:sz w:val="20"/>
              </w:rPr>
              <w:t>EURAL</w:t>
            </w:r>
          </w:p>
        </w:tc>
        <w:tc>
          <w:tcPr>
            <w:tcW w:type="dxa" w:w="567"/>
            <w:shd w:fill="003366"/>
          </w:tcPr>
          <w:p>
            <w:pPr>
              <w:jc w:val="center"/>
            </w:pPr>
            <w:r/>
            <w:r>
              <w:rPr>
                <w:rFonts w:ascii="Segoe UI" w:hAnsi="Segoe UI"/>
                <w:b/>
                <w:color w:val="FFFFFF"/>
                <w:sz w:val="20"/>
              </w:rPr>
              <w:t>REACH</w:t>
            </w:r>
          </w:p>
        </w:tc>
        <w:tc>
          <w:tcPr>
            <w:tcW w:type="dxa" w:w="1587"/>
            <w:shd w:fill="003366"/>
          </w:tcPr>
          <w:p>
            <w:pPr>
              <w:jc w:val="center"/>
            </w:pPr>
            <w:r/>
            <w:r>
              <w:rPr>
                <w:rFonts w:ascii="Segoe UI" w:hAnsi="Segoe UI"/>
                <w:b/>
                <w:color w:val="FFFFFF"/>
                <w:sz w:val="20"/>
              </w:rPr>
              <w:t>Actie Phoenix Metals</w:t>
            </w:r>
          </w:p>
        </w:tc>
        <w:tc>
          <w:tcPr>
            <w:tcW w:type="dxa" w:w="567"/>
            <w:shd w:fill="003366"/>
          </w:tcPr>
          <w:p>
            <w:pPr>
              <w:jc w:val="center"/>
            </w:pPr>
            <w:r/>
            <w:r>
              <w:rPr>
                <w:rFonts w:ascii="Segoe UI" w:hAnsi="Segoe UI"/>
                <w:b/>
                <w:color w:val="FFFFFF"/>
                <w:sz w:val="20"/>
              </w:rPr>
              <w:t>Risico</w:t>
            </w:r>
          </w:p>
        </w:tc>
      </w:tr>
      <w:tr>
        <w:tc>
          <w:tcPr>
            <w:tcW w:type="dxa" w:w="1701"/>
          </w:tcPr>
          <w:p>
            <w:r/>
            <w:r>
              <w:rPr>
                <w:rFonts w:ascii="Segoe UI" w:hAnsi="Segoe UI"/>
                <w:color w:val="1F2937"/>
                <w:sz w:val="18"/>
              </w:rPr>
              <w:t>Sodium hydroxide 50%</w:t>
            </w:r>
          </w:p>
        </w:tc>
        <w:tc>
          <w:tcPr>
            <w:tcW w:type="dxa" w:w="1020"/>
          </w:tcPr>
          <w:p>
            <w:r/>
            <w:r>
              <w:rPr>
                <w:rFonts w:ascii="Segoe UI" w:hAnsi="Segoe UI"/>
                <w:color w:val="1F2937"/>
                <w:sz w:val="18"/>
              </w:rPr>
              <w:t>1310-73-2</w:t>
            </w:r>
          </w:p>
        </w:tc>
        <w:tc>
          <w:tcPr>
            <w:tcW w:type="dxa" w:w="1020"/>
          </w:tcPr>
          <w:p>
            <w:r/>
            <w:r>
              <w:rPr>
                <w:rFonts w:ascii="Segoe UI" w:hAnsi="Segoe UI"/>
                <w:color w:val="1F2937"/>
                <w:sz w:val="18"/>
              </w:rPr>
              <w:t>ADR 8 PG II</w:t>
            </w:r>
          </w:p>
        </w:tc>
        <w:tc>
          <w:tcPr>
            <w:tcW w:type="dxa" w:w="680"/>
          </w:tcPr>
          <w:p>
            <w:r/>
            <w:r>
              <w:rPr>
                <w:rFonts w:ascii="Segoe UI" w:hAnsi="Segoe UI"/>
                <w:color w:val="1F2937"/>
                <w:sz w:val="18"/>
              </w:rPr>
              <w:t>060204</w:t>
            </w:r>
          </w:p>
        </w:tc>
        <w:tc>
          <w:tcPr>
            <w:tcW w:type="dxa" w:w="567"/>
          </w:tcPr>
          <w:p>
            <w:r/>
            <w:r>
              <w:rPr>
                <w:rFonts w:ascii="Segoe UI" w:hAnsi="Segoe UI"/>
                <w:color w:val="1F2937"/>
                <w:sz w:val="18"/>
              </w:rPr>
              <w:t>Ja</w:t>
            </w:r>
          </w:p>
        </w:tc>
        <w:tc>
          <w:tcPr>
            <w:tcW w:type="dxa" w:w="1587"/>
          </w:tcPr>
          <w:p>
            <w:r/>
            <w:r>
              <w:rPr>
                <w:rFonts w:ascii="Segoe UI" w:hAnsi="Segoe UI"/>
                <w:color w:val="1F2937"/>
                <w:sz w:val="18"/>
              </w:rPr>
              <w:t>SDS naleven, CORAP-check</w:t>
            </w:r>
          </w:p>
        </w:tc>
        <w:tc>
          <w:tcPr>
            <w:tcW w:type="dxa" w:w="567"/>
          </w:tcPr>
          <w:p>
            <w:r/>
            <w:r>
              <w:rPr>
                <w:rFonts w:ascii="Segoe UI" w:hAnsi="Segoe UI"/>
                <w:color w:val="1F2937"/>
                <w:sz w:val="18"/>
              </w:rPr>
              <w:t>Laag</w:t>
            </w:r>
          </w:p>
        </w:tc>
      </w:tr>
      <w:tr>
        <w:tc>
          <w:tcPr>
            <w:tcW w:type="dxa" w:w="1701"/>
            <w:shd w:fill="F0F4F8"/>
          </w:tcPr>
          <w:p>
            <w:r/>
            <w:r>
              <w:rPr>
                <w:rFonts w:ascii="Segoe UI" w:hAnsi="Segoe UI"/>
                <w:color w:val="1F2937"/>
                <w:sz w:val="18"/>
              </w:rPr>
              <w:t>Sulfuric acid 25-75%</w:t>
            </w:r>
          </w:p>
        </w:tc>
        <w:tc>
          <w:tcPr>
            <w:tcW w:type="dxa" w:w="1020"/>
            <w:shd w:fill="F0F4F8"/>
          </w:tcPr>
          <w:p>
            <w:r/>
            <w:r>
              <w:rPr>
                <w:rFonts w:ascii="Segoe UI" w:hAnsi="Segoe UI"/>
                <w:color w:val="1F2937"/>
                <w:sz w:val="18"/>
              </w:rPr>
              <w:t>7664-93-9</w:t>
            </w:r>
          </w:p>
        </w:tc>
        <w:tc>
          <w:tcPr>
            <w:tcW w:type="dxa" w:w="1020"/>
            <w:shd w:fill="F0F4F8"/>
          </w:tcPr>
          <w:p>
            <w:r/>
            <w:r>
              <w:rPr>
                <w:rFonts w:ascii="Segoe UI" w:hAnsi="Segoe UI"/>
                <w:color w:val="1F2937"/>
                <w:sz w:val="18"/>
              </w:rPr>
              <w:t>ADR 8 PG II</w:t>
            </w:r>
          </w:p>
        </w:tc>
        <w:tc>
          <w:tcPr>
            <w:tcW w:type="dxa" w:w="680"/>
            <w:shd w:fill="F0F4F8"/>
          </w:tcPr>
          <w:p>
            <w:r/>
            <w:r>
              <w:rPr>
                <w:rFonts w:ascii="Segoe UI" w:hAnsi="Segoe UI"/>
                <w:color w:val="1F2937"/>
                <w:sz w:val="18"/>
              </w:rPr>
              <w:t>060101</w:t>
            </w:r>
          </w:p>
        </w:tc>
        <w:tc>
          <w:tcPr>
            <w:tcW w:type="dxa" w:w="567"/>
            <w:shd w:fill="F0F4F8"/>
          </w:tcPr>
          <w:p>
            <w:r/>
            <w:r>
              <w:rPr>
                <w:rFonts w:ascii="Segoe UI" w:hAnsi="Segoe UI"/>
                <w:color w:val="1F2937"/>
                <w:sz w:val="18"/>
              </w:rPr>
              <w:t>Ja</w:t>
            </w:r>
          </w:p>
        </w:tc>
        <w:tc>
          <w:tcPr>
            <w:tcW w:type="dxa" w:w="1587"/>
            <w:shd w:fill="F0F4F8"/>
          </w:tcPr>
          <w:p>
            <w:r/>
            <w:r>
              <w:rPr>
                <w:rFonts w:ascii="Segoe UI" w:hAnsi="Segoe UI"/>
                <w:color w:val="1F2937"/>
                <w:sz w:val="18"/>
              </w:rPr>
              <w:t>SDS naleven, CORAP-check</w:t>
            </w:r>
          </w:p>
        </w:tc>
        <w:tc>
          <w:tcPr>
            <w:tcW w:type="dxa" w:w="567"/>
            <w:shd w:fill="F0F4F8"/>
          </w:tcPr>
          <w:p>
            <w:r/>
            <w:r>
              <w:rPr>
                <w:rFonts w:ascii="Segoe UI" w:hAnsi="Segoe UI"/>
                <w:color w:val="1F2937"/>
                <w:sz w:val="18"/>
              </w:rPr>
              <w:t>Laag</w:t>
            </w:r>
          </w:p>
        </w:tc>
      </w:tr>
      <w:tr>
        <w:tc>
          <w:tcPr>
            <w:tcW w:type="dxa" w:w="1701"/>
          </w:tcPr>
          <w:p>
            <w:r/>
            <w:r>
              <w:rPr>
                <w:rFonts w:ascii="Segoe UI" w:hAnsi="Segoe UI"/>
                <w:color w:val="1F2937"/>
                <w:sz w:val="18"/>
              </w:rPr>
              <w:t>Aluminum sulfate octadecahydrate</w:t>
            </w:r>
          </w:p>
        </w:tc>
        <w:tc>
          <w:tcPr>
            <w:tcW w:type="dxa" w:w="1020"/>
          </w:tcPr>
          <w:p>
            <w:r/>
            <w:r>
              <w:rPr>
                <w:rFonts w:ascii="Segoe UI" w:hAnsi="Segoe UI"/>
                <w:color w:val="1F2937"/>
                <w:sz w:val="18"/>
              </w:rPr>
              <w:t>7784-31-8</w:t>
            </w:r>
          </w:p>
        </w:tc>
        <w:tc>
          <w:tcPr>
            <w:tcW w:type="dxa" w:w="1020"/>
          </w:tcPr>
          <w:p>
            <w:r/>
            <w:r>
              <w:rPr>
                <w:rFonts w:ascii="Segoe UI" w:hAnsi="Segoe UI"/>
                <w:color w:val="1F2937"/>
                <w:sz w:val="18"/>
              </w:rPr>
              <w:t>Niet ADR-geclassificeerd</w:t>
            </w:r>
          </w:p>
        </w:tc>
        <w:tc>
          <w:tcPr>
            <w:tcW w:type="dxa" w:w="680"/>
          </w:tcPr>
          <w:p>
            <w:r/>
            <w:r>
              <w:rPr>
                <w:rFonts w:ascii="Segoe UI" w:hAnsi="Segoe UI"/>
                <w:color w:val="1F2937"/>
                <w:sz w:val="18"/>
              </w:rPr>
              <w:t>—</w:t>
            </w:r>
          </w:p>
        </w:tc>
        <w:tc>
          <w:tcPr>
            <w:tcW w:type="dxa" w:w="567"/>
          </w:tcPr>
          <w:p>
            <w:r/>
            <w:r>
              <w:rPr>
                <w:rFonts w:ascii="Segoe UI" w:hAnsi="Segoe UI"/>
                <w:color w:val="1F2937"/>
                <w:sz w:val="18"/>
              </w:rPr>
              <w:t>Ja</w:t>
            </w:r>
          </w:p>
        </w:tc>
        <w:tc>
          <w:tcPr>
            <w:tcW w:type="dxa" w:w="1587"/>
          </w:tcPr>
          <w:p>
            <w:r/>
            <w:r>
              <w:rPr>
                <w:rFonts w:ascii="Segoe UI" w:hAnsi="Segoe UI"/>
                <w:color w:val="1F2937"/>
                <w:sz w:val="18"/>
              </w:rPr>
              <w:t>SDS naleven</w:t>
            </w:r>
          </w:p>
        </w:tc>
        <w:tc>
          <w:tcPr>
            <w:tcW w:type="dxa" w:w="567"/>
          </w:tcPr>
          <w:p>
            <w:r/>
            <w:r>
              <w:rPr>
                <w:rFonts w:ascii="Segoe UI" w:hAnsi="Segoe UI"/>
                <w:color w:val="1F2937"/>
                <w:sz w:val="18"/>
              </w:rPr>
              <w:t>Laag</w:t>
            </w:r>
          </w:p>
        </w:tc>
      </w:tr>
      <w:tr>
        <w:tc>
          <w:tcPr>
            <w:tcW w:type="dxa" w:w="1701"/>
            <w:shd w:fill="F0F4F8"/>
          </w:tcPr>
          <w:p>
            <w:r/>
            <w:r>
              <w:rPr>
                <w:rFonts w:ascii="Segoe UI" w:hAnsi="Segoe UI"/>
                <w:color w:val="1F2937"/>
                <w:sz w:val="18"/>
              </w:rPr>
              <w:t>Calcium oxide</w:t>
            </w:r>
          </w:p>
        </w:tc>
        <w:tc>
          <w:tcPr>
            <w:tcW w:type="dxa" w:w="1020"/>
            <w:shd w:fill="F0F4F8"/>
          </w:tcPr>
          <w:p>
            <w:r/>
            <w:r>
              <w:rPr>
                <w:rFonts w:ascii="Segoe UI" w:hAnsi="Segoe UI"/>
                <w:color w:val="1F2937"/>
                <w:sz w:val="18"/>
              </w:rPr>
              <w:t>1305-78-8</w:t>
            </w:r>
          </w:p>
        </w:tc>
        <w:tc>
          <w:tcPr>
            <w:tcW w:type="dxa" w:w="1020"/>
            <w:shd w:fill="F0F4F8"/>
          </w:tcPr>
          <w:p>
            <w:r/>
            <w:r>
              <w:rPr>
                <w:rFonts w:ascii="Segoe UI" w:hAnsi="Segoe UI"/>
                <w:color w:val="1F2937"/>
                <w:sz w:val="18"/>
              </w:rPr>
              <w:t>ADR 8 PG III</w:t>
            </w:r>
          </w:p>
        </w:tc>
        <w:tc>
          <w:tcPr>
            <w:tcW w:type="dxa" w:w="680"/>
            <w:shd w:fill="F0F4F8"/>
          </w:tcPr>
          <w:p>
            <w:r/>
            <w:r>
              <w:rPr>
                <w:rFonts w:ascii="Segoe UI" w:hAnsi="Segoe UI"/>
                <w:color w:val="1F2937"/>
                <w:sz w:val="18"/>
              </w:rPr>
              <w:t>—</w:t>
            </w:r>
          </w:p>
        </w:tc>
        <w:tc>
          <w:tcPr>
            <w:tcW w:type="dxa" w:w="567"/>
            <w:shd w:fill="F0F4F8"/>
          </w:tcPr>
          <w:p>
            <w:r/>
            <w:r>
              <w:rPr>
                <w:rFonts w:ascii="Segoe UI" w:hAnsi="Segoe UI"/>
                <w:color w:val="1F2937"/>
                <w:sz w:val="18"/>
              </w:rPr>
              <w:t>Ja</w:t>
            </w:r>
          </w:p>
        </w:tc>
        <w:tc>
          <w:tcPr>
            <w:tcW w:type="dxa" w:w="1587"/>
            <w:shd w:fill="F0F4F8"/>
          </w:tcPr>
          <w:p>
            <w:r/>
            <w:r>
              <w:rPr>
                <w:rFonts w:ascii="Segoe UI" w:hAnsi="Segoe UI"/>
                <w:color w:val="1F2937"/>
                <w:sz w:val="18"/>
              </w:rPr>
              <w:t>SDS naleven</w:t>
            </w:r>
          </w:p>
        </w:tc>
        <w:tc>
          <w:tcPr>
            <w:tcW w:type="dxa" w:w="567"/>
            <w:shd w:fill="F0F4F8"/>
          </w:tcPr>
          <w:p>
            <w:r/>
            <w:r>
              <w:rPr>
                <w:rFonts w:ascii="Segoe UI" w:hAnsi="Segoe UI"/>
                <w:color w:val="1F2937"/>
                <w:sz w:val="18"/>
              </w:rPr>
              <w:t>Laag</w:t>
            </w:r>
          </w:p>
        </w:tc>
      </w:tr>
    </w:tbl>
    <w:p>
      <w:pPr>
        <w:pStyle w:val="Heading2"/>
      </w:pPr>
      <w:r>
        <w:rPr>
          <w:rFonts w:ascii="Segoe UI" w:hAnsi="Segoe UI"/>
          <w:color w:val="003366"/>
          <w:sz w:val="32"/>
        </w:rPr>
        <w:t>Downstream User Verplichtingen</w:t>
      </w:r>
    </w:p>
    <w:p>
      <w:pPr>
        <w:pStyle w:val="ListBullet"/>
        <w:ind w:left="850"/>
      </w:pPr>
      <w:r>
        <w:rPr>
          <w:rFonts w:ascii="Segoe UI" w:hAnsi="Segoe UI"/>
          <w:sz w:val="20"/>
        </w:rPr>
        <w:t>Veiligheidsinformatiebladen (SDS) opvragen en actueel houden bij alle leveranciers</w:t>
      </w:r>
    </w:p>
    <w:p>
      <w:pPr>
        <w:pStyle w:val="ListBullet"/>
        <w:ind w:left="850"/>
      </w:pPr>
      <w:r>
        <w:rPr>
          <w:rFonts w:ascii="Segoe UI" w:hAnsi="Segoe UI"/>
          <w:sz w:val="20"/>
        </w:rPr>
        <w:t>Blootstellingsscenario's uit SDS implementeren in de werkprocedures</w:t>
      </w:r>
    </w:p>
    <w:p>
      <w:pPr>
        <w:pStyle w:val="ListBullet"/>
        <w:ind w:left="850"/>
      </w:pPr>
      <w:r>
        <w:rPr>
          <w:rFonts w:ascii="Segoe UI" w:hAnsi="Segoe UI"/>
          <w:sz w:val="20"/>
        </w:rPr>
        <w:t>CORAP-status (Community Rolling Action Plan) controleren op ECHA-website voor NaOH en H₂SO₄</w:t>
      </w:r>
    </w:p>
    <w:p>
      <w:pPr>
        <w:pStyle w:val="ListBullet"/>
        <w:ind w:left="850"/>
      </w:pPr>
      <w:r>
        <w:rPr>
          <w:rFonts w:ascii="Segoe UI" w:hAnsi="Segoe UI"/>
          <w:sz w:val="20"/>
        </w:rPr>
        <w:t>Bij afwijking van blootstellingsscenario's: eigen chemische veiligheidsbeoordeling (CSR) opstellen</w:t>
      </w:r>
    </w:p>
    <w:p>
      <w:r>
        <w:br w:type="page"/>
      </w:r>
    </w:p>
    <w:p>
      <w:pPr>
        <w:pStyle w:val="Heading1"/>
      </w:pPr>
      <w:r>
        <w:rPr>
          <w:rFonts w:ascii="Segoe UI" w:hAnsi="Segoe UI"/>
          <w:color w:val="003366"/>
          <w:sz w:val="40"/>
        </w:rPr>
        <w:t>Producten Assessment</w:t>
      </w:r>
    </w:p>
    <w:p>
      <w:pPr>
        <w:pStyle w:val="Heading2"/>
      </w:pPr>
      <w:r>
        <w:rPr>
          <w:rFonts w:ascii="Segoe UI" w:hAnsi="Segoe UI"/>
          <w:color w:val="003366"/>
          <w:sz w:val="32"/>
        </w:rPr>
        <w:t>Vanadium(V) oxide (V₂O₅)</w:t>
      </w:r>
    </w:p>
    <w:p>
      <w:r>
        <w:rPr>
          <w:rFonts w:ascii="Segoe UI" w:hAnsi="Segoe UI"/>
          <w:b w:val="0"/>
          <w:i w:val="0"/>
          <w:color w:val="1F2937"/>
          <w:sz w:val="22"/>
        </w:rPr>
        <w:t>CAS 1314-62-1 — Het primaire product van Phoenix Metals. V₂O₅ is reeds geregistreerd bij ECHA via het Vanadium Consortium (REEDS-registratie). Phoenix Metals hoeft geen eigen registratie te verrichten, maar heeft een Letter of Access (LoA) nodig om deze registratie te mogen gebruiken.</w:t>
      </w:r>
    </w:p>
    <w:p>
      <w:r>
        <w:rPr>
          <w:rFonts w:ascii="Segoe UI" w:hAnsi="Segoe UI"/>
          <w:b w:val="0"/>
          <w:i w:val="0"/>
          <w:color w:val="1F2937"/>
          <w:sz w:val="22"/>
        </w:rPr>
        <w:t>Toepassingen: katalysatorproductie, metallurgie, vanadiumredoxbatterijen (VRFB). Potentiële SVHC-kandidaat — monitoring van ECHA-intentielijst aanbevolen.</w:t>
      </w:r>
    </w:p>
    <w:p>
      <w:pPr>
        <w:pStyle w:val="Heading2"/>
      </w:pPr>
      <w:r>
        <w:rPr>
          <w:rFonts w:ascii="Segoe UI" w:hAnsi="Segoe UI"/>
          <w:color w:val="003366"/>
          <w:sz w:val="32"/>
        </w:rPr>
        <w:t>Vanadium-elektrolyt (VRFB-mengsel)</w:t>
      </w:r>
    </w:p>
    <w:p>
      <w:r>
        <w:rPr>
          <w:rFonts w:ascii="Segoe UI" w:hAnsi="Segoe UI"/>
          <w:b w:val="0"/>
          <w:i w:val="0"/>
          <w:color w:val="1F2937"/>
          <w:sz w:val="22"/>
        </w:rPr>
        <w:t>Het VRFB-elektrolyt is een mengsel van vanadium in meerdere oxidatietoestanden (V(II)/V(III)/V(IV)/V(V)) in zwavelzuuroplossing. Dit is mogelijk een nieuwe stofidentiteit — er is geen bestaande REACH-registratie bekend voor dit specifieke mengsel.</w:t>
      </w:r>
    </w:p>
    <w:p>
      <w:pPr>
        <w:spacing w:before="160" w:after="160"/>
        <w:ind w:left="567"/>
        <w:shd w:fill="FFF7ED" w:val="clear"/>
        <w:pBdr>
          <w:left w:val="single" w:sz="24" w:space="8" w:color="FF6D00"/>
        </w:pBdr>
      </w:pPr>
      <w:r>
        <w:rPr>
          <w:rFonts w:ascii="Segoe UI" w:hAnsi="Segoe UI"/>
          <w:color w:val="1F2937"/>
          <w:sz w:val="20"/>
        </w:rPr>
        <w:t>⚠ RISICO: Het vanadium-elektrolyt vertoont kenmerken van een nieuwe stofidentiteit. Bij commercialisatie &gt; 1 ton/jaar is een volledige REACH-registratie vereist. Onderzoek naar bestaande SVHC-registraties bij ECHA is urgent.</w:t>
      </w:r>
    </w:p>
    <w:p>
      <w:pPr>
        <w:pStyle w:val="Heading2"/>
      </w:pPr>
      <w:r>
        <w:rPr>
          <w:rFonts w:ascii="Segoe UI" w:hAnsi="Segoe UI"/>
          <w:color w:val="003366"/>
          <w:sz w:val="32"/>
        </w:rPr>
        <w:t>Nebijproducten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984"/>
            <w:shd w:fill="003366"/>
          </w:tcPr>
          <w:p>
            <w:pPr>
              <w:jc w:val="center"/>
            </w:pPr>
            <w:r/>
            <w:r>
              <w:rPr>
                <w:rFonts w:ascii="Segoe UI" w:hAnsi="Segoe UI"/>
                <w:b/>
                <w:color w:val="FFFFFF"/>
                <w:sz w:val="20"/>
              </w:rPr>
              <w:t>Nebijproduct</w:t>
            </w:r>
          </w:p>
        </w:tc>
        <w:tc>
          <w:tcPr>
            <w:tcW w:type="dxa" w:w="1134"/>
            <w:shd w:fill="003366"/>
          </w:tcPr>
          <w:p>
            <w:pPr>
              <w:jc w:val="center"/>
            </w:pPr>
            <w:r/>
            <w:r>
              <w:rPr>
                <w:rFonts w:ascii="Segoe UI" w:hAnsi="Segoe UI"/>
                <w:b/>
                <w:color w:val="FFFFFF"/>
                <w:sz w:val="20"/>
              </w:rPr>
              <w:t>CAS</w:t>
            </w:r>
          </w:p>
        </w:tc>
        <w:tc>
          <w:tcPr>
            <w:tcW w:type="dxa" w:w="850"/>
            <w:shd w:fill="003366"/>
          </w:tcPr>
          <w:p>
            <w:pPr>
              <w:jc w:val="center"/>
            </w:pPr>
            <w:r/>
            <w:r>
              <w:rPr>
                <w:rFonts w:ascii="Segoe UI" w:hAnsi="Segoe UI"/>
                <w:b/>
                <w:color w:val="FFFFFF"/>
                <w:sz w:val="20"/>
              </w:rPr>
              <w:t>REACH</w:t>
            </w:r>
          </w:p>
        </w:tc>
        <w:tc>
          <w:tcPr>
            <w:tcW w:type="dxa" w:w="1984"/>
            <w:shd w:fill="003366"/>
          </w:tcPr>
          <w:p>
            <w:pPr>
              <w:jc w:val="center"/>
            </w:pPr>
            <w:r/>
            <w:r>
              <w:rPr>
                <w:rFonts w:ascii="Segoe UI" w:hAnsi="Segoe UI"/>
                <w:b/>
                <w:color w:val="FFFFFF"/>
                <w:sz w:val="20"/>
              </w:rPr>
              <w:t>Marktstatus</w:t>
            </w:r>
          </w:p>
        </w:tc>
        <w:tc>
          <w:tcPr>
            <w:tcW w:type="dxa" w:w="850"/>
            <w:shd w:fill="003366"/>
          </w:tcPr>
          <w:p>
            <w:pPr>
              <w:jc w:val="center"/>
            </w:pPr>
            <w:r/>
            <w:r>
              <w:rPr>
                <w:rFonts w:ascii="Segoe UI" w:hAnsi="Segoe UI"/>
                <w:b/>
                <w:color w:val="FFFFFF"/>
                <w:sz w:val="20"/>
              </w:rPr>
              <w:t>Risico</w:t>
            </w:r>
          </w:p>
        </w:tc>
      </w:tr>
      <w:tr>
        <w:tc>
          <w:tcPr>
            <w:tcW w:type="dxa" w:w="1984"/>
          </w:tcPr>
          <w:p>
            <w:r/>
            <w:r>
              <w:rPr>
                <w:rFonts w:ascii="Segoe UI" w:hAnsi="Segoe UI"/>
                <w:color w:val="1F2937"/>
                <w:sz w:val="18"/>
              </w:rPr>
              <w:t>Magnesiumhydroxide</w:t>
            </w:r>
          </w:p>
        </w:tc>
        <w:tc>
          <w:tcPr>
            <w:tcW w:type="dxa" w:w="1134"/>
          </w:tcPr>
          <w:p>
            <w:r/>
            <w:r>
              <w:rPr>
                <w:rFonts w:ascii="Segoe UI" w:hAnsi="Segoe UI"/>
                <w:color w:val="1F2937"/>
                <w:sz w:val="18"/>
              </w:rPr>
              <w:t>1309-42-8</w:t>
            </w:r>
          </w:p>
        </w:tc>
        <w:tc>
          <w:tcPr>
            <w:tcW w:type="dxa" w:w="850"/>
          </w:tcPr>
          <w:p>
            <w:r/>
            <w:r>
              <w:rPr>
                <w:rFonts w:ascii="Segoe UI" w:hAnsi="Segoe UI"/>
                <w:color w:val="1F2937"/>
                <w:sz w:val="18"/>
              </w:rPr>
              <w:t>Ja</w:t>
            </w:r>
          </w:p>
        </w:tc>
        <w:tc>
          <w:tcPr>
            <w:tcW w:type="dxa" w:w="1984"/>
          </w:tcPr>
          <w:p>
            <w:r/>
            <w:r>
              <w:rPr>
                <w:rFonts w:ascii="Segoe UI" w:hAnsi="Segoe UI"/>
                <w:color w:val="1F2937"/>
                <w:sz w:val="18"/>
              </w:rPr>
              <w:t>Commercieel verkrijgbaar</w:t>
            </w:r>
          </w:p>
        </w:tc>
        <w:tc>
          <w:tcPr>
            <w:tcW w:type="dxa" w:w="850"/>
          </w:tcPr>
          <w:p>
            <w:r/>
            <w:r>
              <w:rPr>
                <w:rFonts w:ascii="Segoe UI" w:hAnsi="Segoe UI"/>
                <w:color w:val="1F2937"/>
                <w:sz w:val="18"/>
              </w:rPr>
              <w:t>Laag</w:t>
            </w:r>
          </w:p>
        </w:tc>
      </w:tr>
      <w:tr>
        <w:tc>
          <w:tcPr>
            <w:tcW w:type="dxa" w:w="1984"/>
            <w:shd w:fill="F0F4F8"/>
          </w:tcPr>
          <w:p>
            <w:r/>
            <w:r>
              <w:rPr>
                <w:rFonts w:ascii="Segoe UI" w:hAnsi="Segoe UI"/>
                <w:color w:val="1F2937"/>
                <w:sz w:val="18"/>
              </w:rPr>
              <w:t>IJzeroxide</w:t>
            </w:r>
          </w:p>
        </w:tc>
        <w:tc>
          <w:tcPr>
            <w:tcW w:type="dxa" w:w="1134"/>
            <w:shd w:fill="F0F4F8"/>
          </w:tcPr>
          <w:p>
            <w:r/>
            <w:r>
              <w:rPr>
                <w:rFonts w:ascii="Segoe UI" w:hAnsi="Segoe UI"/>
                <w:color w:val="1F2937"/>
                <w:sz w:val="18"/>
              </w:rPr>
              <w:t>1309-37-1</w:t>
            </w:r>
          </w:p>
        </w:tc>
        <w:tc>
          <w:tcPr>
            <w:tcW w:type="dxa" w:w="850"/>
            <w:shd w:fill="F0F4F8"/>
          </w:tcPr>
          <w:p>
            <w:r/>
            <w:r>
              <w:rPr>
                <w:rFonts w:ascii="Segoe UI" w:hAnsi="Segoe UI"/>
                <w:color w:val="1F2937"/>
                <w:sz w:val="18"/>
              </w:rPr>
              <w:t>Ja</w:t>
            </w:r>
          </w:p>
        </w:tc>
        <w:tc>
          <w:tcPr>
            <w:tcW w:type="dxa" w:w="1984"/>
            <w:shd w:fill="F0F4F8"/>
          </w:tcPr>
          <w:p>
            <w:r/>
            <w:r>
              <w:rPr>
                <w:rFonts w:ascii="Segoe UI" w:hAnsi="Segoe UI"/>
                <w:color w:val="1F2937"/>
                <w:sz w:val="18"/>
              </w:rPr>
              <w:t>Commercieel verkrijgbaar</w:t>
            </w:r>
          </w:p>
        </w:tc>
        <w:tc>
          <w:tcPr>
            <w:tcW w:type="dxa" w:w="850"/>
            <w:shd w:fill="F0F4F8"/>
          </w:tcPr>
          <w:p>
            <w:r/>
            <w:r>
              <w:rPr>
                <w:rFonts w:ascii="Segoe UI" w:hAnsi="Segoe UI"/>
                <w:color w:val="1F2937"/>
                <w:sz w:val="18"/>
              </w:rPr>
              <w:t>Laag</w:t>
            </w:r>
          </w:p>
        </w:tc>
      </w:tr>
      <w:tr>
        <w:tc>
          <w:tcPr>
            <w:tcW w:type="dxa" w:w="1984"/>
          </w:tcPr>
          <w:p>
            <w:r/>
            <w:r>
              <w:rPr>
                <w:rFonts w:ascii="Segoe UI" w:hAnsi="Segoe UI"/>
                <w:color w:val="1F2937"/>
                <w:sz w:val="18"/>
              </w:rPr>
              <w:t>Calciumhydroxide</w:t>
            </w:r>
          </w:p>
        </w:tc>
        <w:tc>
          <w:tcPr>
            <w:tcW w:type="dxa" w:w="1134"/>
          </w:tcPr>
          <w:p>
            <w:r/>
            <w:r>
              <w:rPr>
                <w:rFonts w:ascii="Segoe UI" w:hAnsi="Segoe UI"/>
                <w:color w:val="1F2937"/>
                <w:sz w:val="18"/>
              </w:rPr>
              <w:t>1305-62-0</w:t>
            </w:r>
          </w:p>
        </w:tc>
        <w:tc>
          <w:tcPr>
            <w:tcW w:type="dxa" w:w="850"/>
          </w:tcPr>
          <w:p>
            <w:r/>
            <w:r>
              <w:rPr>
                <w:rFonts w:ascii="Segoe UI" w:hAnsi="Segoe UI"/>
                <w:color w:val="1F2937"/>
                <w:sz w:val="18"/>
              </w:rPr>
              <w:t>Ja</w:t>
            </w:r>
          </w:p>
        </w:tc>
        <w:tc>
          <w:tcPr>
            <w:tcW w:type="dxa" w:w="1984"/>
          </w:tcPr>
          <w:p>
            <w:r/>
            <w:r>
              <w:rPr>
                <w:rFonts w:ascii="Segoe UI" w:hAnsi="Segoe UI"/>
                <w:color w:val="1F2937"/>
                <w:sz w:val="18"/>
              </w:rPr>
              <w:t>Commercieel verkrijgbaar</w:t>
            </w:r>
          </w:p>
        </w:tc>
        <w:tc>
          <w:tcPr>
            <w:tcW w:type="dxa" w:w="850"/>
          </w:tcPr>
          <w:p>
            <w:r/>
            <w:r>
              <w:rPr>
                <w:rFonts w:ascii="Segoe UI" w:hAnsi="Segoe UI"/>
                <w:color w:val="1F2937"/>
                <w:sz w:val="18"/>
              </w:rPr>
              <w:t>Laag</w:t>
            </w:r>
          </w:p>
        </w:tc>
      </w:tr>
      <w:tr>
        <w:tc>
          <w:tcPr>
            <w:tcW w:type="dxa" w:w="1984"/>
            <w:shd w:fill="F0F4F8"/>
          </w:tcPr>
          <w:p>
            <w:r/>
            <w:r>
              <w:rPr>
                <w:rFonts w:ascii="Segoe UI" w:hAnsi="Segoe UI"/>
                <w:color w:val="1F2937"/>
                <w:sz w:val="18"/>
              </w:rPr>
              <w:t>Gips (calciumsulfaat dihydraat)</w:t>
            </w:r>
          </w:p>
        </w:tc>
        <w:tc>
          <w:tcPr>
            <w:tcW w:type="dxa" w:w="1134"/>
            <w:shd w:fill="F0F4F8"/>
          </w:tcPr>
          <w:p>
            <w:r/>
            <w:r>
              <w:rPr>
                <w:rFonts w:ascii="Segoe UI" w:hAnsi="Segoe UI"/>
                <w:color w:val="1F2937"/>
                <w:sz w:val="18"/>
              </w:rPr>
              <w:t>7778-18-9</w:t>
            </w:r>
          </w:p>
        </w:tc>
        <w:tc>
          <w:tcPr>
            <w:tcW w:type="dxa" w:w="850"/>
            <w:shd w:fill="F0F4F8"/>
          </w:tcPr>
          <w:p>
            <w:r/>
            <w:r>
              <w:rPr>
                <w:rFonts w:ascii="Segoe UI" w:hAnsi="Segoe UI"/>
                <w:color w:val="1F2937"/>
                <w:sz w:val="18"/>
              </w:rPr>
              <w:t>Ja</w:t>
            </w:r>
          </w:p>
        </w:tc>
        <w:tc>
          <w:tcPr>
            <w:tcW w:type="dxa" w:w="1984"/>
            <w:shd w:fill="F0F4F8"/>
          </w:tcPr>
          <w:p>
            <w:r/>
            <w:r>
              <w:rPr>
                <w:rFonts w:ascii="Segoe UI" w:hAnsi="Segoe UI"/>
                <w:color w:val="1F2937"/>
                <w:sz w:val="18"/>
              </w:rPr>
              <w:t>Commercieel verkrijgbaar</w:t>
            </w:r>
          </w:p>
        </w:tc>
        <w:tc>
          <w:tcPr>
            <w:tcW w:type="dxa" w:w="850"/>
            <w:shd w:fill="F0F4F8"/>
          </w:tcPr>
          <w:p>
            <w:r/>
            <w:r>
              <w:rPr>
                <w:rFonts w:ascii="Segoe UI" w:hAnsi="Segoe UI"/>
                <w:color w:val="1F2937"/>
                <w:sz w:val="18"/>
              </w:rPr>
              <w:t>Laag</w:t>
            </w:r>
          </w:p>
        </w:tc>
      </w:tr>
    </w:tbl>
    <w:p>
      <w:r>
        <w:rPr>
          <w:rFonts w:ascii="Segoe UI" w:hAnsi="Segoe UI"/>
          <w:b w:val="0"/>
          <w:i w:val="0"/>
          <w:color w:val="1F2937"/>
          <w:sz w:val="22"/>
        </w:rPr>
        <w:t>Nebijproducten zijn reeds geregistreerd door andere partijen. Bij verkoop ≥ 1 ton/jaar is Phoenix Metals downstream user. Bij eigen productie en verkoop is een LoA of eigen registratie vereist — afhankelijk van de schaal.</w:t>
      </w:r>
    </w:p>
    <w:p>
      <w:r>
        <w:br w:type="page"/>
      </w:r>
    </w:p>
    <w:p>
      <w:pPr>
        <w:pStyle w:val="Heading1"/>
      </w:pPr>
      <w:r>
        <w:rPr>
          <w:rFonts w:ascii="Segoe UI" w:hAnsi="Segoe UI"/>
          <w:color w:val="003366"/>
          <w:sz w:val="40"/>
        </w:rPr>
        <w:t>Vanadium Consortium Assessment</w:t>
      </w:r>
    </w:p>
    <w:p>
      <w:r>
        <w:rPr>
          <w:rFonts w:ascii="Segoe UI" w:hAnsi="Segoe UI"/>
          <w:b w:val="0"/>
          <w:i w:val="0"/>
          <w:color w:val="1F2937"/>
          <w:sz w:val="22"/>
        </w:rPr>
        <w:t>Het Vanadium Consortium (vanadiumconsortium.com) beheert REACH-registraties voor 19 vanadiumhoudende stoffen. Voor Phoenix Metals zijn de volgende registraties relevant: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pPr>
              <w:jc w:val="center"/>
            </w:pPr>
            <w:r/>
            <w:r>
              <w:rPr>
                <w:rFonts w:ascii="Segoe UI" w:hAnsi="Segoe UI"/>
                <w:b/>
                <w:color w:val="FFFFFF"/>
                <w:sz w:val="20"/>
              </w:rPr>
              <w:t>Stof</w:t>
            </w:r>
          </w:p>
        </w:tc>
        <w:tc>
          <w:tcPr>
            <w:tcW w:type="dxa" w:w="1134"/>
            <w:shd w:fill="003366"/>
          </w:tcPr>
          <w:p>
            <w:pPr>
              <w:jc w:val="center"/>
            </w:pPr>
            <w:r/>
            <w:r>
              <w:rPr>
                <w:rFonts w:ascii="Segoe UI" w:hAnsi="Segoe UI"/>
                <w:b/>
                <w:color w:val="FFFFFF"/>
                <w:sz w:val="20"/>
              </w:rPr>
              <w:t>CAS</w:t>
            </w:r>
          </w:p>
        </w:tc>
        <w:tc>
          <w:tcPr>
            <w:tcW w:type="dxa" w:w="2268"/>
            <w:shd w:fill="003366"/>
          </w:tcPr>
          <w:p>
            <w:pPr>
              <w:jc w:val="center"/>
            </w:pPr>
            <w:r/>
            <w:r>
              <w:rPr>
                <w:rFonts w:ascii="Segoe UI" w:hAnsi="Segoe UI"/>
                <w:b/>
                <w:color w:val="FFFFFF"/>
                <w:sz w:val="20"/>
              </w:rPr>
              <w:t>Relatie Phoenix Metals</w:t>
            </w:r>
          </w:p>
        </w:tc>
        <w:tc>
          <w:tcPr>
            <w:tcW w:type="dxa" w:w="1417"/>
            <w:shd w:fill="003366"/>
          </w:tcPr>
          <w:p>
            <w:pPr>
              <w:jc w:val="center"/>
            </w:pPr>
            <w:r/>
            <w:r>
              <w:rPr>
                <w:rFonts w:ascii="Segoe UI" w:hAnsi="Segoe UI"/>
                <w:b/>
                <w:color w:val="FFFFFF"/>
                <w:sz w:val="20"/>
              </w:rPr>
              <w:t>Relevantie</w:t>
            </w:r>
          </w:p>
        </w:tc>
      </w:tr>
      <w:tr>
        <w:tc>
          <w:tcPr>
            <w:tcW w:type="dxa" w:w="1984"/>
          </w:tcPr>
          <w:p>
            <w:r/>
            <w:r>
              <w:rPr>
                <w:rFonts w:ascii="Segoe UI" w:hAnsi="Segoe UI"/>
                <w:color w:val="1F2937"/>
                <w:sz w:val="18"/>
              </w:rPr>
              <w:t>Divanadium pentaoxide (V₂O₅)</w:t>
            </w:r>
          </w:p>
        </w:tc>
        <w:tc>
          <w:tcPr>
            <w:tcW w:type="dxa" w:w="1134"/>
          </w:tcPr>
          <w:p>
            <w:r/>
            <w:r>
              <w:rPr>
                <w:rFonts w:ascii="Segoe UI" w:hAnsi="Segoe UI"/>
                <w:color w:val="1F2937"/>
                <w:sz w:val="18"/>
              </w:rPr>
              <w:t>1314-62-1</w:t>
            </w:r>
          </w:p>
        </w:tc>
        <w:tc>
          <w:tcPr>
            <w:tcW w:type="dxa" w:w="2268"/>
          </w:tcPr>
          <w:p>
            <w:r/>
            <w:r>
              <w:rPr>
                <w:rFonts w:ascii="Segoe UI" w:hAnsi="Segoe UI"/>
                <w:color w:val="1F2937"/>
                <w:sz w:val="18"/>
              </w:rPr>
              <w:t>PRIMAIR PRODUCT</w:t>
            </w:r>
          </w:p>
        </w:tc>
        <w:tc>
          <w:tcPr>
            <w:tcW w:type="dxa" w:w="1417"/>
          </w:tcPr>
          <w:p>
            <w:r/>
            <w:r>
              <w:rPr>
                <w:rFonts w:ascii="Segoe UI" w:hAnsi="Segoe UI"/>
                <w:color w:val="1F2937"/>
                <w:sz w:val="18"/>
              </w:rPr>
              <w:t>Relevant</w:t>
            </w:r>
          </w:p>
        </w:tc>
      </w:tr>
      <w:tr>
        <w:tc>
          <w:tcPr>
            <w:tcW w:type="dxa" w:w="1984"/>
            <w:shd w:fill="F0F4F8"/>
          </w:tcPr>
          <w:p>
            <w:r/>
            <w:r>
              <w:rPr>
                <w:rFonts w:ascii="Segoe UI" w:hAnsi="Segoe UI"/>
                <w:color w:val="1F2937"/>
                <w:sz w:val="18"/>
              </w:rPr>
              <w:t>Sodium metavanadate</w:t>
            </w:r>
          </w:p>
        </w:tc>
        <w:tc>
          <w:tcPr>
            <w:tcW w:type="dxa" w:w="1134"/>
            <w:shd w:fill="F0F4F8"/>
          </w:tcPr>
          <w:p>
            <w:r/>
            <w:r>
              <w:rPr>
                <w:rFonts w:ascii="Segoe UI" w:hAnsi="Segoe UI"/>
                <w:color w:val="1F2937"/>
                <w:sz w:val="18"/>
              </w:rPr>
              <w:t>13718-26-8</w:t>
            </w:r>
          </w:p>
        </w:tc>
        <w:tc>
          <w:tcPr>
            <w:tcW w:type="dxa" w:w="2268"/>
            <w:shd w:fill="F0F4F8"/>
          </w:tcPr>
          <w:p>
            <w:r/>
            <w:r>
              <w:rPr>
                <w:rFonts w:ascii="Segoe UI" w:hAnsi="Segoe UI"/>
                <w:color w:val="1F2937"/>
                <w:sz w:val="18"/>
              </w:rPr>
              <w:t>SARU ash component</w:t>
            </w:r>
          </w:p>
        </w:tc>
        <w:tc>
          <w:tcPr>
            <w:tcW w:type="dxa" w:w="1417"/>
            <w:shd w:fill="F0F4F8"/>
          </w:tcPr>
          <w:p>
            <w:r/>
            <w:r>
              <w:rPr>
                <w:rFonts w:ascii="Segoe UI" w:hAnsi="Segoe UI"/>
                <w:color w:val="1F2937"/>
                <w:sz w:val="18"/>
              </w:rPr>
              <w:t>Relevant</w:t>
            </w:r>
          </w:p>
        </w:tc>
      </w:tr>
      <w:tr>
        <w:tc>
          <w:tcPr>
            <w:tcW w:type="dxa" w:w="1984"/>
          </w:tcPr>
          <w:p>
            <w:r/>
            <w:r>
              <w:rPr>
                <w:rFonts w:ascii="Segoe UI" w:hAnsi="Segoe UI"/>
                <w:color w:val="1F2937"/>
                <w:sz w:val="18"/>
              </w:rPr>
              <w:t>Slags, steelmaking, vanadium</w:t>
            </w:r>
          </w:p>
        </w:tc>
        <w:tc>
          <w:tcPr>
            <w:tcW w:type="dxa" w:w="1134"/>
          </w:tcPr>
          <w:p>
            <w:r/>
            <w:r>
              <w:rPr>
                <w:rFonts w:ascii="Segoe UI" w:hAnsi="Segoe UI"/>
                <w:color w:val="1F2937"/>
                <w:sz w:val="18"/>
              </w:rPr>
              <w:t>60912-34-6</w:t>
            </w:r>
          </w:p>
        </w:tc>
        <w:tc>
          <w:tcPr>
            <w:tcW w:type="dxa" w:w="2268"/>
          </w:tcPr>
          <w:p>
            <w:r/>
            <w:r>
              <w:rPr>
                <w:rFonts w:ascii="Segoe UI" w:hAnsi="Segoe UI"/>
                <w:color w:val="1F2937"/>
                <w:sz w:val="18"/>
              </w:rPr>
              <w:t>STAALSLAKKEN — direct relevant</w:t>
            </w:r>
          </w:p>
        </w:tc>
        <w:tc>
          <w:tcPr>
            <w:tcW w:type="dxa" w:w="1417"/>
          </w:tcPr>
          <w:p>
            <w:r/>
            <w:r>
              <w:rPr>
                <w:rFonts w:ascii="Segoe UI" w:hAnsi="Segoe UI"/>
                <w:color w:val="1F2937"/>
                <w:sz w:val="18"/>
              </w:rPr>
              <w:t>Zeer relevant</w:t>
            </w:r>
          </w:p>
        </w:tc>
      </w:tr>
      <w:tr>
        <w:tc>
          <w:tcPr>
            <w:tcW w:type="dxa" w:w="1984"/>
            <w:shd w:fill="F0F4F8"/>
          </w:tcPr>
          <w:p>
            <w:r/>
            <w:r>
              <w:rPr>
                <w:rFonts w:ascii="Segoe UI" w:hAnsi="Segoe UI"/>
                <w:color w:val="1F2937"/>
                <w:sz w:val="18"/>
              </w:rPr>
              <w:t>Vanadium</w:t>
            </w:r>
          </w:p>
        </w:tc>
        <w:tc>
          <w:tcPr>
            <w:tcW w:type="dxa" w:w="1134"/>
            <w:shd w:fill="F0F4F8"/>
          </w:tcPr>
          <w:p>
            <w:r/>
            <w:r>
              <w:rPr>
                <w:rFonts w:ascii="Segoe UI" w:hAnsi="Segoe UI"/>
                <w:color w:val="1F2937"/>
                <w:sz w:val="18"/>
              </w:rPr>
              <w:t>7440-62-2</w:t>
            </w:r>
          </w:p>
        </w:tc>
        <w:tc>
          <w:tcPr>
            <w:tcW w:type="dxa" w:w="2268"/>
            <w:shd w:fill="F0F4F8"/>
          </w:tcPr>
          <w:p>
            <w:r/>
            <w:r>
              <w:rPr>
                <w:rFonts w:ascii="Segoe UI" w:hAnsi="Segoe UI"/>
                <w:color w:val="1F2937"/>
                <w:sz w:val="18"/>
              </w:rPr>
              <w:t>Elementair vanadium</w:t>
            </w:r>
          </w:p>
        </w:tc>
        <w:tc>
          <w:tcPr>
            <w:tcW w:type="dxa" w:w="1417"/>
            <w:shd w:fill="F0F4F8"/>
          </w:tcPr>
          <w:p>
            <w:r/>
            <w:r>
              <w:rPr>
                <w:rFonts w:ascii="Segoe UI" w:hAnsi="Segoe UI"/>
                <w:color w:val="1F2937"/>
                <w:sz w:val="18"/>
              </w:rPr>
              <w:t>Mogelijk relevant</w:t>
            </w:r>
          </w:p>
        </w:tc>
      </w:tr>
      <w:tr>
        <w:tc>
          <w:tcPr>
            <w:tcW w:type="dxa" w:w="1984"/>
          </w:tcPr>
          <w:p>
            <w:r/>
            <w:r>
              <w:rPr>
                <w:rFonts w:ascii="Segoe UI" w:hAnsi="Segoe UI"/>
                <w:color w:val="1F2937"/>
                <w:sz w:val="18"/>
              </w:rPr>
              <w:t>Vanadium oxide sulphate</w:t>
            </w:r>
          </w:p>
        </w:tc>
        <w:tc>
          <w:tcPr>
            <w:tcW w:type="dxa" w:w="1134"/>
          </w:tcPr>
          <w:p>
            <w:r/>
            <w:r>
              <w:rPr>
                <w:rFonts w:ascii="Segoe UI" w:hAnsi="Segoe UI"/>
                <w:color w:val="1F2937"/>
                <w:sz w:val="18"/>
              </w:rPr>
              <w:t>27774-13-6</w:t>
            </w:r>
          </w:p>
        </w:tc>
        <w:tc>
          <w:tcPr>
            <w:tcW w:type="dxa" w:w="2268"/>
          </w:tcPr>
          <w:p>
            <w:r/>
            <w:r>
              <w:rPr>
                <w:rFonts w:ascii="Segoe UI" w:hAnsi="Segoe UI"/>
                <w:color w:val="1F2937"/>
                <w:sz w:val="18"/>
              </w:rPr>
              <w:t>Elektrolyt-component</w:t>
            </w:r>
          </w:p>
        </w:tc>
        <w:tc>
          <w:tcPr>
            <w:tcW w:type="dxa" w:w="1417"/>
          </w:tcPr>
          <w:p>
            <w:r/>
            <w:r>
              <w:rPr>
                <w:rFonts w:ascii="Segoe UI" w:hAnsi="Segoe UI"/>
                <w:color w:val="1F2937"/>
                <w:sz w:val="18"/>
              </w:rPr>
              <w:t>Relevant</w:t>
            </w:r>
          </w:p>
        </w:tc>
      </w:tr>
      <w:tr>
        <w:tc>
          <w:tcPr>
            <w:tcW w:type="dxa" w:w="1984"/>
            <w:shd w:fill="F0F4F8"/>
          </w:tcPr>
          <w:p>
            <w:r/>
            <w:r>
              <w:rPr>
                <w:rFonts w:ascii="Segoe UI" w:hAnsi="Segoe UI"/>
                <w:color w:val="1F2937"/>
                <w:sz w:val="18"/>
              </w:rPr>
              <w:t>Divanadium tris(sulphate)</w:t>
            </w:r>
          </w:p>
        </w:tc>
        <w:tc>
          <w:tcPr>
            <w:tcW w:type="dxa" w:w="1134"/>
            <w:shd w:fill="F0F4F8"/>
          </w:tcPr>
          <w:p>
            <w:r/>
            <w:r>
              <w:rPr>
                <w:rFonts w:ascii="Segoe UI" w:hAnsi="Segoe UI"/>
                <w:color w:val="1F2937"/>
                <w:sz w:val="18"/>
              </w:rPr>
              <w:t>13701-70-7</w:t>
            </w:r>
          </w:p>
        </w:tc>
        <w:tc>
          <w:tcPr>
            <w:tcW w:type="dxa" w:w="2268"/>
            <w:shd w:fill="F0F4F8"/>
          </w:tcPr>
          <w:p>
            <w:r/>
            <w:r>
              <w:rPr>
                <w:rFonts w:ascii="Segoe UI" w:hAnsi="Segoe UI"/>
                <w:color w:val="1F2937"/>
                <w:sz w:val="18"/>
              </w:rPr>
              <w:t>Elektrolyt-component</w:t>
            </w:r>
          </w:p>
        </w:tc>
        <w:tc>
          <w:tcPr>
            <w:tcW w:type="dxa" w:w="1417"/>
            <w:shd w:fill="F0F4F8"/>
          </w:tcPr>
          <w:p>
            <w:r/>
            <w:r>
              <w:rPr>
                <w:rFonts w:ascii="Segoe UI" w:hAnsi="Segoe UI"/>
                <w:color w:val="1F2937"/>
                <w:sz w:val="18"/>
              </w:rPr>
              <w:t>Relevant</w:t>
            </w:r>
          </w:p>
        </w:tc>
      </w:tr>
    </w:tbl>
    <w:p>
      <w:pPr>
        <w:pStyle w:val="Heading2"/>
      </w:pPr>
      <w:r>
        <w:rPr>
          <w:rFonts w:ascii="Segoe UI" w:hAnsi="Segoe UI"/>
          <w:color w:val="003366"/>
          <w:sz w:val="32"/>
        </w:rPr>
        <w:t>Opties Analyse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134"/>
            <w:shd w:fill="003366"/>
          </w:tcPr>
          <w:p>
            <w:pPr>
              <w:jc w:val="center"/>
            </w:pPr>
            <w:r/>
            <w:r>
              <w:rPr>
                <w:rFonts w:ascii="Segoe UI" w:hAnsi="Segoe UI"/>
                <w:b/>
                <w:color w:val="FFFFFF"/>
                <w:sz w:val="20"/>
              </w:rPr>
              <w:t>Optie</w:t>
            </w:r>
          </w:p>
        </w:tc>
        <w:tc>
          <w:tcPr>
            <w:tcW w:type="dxa" w:w="1417"/>
            <w:shd w:fill="003366"/>
          </w:tcPr>
          <w:p>
            <w:pPr>
              <w:jc w:val="center"/>
            </w:pPr>
            <w:r/>
            <w:r>
              <w:rPr>
                <w:rFonts w:ascii="Segoe UI" w:hAnsi="Segoe UI"/>
                <w:b/>
                <w:color w:val="FFFFFF"/>
                <w:sz w:val="20"/>
              </w:rPr>
              <w:t>Beschrijving</w:t>
            </w:r>
          </w:p>
        </w:tc>
        <w:tc>
          <w:tcPr>
            <w:tcW w:type="dxa" w:w="1701"/>
            <w:shd w:fill="003366"/>
          </w:tcPr>
          <w:p>
            <w:pPr>
              <w:jc w:val="center"/>
            </w:pPr>
            <w:r/>
            <w:r>
              <w:rPr>
                <w:rFonts w:ascii="Segoe UI" w:hAnsi="Segoe UI"/>
                <w:b/>
                <w:color w:val="FFFFFF"/>
                <w:sz w:val="20"/>
              </w:rPr>
              <w:t>Voordelen</w:t>
            </w:r>
          </w:p>
        </w:tc>
        <w:tc>
          <w:tcPr>
            <w:tcW w:type="dxa" w:w="1417"/>
            <w:shd w:fill="003366"/>
          </w:tcPr>
          <w:p>
            <w:pPr>
              <w:jc w:val="center"/>
            </w:pPr>
            <w:r/>
            <w:r>
              <w:rPr>
                <w:rFonts w:ascii="Segoe UI" w:hAnsi="Segoe UI"/>
                <w:b/>
                <w:color w:val="FFFFFF"/>
                <w:sz w:val="20"/>
              </w:rPr>
              <w:t>Kostenindicatie</w:t>
            </w:r>
          </w:p>
        </w:tc>
        <w:tc>
          <w:tcPr>
            <w:tcW w:type="dxa" w:w="2268"/>
            <w:shd w:fill="003366"/>
          </w:tcPr>
          <w:p>
            <w:pPr>
              <w:jc w:val="center"/>
            </w:pPr>
            <w:r/>
            <w:r>
              <w:rPr>
                <w:rFonts w:ascii="Segoe UI" w:hAnsi="Segoe UI"/>
                <w:b/>
                <w:color w:val="FFFFFF"/>
                <w:sz w:val="20"/>
              </w:rPr>
              <w:t>Advies</w:t>
            </w:r>
          </w:p>
        </w:tc>
      </w:tr>
      <w:tr>
        <w:tc>
          <w:tcPr>
            <w:tcW w:type="dxa" w:w="1134"/>
          </w:tcPr>
          <w:p>
            <w:r/>
            <w:r>
              <w:rPr>
                <w:rFonts w:ascii="Segoe UI" w:hAnsi="Segoe UI"/>
                <w:color w:val="1F2937"/>
                <w:sz w:val="18"/>
              </w:rPr>
              <w:t>Full Membership</w:t>
            </w:r>
          </w:p>
        </w:tc>
        <w:tc>
          <w:tcPr>
            <w:tcW w:type="dxa" w:w="1417"/>
          </w:tcPr>
          <w:p>
            <w:r/>
            <w:r>
              <w:rPr>
                <w:rFonts w:ascii="Segoe UI" w:hAnsi="Segoe UI"/>
                <w:color w:val="1F2937"/>
                <w:sz w:val="18"/>
              </w:rPr>
              <w:t>Volledig lidmaatschap consortium</w:t>
            </w:r>
          </w:p>
        </w:tc>
        <w:tc>
          <w:tcPr>
            <w:tcW w:type="dxa" w:w="1701"/>
          </w:tcPr>
          <w:p>
            <w:r/>
            <w:r>
              <w:rPr>
                <w:rFonts w:ascii="Segoe UI" w:hAnsi="Segoe UI"/>
                <w:color w:val="1F2937"/>
                <w:sz w:val="18"/>
              </w:rPr>
              <w:t>Volledige toegang alle 19 registraties, stemrecht</w:t>
            </w:r>
          </w:p>
        </w:tc>
        <w:tc>
          <w:tcPr>
            <w:tcW w:type="dxa" w:w="1417"/>
          </w:tcPr>
          <w:p>
            <w:r/>
            <w:r>
              <w:rPr>
                <w:rFonts w:ascii="Segoe UI" w:hAnsi="Segoe UI"/>
                <w:color w:val="1F2937"/>
                <w:sz w:val="18"/>
              </w:rPr>
              <w:t>~€50.000 – €100.000/jaar</w:t>
            </w:r>
          </w:p>
        </w:tc>
        <w:tc>
          <w:tcPr>
            <w:tcW w:type="dxa" w:w="2268"/>
          </w:tcPr>
          <w:p>
            <w:r/>
            <w:r>
              <w:rPr>
                <w:rFonts w:ascii="Segoe UI" w:hAnsi="Segoe UI"/>
                <w:color w:val="1F2937"/>
                <w:sz w:val="18"/>
              </w:rPr>
              <w:t>Alleen bij FOAK met brede vanadiumproductie</w:t>
            </w:r>
          </w:p>
        </w:tc>
      </w:tr>
      <w:tr>
        <w:tc>
          <w:tcPr>
            <w:tcW w:type="dxa" w:w="1134"/>
            <w:shd w:fill="F0F4F8"/>
          </w:tcPr>
          <w:p>
            <w:r/>
            <w:r>
              <w:rPr>
                <w:rFonts w:ascii="Segoe UI" w:hAnsi="Segoe UI"/>
                <w:color w:val="1F2937"/>
                <w:sz w:val="18"/>
              </w:rPr>
              <w:t>Letter of Access (LoA)</w:t>
            </w:r>
          </w:p>
        </w:tc>
        <w:tc>
          <w:tcPr>
            <w:tcW w:type="dxa" w:w="1417"/>
            <w:shd w:fill="F0F4F8"/>
          </w:tcPr>
          <w:p>
            <w:r/>
            <w:r>
              <w:rPr>
                <w:rFonts w:ascii="Segoe UI" w:hAnsi="Segoe UI"/>
                <w:color w:val="1F2937"/>
                <w:sz w:val="18"/>
              </w:rPr>
              <w:t>Toegang tot specifieke registratie(s)</w:t>
            </w:r>
          </w:p>
        </w:tc>
        <w:tc>
          <w:tcPr>
            <w:tcW w:type="dxa" w:w="1701"/>
            <w:shd w:fill="F0F4F8"/>
          </w:tcPr>
          <w:p>
            <w:r/>
            <w:r>
              <w:rPr>
                <w:rFonts w:ascii="Segoe UI" w:hAnsi="Segoe UI"/>
                <w:color w:val="1F2937"/>
                <w:sz w:val="18"/>
              </w:rPr>
              <w:t>Beperkt tot gekozen stof(en), geen stemrecht</w:t>
            </w:r>
          </w:p>
        </w:tc>
        <w:tc>
          <w:tcPr>
            <w:tcW w:type="dxa" w:w="1417"/>
            <w:shd w:fill="F0F4F8"/>
          </w:tcPr>
          <w:p>
            <w:r/>
            <w:r>
              <w:rPr>
                <w:rFonts w:ascii="Segoe UI" w:hAnsi="Segoe UI"/>
                <w:color w:val="1F2937"/>
                <w:sz w:val="18"/>
              </w:rPr>
              <w:t>~€5.000 – €20.000 per stof per band</w:t>
            </w:r>
          </w:p>
        </w:tc>
        <w:tc>
          <w:tcPr>
            <w:tcW w:type="dxa" w:w="2268"/>
            <w:shd w:fill="F0F4F8"/>
          </w:tcPr>
          <w:p>
            <w:r/>
            <w:r>
              <w:rPr>
                <w:rFonts w:ascii="Segoe UI" w:hAnsi="Segoe UI"/>
                <w:color w:val="1F2937"/>
                <w:sz w:val="18"/>
              </w:rPr>
              <w:t>AANBEVOLEN: V₂O₅ LoA voor pilot/FOAK-start</w:t>
            </w:r>
          </w:p>
        </w:tc>
      </w:tr>
    </w:tbl>
    <w:p>
      <w:pPr>
        <w:spacing w:before="160" w:after="160"/>
        <w:ind w:left="567"/>
        <w:shd w:fill="ECFDF5" w:val="clear"/>
        <w:pBdr>
          <w:left w:val="single" w:sz="24" w:space="8" w:color="00A859"/>
        </w:pBdr>
      </w:pPr>
      <w:r>
        <w:rPr>
          <w:rFonts w:ascii="Segoe UI" w:hAnsi="Segoe UI"/>
          <w:color w:val="1F2937"/>
          <w:sz w:val="20"/>
        </w:rPr>
        <w:t>✅ ADVIES: Start met een LoA voor V₂O₅ (CAS 1314-62-1). Dit dekt de primaire registratiebehoefte voor de pilot- en vroege FOAK-fase. Full membership is pas relevant bij commerciële productie van meerdere vanadiumverbindingen.</w:t>
      </w:r>
    </w:p>
    <w:p>
      <w:r>
        <w:br w:type="page"/>
      </w:r>
    </w:p>
    <w:p>
      <w:pPr>
        <w:pStyle w:val="Heading1"/>
      </w:pPr>
      <w:r>
        <w:rPr>
          <w:rFonts w:ascii="Segoe UI" w:hAnsi="Segoe UI"/>
          <w:color w:val="003366"/>
          <w:sz w:val="40"/>
        </w:rPr>
        <w:t>REACH Compliance Routes</w:t>
      </w:r>
    </w:p>
    <w:p>
      <w:r>
        <w:rPr>
          <w:rFonts w:ascii="Segoe UI" w:hAnsi="Segoe UI"/>
          <w:b w:val="0"/>
          <w:i w:val="0"/>
          <w:color w:val="1F2937"/>
          <w:sz w:val="22"/>
        </w:rPr>
        <w:t>Per bedrijfsfase gelden verschillende REACH-routes. De onderstaande analyse koppelt elke route aan de specifieke situatie van Phoenix Metals.</w:t>
      </w:r>
    </w:p>
    <w:p>
      <w:pPr>
        <w:pStyle w:val="Heading2"/>
      </w:pPr>
      <w:r>
        <w:rPr>
          <w:rFonts w:ascii="Segoe UI" w:hAnsi="Segoe UI"/>
          <w:color w:val="003366"/>
          <w:sz w:val="32"/>
        </w:rPr>
        <w:t>Route A: Scientific R&amp;D (Artikel 3(23))</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pPr>
              <w:jc w:val="center"/>
            </w:pPr>
            <w:r/>
            <w:r>
              <w:rPr>
                <w:rFonts w:ascii="Segoe UI" w:hAnsi="Segoe UI"/>
                <w:b/>
                <w:color w:val="FFFFFF"/>
                <w:sz w:val="20"/>
              </w:rPr>
              <w:t>Parameter</w:t>
            </w:r>
          </w:p>
        </w:tc>
        <w:tc>
          <w:tcPr>
            <w:tcW w:type="dxa" w:w="7937"/>
            <w:shd w:fill="003366"/>
          </w:tcPr>
          <w:p>
            <w:pPr>
              <w:jc w:val="center"/>
            </w:pPr>
            <w:r/>
            <w:r>
              <w:rPr>
                <w:rFonts w:ascii="Segoe UI" w:hAnsi="Segoe UI"/>
                <w:b/>
                <w:color w:val="FFFFFF"/>
                <w:sz w:val="20"/>
              </w:rPr>
              <w:t>Detail</w:t>
            </w:r>
          </w:p>
        </w:tc>
      </w:tr>
      <w:tr>
        <w:tc>
          <w:tcPr>
            <w:tcW w:type="dxa" w:w="1701"/>
          </w:tcPr>
          <w:p>
            <w:r/>
            <w:r>
              <w:rPr>
                <w:rFonts w:ascii="Segoe UI" w:hAnsi="Segoe UI"/>
                <w:color w:val="1F2937"/>
                <w:sz w:val="18"/>
              </w:rPr>
              <w:t>Volume limiet</w:t>
            </w:r>
          </w:p>
        </w:tc>
        <w:tc>
          <w:tcPr>
            <w:tcW w:type="dxa" w:w="7937"/>
          </w:tcPr>
          <w:p>
            <w:r/>
            <w:r>
              <w:rPr>
                <w:rFonts w:ascii="Segoe UI" w:hAnsi="Segoe UI"/>
                <w:color w:val="1F2937"/>
                <w:sz w:val="18"/>
              </w:rPr>
              <w:t>&lt; 1 ton/jaar per stof</w:t>
            </w:r>
          </w:p>
        </w:tc>
      </w:tr>
      <w:tr>
        <w:tc>
          <w:tcPr>
            <w:tcW w:type="dxa" w:w="1701"/>
            <w:shd w:fill="F0F4F8"/>
          </w:tcPr>
          <w:p>
            <w:r/>
            <w:r>
              <w:rPr>
                <w:rFonts w:ascii="Segoe UI" w:hAnsi="Segoe UI"/>
                <w:color w:val="1F2937"/>
                <w:sz w:val="18"/>
              </w:rPr>
              <w:t>Voorwaarden</w:t>
            </w:r>
          </w:p>
        </w:tc>
        <w:tc>
          <w:tcPr>
            <w:tcW w:type="dxa" w:w="7937"/>
            <w:shd w:fill="F0F4F8"/>
          </w:tcPr>
          <w:p>
            <w:r/>
            <w:r>
              <w:rPr>
                <w:rFonts w:ascii="Segoe UI" w:hAnsi="Segoe UI"/>
                <w:color w:val="1F2937"/>
                <w:sz w:val="18"/>
              </w:rPr>
              <w:t>Gecontroleerde omstandigheden, niet voor commerciële doeleinden</w:t>
            </w:r>
          </w:p>
        </w:tc>
      </w:tr>
      <w:tr>
        <w:tc>
          <w:tcPr>
            <w:tcW w:type="dxa" w:w="1701"/>
          </w:tcPr>
          <w:p>
            <w:r/>
            <w:r>
              <w:rPr>
                <w:rFonts w:ascii="Segoe UI" w:hAnsi="Segoe UI"/>
                <w:color w:val="1F2937"/>
                <w:sz w:val="18"/>
              </w:rPr>
              <w:t>Notificatie</w:t>
            </w:r>
          </w:p>
        </w:tc>
        <w:tc>
          <w:tcPr>
            <w:tcW w:type="dxa" w:w="7937"/>
          </w:tcPr>
          <w:p>
            <w:r/>
            <w:r>
              <w:rPr>
                <w:rFonts w:ascii="Segoe UI" w:hAnsi="Segoe UI"/>
                <w:color w:val="1F2937"/>
                <w:sz w:val="18"/>
              </w:rPr>
              <w:t>Niet vereist — automatische uitzondering</w:t>
            </w:r>
          </w:p>
        </w:tc>
      </w:tr>
      <w:tr>
        <w:tc>
          <w:tcPr>
            <w:tcW w:type="dxa" w:w="1701"/>
            <w:shd w:fill="F0F4F8"/>
          </w:tcPr>
          <w:p>
            <w:r/>
            <w:r>
              <w:rPr>
                <w:rFonts w:ascii="Segoe UI" w:hAnsi="Segoe UI"/>
                <w:color w:val="1F2937"/>
                <w:sz w:val="18"/>
              </w:rPr>
              <w:t>Toepasbaarheid Phoenix Metals</w:t>
            </w:r>
          </w:p>
        </w:tc>
        <w:tc>
          <w:tcPr>
            <w:tcW w:type="dxa" w:w="7937"/>
            <w:shd w:fill="F0F4F8"/>
          </w:tcPr>
          <w:p>
            <w:r/>
            <w:r>
              <w:rPr>
                <w:rFonts w:ascii="Segoe UI" w:hAnsi="Segoe UI"/>
                <w:color w:val="1F2937"/>
                <w:sz w:val="18"/>
              </w:rPr>
              <w:t>JA — SARU ash demo (&lt;60 kg, &lt;3 maanden) kwalificeert volledig</w:t>
            </w:r>
          </w:p>
        </w:tc>
      </w:tr>
      <w:tr>
        <w:tc>
          <w:tcPr>
            <w:tcW w:type="dxa" w:w="1701"/>
          </w:tcPr>
          <w:p>
            <w:r/>
            <w:r>
              <w:rPr>
                <w:rFonts w:ascii="Segoe UI" w:hAnsi="Segoe UI"/>
                <w:color w:val="1F2937"/>
                <w:sz w:val="18"/>
              </w:rPr>
              <w:t>Beperking</w:t>
            </w:r>
          </w:p>
        </w:tc>
        <w:tc>
          <w:tcPr>
            <w:tcW w:type="dxa" w:w="7937"/>
          </w:tcPr>
          <w:p>
            <w:r/>
            <w:r>
              <w:rPr>
                <w:rFonts w:ascii="Segoe UI" w:hAnsi="Segoe UI"/>
                <w:color w:val="1F2937"/>
                <w:sz w:val="18"/>
              </w:rPr>
              <w:t>Niet toepasbaar bij verkoop van producten</w:t>
            </w:r>
          </w:p>
        </w:tc>
      </w:tr>
    </w:tbl>
    <w:p>
      <w:pPr>
        <w:pStyle w:val="Heading2"/>
      </w:pPr>
      <w:r>
        <w:rPr>
          <w:rFonts w:ascii="Segoe UI" w:hAnsi="Segoe UI"/>
          <w:color w:val="003366"/>
          <w:sz w:val="32"/>
        </w:rPr>
        <w:t>Route B: PPORD (Artikel 9) — MEEST RELEVANT</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pPr>
              <w:jc w:val="center"/>
            </w:pPr>
            <w:r/>
            <w:r>
              <w:rPr>
                <w:rFonts w:ascii="Segoe UI" w:hAnsi="Segoe UI"/>
                <w:b/>
                <w:color w:val="FFFFFF"/>
                <w:sz w:val="20"/>
              </w:rPr>
              <w:t>Parameter</w:t>
            </w:r>
          </w:p>
        </w:tc>
        <w:tc>
          <w:tcPr>
            <w:tcW w:type="dxa" w:w="7937"/>
            <w:shd w:fill="003366"/>
          </w:tcPr>
          <w:p>
            <w:pPr>
              <w:jc w:val="center"/>
            </w:pPr>
            <w:r/>
            <w:r>
              <w:rPr>
                <w:rFonts w:ascii="Segoe UI" w:hAnsi="Segoe UI"/>
                <w:b/>
                <w:color w:val="FFFFFF"/>
                <w:sz w:val="20"/>
              </w:rPr>
              <w:t>Detail</w:t>
            </w:r>
          </w:p>
        </w:tc>
      </w:tr>
      <w:tr>
        <w:tc>
          <w:tcPr>
            <w:tcW w:type="dxa" w:w="1701"/>
          </w:tcPr>
          <w:p>
            <w:r/>
            <w:r>
              <w:rPr>
                <w:rFonts w:ascii="Segoe UI" w:hAnsi="Segoe UI"/>
                <w:color w:val="1F2937"/>
                <w:sz w:val="18"/>
              </w:rPr>
              <w:t>Volume limiet</w:t>
            </w:r>
          </w:p>
        </w:tc>
        <w:tc>
          <w:tcPr>
            <w:tcW w:type="dxa" w:w="7937"/>
          </w:tcPr>
          <w:p>
            <w:r/>
            <w:r>
              <w:rPr>
                <w:rFonts w:ascii="Segoe UI" w:hAnsi="Segoe UI"/>
                <w:color w:val="1F2937"/>
                <w:sz w:val="18"/>
              </w:rPr>
              <w:t>Geen — elke tonnage toegestaan</w:t>
            </w:r>
          </w:p>
        </w:tc>
      </w:tr>
      <w:tr>
        <w:tc>
          <w:tcPr>
            <w:tcW w:type="dxa" w:w="1701"/>
            <w:shd w:fill="F0F4F8"/>
          </w:tcPr>
          <w:p>
            <w:r/>
            <w:r>
              <w:rPr>
                <w:rFonts w:ascii="Segoe UI" w:hAnsi="Segoe UI"/>
                <w:color w:val="1F2937"/>
                <w:sz w:val="18"/>
              </w:rPr>
              <w:t>Duur</w:t>
            </w:r>
          </w:p>
        </w:tc>
        <w:tc>
          <w:tcPr>
            <w:tcW w:type="dxa" w:w="7937"/>
            <w:shd w:fill="F0F4F8"/>
          </w:tcPr>
          <w:p>
            <w:r/>
            <w:r>
              <w:rPr>
                <w:rFonts w:ascii="Segoe UI" w:hAnsi="Segoe UI"/>
                <w:color w:val="1F2937"/>
                <w:sz w:val="18"/>
              </w:rPr>
              <w:t>5 jaar per notificatie, eenmalig verlengbaar met 5 jaar</w:t>
            </w:r>
          </w:p>
        </w:tc>
      </w:tr>
      <w:tr>
        <w:tc>
          <w:tcPr>
            <w:tcW w:type="dxa" w:w="1701"/>
          </w:tcPr>
          <w:p>
            <w:r/>
            <w:r>
              <w:rPr>
                <w:rFonts w:ascii="Segoe UI" w:hAnsi="Segoe UI"/>
                <w:color w:val="1F2937"/>
                <w:sz w:val="18"/>
              </w:rPr>
              <w:t>Notificatie</w:t>
            </w:r>
          </w:p>
        </w:tc>
        <w:tc>
          <w:tcPr>
            <w:tcW w:type="dxa" w:w="7937"/>
          </w:tcPr>
          <w:p>
            <w:r/>
            <w:r>
              <w:rPr>
                <w:rFonts w:ascii="Segoe UI" w:hAnsi="Segoe UI"/>
                <w:color w:val="1F2937"/>
                <w:sz w:val="18"/>
              </w:rPr>
              <w:t>Vereist bij ECHA — PPORD-notificatieformulier</w:t>
            </w:r>
          </w:p>
        </w:tc>
      </w:tr>
      <w:tr>
        <w:tc>
          <w:tcPr>
            <w:tcW w:type="dxa" w:w="1701"/>
            <w:shd w:fill="F0F4F8"/>
          </w:tcPr>
          <w:p>
            <w:r/>
            <w:r>
              <w:rPr>
                <w:rFonts w:ascii="Segoe UI" w:hAnsi="Segoe UI"/>
                <w:color w:val="1F2937"/>
                <w:sz w:val="18"/>
              </w:rPr>
              <w:t>Voorwaarden</w:t>
            </w:r>
          </w:p>
        </w:tc>
        <w:tc>
          <w:tcPr>
            <w:tcW w:type="dxa" w:w="7937"/>
            <w:shd w:fill="F0F4F8"/>
          </w:tcPr>
          <w:p>
            <w:r/>
            <w:r>
              <w:rPr>
                <w:rFonts w:ascii="Segoe UI" w:hAnsi="Segoe UI"/>
                <w:color w:val="1F2937"/>
                <w:sz w:val="18"/>
              </w:rPr>
              <w:t>R&amp;D gericht op product- of procesontwikkeling</w:t>
            </w:r>
          </w:p>
        </w:tc>
      </w:tr>
      <w:tr>
        <w:tc>
          <w:tcPr>
            <w:tcW w:type="dxa" w:w="1701"/>
          </w:tcPr>
          <w:p>
            <w:r/>
            <w:r>
              <w:rPr>
                <w:rFonts w:ascii="Segoe UI" w:hAnsi="Segoe UI"/>
                <w:color w:val="1F2937"/>
                <w:sz w:val="18"/>
              </w:rPr>
              <w:t>Toepasbaarheid Phoenix Metals</w:t>
            </w:r>
          </w:p>
        </w:tc>
        <w:tc>
          <w:tcPr>
            <w:tcW w:type="dxa" w:w="7937"/>
          </w:tcPr>
          <w:p>
            <w:r/>
            <w:r>
              <w:rPr>
                <w:rFonts w:ascii="Segoe UI" w:hAnsi="Segoe UI"/>
                <w:color w:val="1F2937"/>
                <w:sz w:val="18"/>
              </w:rPr>
              <w:t>JA — Pilot plant (7.200 kg/jaar) en FOAK-ontwikkeling</w:t>
            </w:r>
          </w:p>
        </w:tc>
      </w:tr>
      <w:tr>
        <w:tc>
          <w:tcPr>
            <w:tcW w:type="dxa" w:w="1701"/>
            <w:shd w:fill="F0F4F8"/>
          </w:tcPr>
          <w:p>
            <w:r/>
            <w:r>
              <w:rPr>
                <w:rFonts w:ascii="Segoe UI" w:hAnsi="Segoe UI"/>
                <w:color w:val="1F2937"/>
                <w:sz w:val="18"/>
              </w:rPr>
              <w:t>Vervalroute</w:t>
            </w:r>
          </w:p>
        </w:tc>
        <w:tc>
          <w:tcPr>
            <w:tcW w:type="dxa" w:w="7937"/>
            <w:shd w:fill="F0F4F8"/>
          </w:tcPr>
          <w:p>
            <w:r/>
            <w:r>
              <w:rPr>
                <w:rFonts w:ascii="Segoe UI" w:hAnsi="Segoe UI"/>
                <w:color w:val="1F2937"/>
                <w:sz w:val="18"/>
              </w:rPr>
              <w:t>Na PPORD-periode: volledige REACH-registratie of beëindiging productie</w:t>
            </w:r>
          </w:p>
        </w:tc>
      </w:tr>
    </w:tbl>
    <w:p>
      <w:pPr>
        <w:pStyle w:val="Heading2"/>
      </w:pPr>
      <w:r>
        <w:rPr>
          <w:rFonts w:ascii="Segoe UI" w:hAnsi="Segoe UI"/>
          <w:color w:val="003366"/>
          <w:sz w:val="32"/>
        </w:rPr>
        <w:t>Route C: Volledige REACH-registratie (Artikel 6)</w:t>
      </w:r>
    </w:p>
    <w:p>
      <w:r>
        <w:rPr>
          <w:rFonts w:ascii="Segoe UI" w:hAnsi="Segoe UI"/>
          <w:b w:val="0"/>
          <w:i w:val="0"/>
          <w:color w:val="1F2937"/>
          <w:sz w:val="22"/>
        </w:rPr>
        <w:t>Volledige registratie is vereist wanneer Phoenix Metals commercieel stoffen produceert/invoert ≥ 1 ton/jaar buiten een PPORD-context. Dit geldt voor de FOAK-productiefabriek.</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tcPr>
          <w:p>
            <w:pPr>
              <w:jc w:val="center"/>
            </w:pPr>
            <w:r/>
            <w:r>
              <w:rPr>
                <w:rFonts w:ascii="Segoe UI" w:hAnsi="Segoe UI"/>
                <w:b/>
                <w:color w:val="FFFFFF"/>
                <w:sz w:val="20"/>
              </w:rPr>
              <w:t>Tonnage Band</w:t>
            </w:r>
          </w:p>
        </w:tc>
        <w:tc>
          <w:tcPr>
            <w:tcW w:type="dxa" w:w="1701"/>
            <w:shd w:fill="003366"/>
          </w:tcPr>
          <w:p>
            <w:pPr>
              <w:jc w:val="center"/>
            </w:pPr>
            <w:r/>
            <w:r>
              <w:rPr>
                <w:rFonts w:ascii="Segoe UI" w:hAnsi="Segoe UI"/>
                <w:b/>
                <w:color w:val="FFFFFF"/>
                <w:sz w:val="20"/>
              </w:rPr>
              <w:t>Kostenindicatie</w:t>
            </w:r>
          </w:p>
        </w:tc>
        <w:tc>
          <w:tcPr>
            <w:tcW w:type="dxa" w:w="5669"/>
            <w:shd w:fill="003366"/>
          </w:tcPr>
          <w:p>
            <w:pPr>
              <w:jc w:val="center"/>
            </w:pPr>
            <w:r/>
            <w:r>
              <w:rPr>
                <w:rFonts w:ascii="Segoe UI" w:hAnsi="Segoe UI"/>
                <w:b/>
                <w:color w:val="FFFFFF"/>
                <w:sz w:val="20"/>
              </w:rPr>
              <w:t>Dossiervereisten</w:t>
            </w:r>
          </w:p>
        </w:tc>
      </w:tr>
      <w:tr>
        <w:tc>
          <w:tcPr>
            <w:tcW w:type="dxa" w:w="1701"/>
          </w:tcPr>
          <w:p>
            <w:r/>
            <w:r>
              <w:rPr>
                <w:rFonts w:ascii="Segoe UI" w:hAnsi="Segoe UI"/>
                <w:color w:val="1F2937"/>
                <w:sz w:val="18"/>
              </w:rPr>
              <w:t>1 – 10 ton/jaar</w:t>
            </w:r>
          </w:p>
        </w:tc>
        <w:tc>
          <w:tcPr>
            <w:tcW w:type="dxa" w:w="1701"/>
          </w:tcPr>
          <w:p>
            <w:r/>
            <w:r>
              <w:rPr>
                <w:rFonts w:ascii="Segoe UI" w:hAnsi="Segoe UI"/>
                <w:color w:val="1F2937"/>
                <w:sz w:val="18"/>
              </w:rPr>
              <w:t>€120.000 – €160.000</w:t>
            </w:r>
          </w:p>
        </w:tc>
        <w:tc>
          <w:tcPr>
            <w:tcW w:type="dxa" w:w="5669"/>
          </w:tcPr>
          <w:p>
            <w:r/>
            <w:r>
              <w:rPr>
                <w:rFonts w:ascii="Segoe UI" w:hAnsi="Segoe UI"/>
                <w:color w:val="1F2937"/>
                <w:sz w:val="18"/>
              </w:rPr>
              <w:t>Toxicologisch dossier, chemische veiligheidsbeoordeling</w:t>
            </w:r>
          </w:p>
        </w:tc>
      </w:tr>
      <w:tr>
        <w:tc>
          <w:tcPr>
            <w:tcW w:type="dxa" w:w="1701"/>
            <w:shd w:fill="F0F4F8"/>
          </w:tcPr>
          <w:p>
            <w:r/>
            <w:r>
              <w:rPr>
                <w:rFonts w:ascii="Segoe UI" w:hAnsi="Segoe UI"/>
                <w:color w:val="1F2937"/>
                <w:sz w:val="18"/>
              </w:rPr>
              <w:t>10 – 100 ton/jaar</w:t>
            </w:r>
          </w:p>
        </w:tc>
        <w:tc>
          <w:tcPr>
            <w:tcW w:type="dxa" w:w="1701"/>
            <w:shd w:fill="F0F4F8"/>
          </w:tcPr>
          <w:p>
            <w:r/>
            <w:r>
              <w:rPr>
                <w:rFonts w:ascii="Segoe UI" w:hAnsi="Segoe UI"/>
                <w:color w:val="1F2937"/>
                <w:sz w:val="18"/>
              </w:rPr>
              <w:t>€160.000 – €220.000</w:t>
            </w:r>
          </w:p>
        </w:tc>
        <w:tc>
          <w:tcPr>
            <w:tcW w:type="dxa" w:w="5669"/>
            <w:shd w:fill="F0F4F8"/>
          </w:tcPr>
          <w:p>
            <w:r/>
            <w:r>
              <w:rPr>
                <w:rFonts w:ascii="Segoe UI" w:hAnsi="Segoe UI"/>
                <w:color w:val="1F2937"/>
                <w:sz w:val="18"/>
              </w:rPr>
              <w:t>Uitgebreid toxicologisch dossier + eco-toxicologie</w:t>
            </w:r>
          </w:p>
        </w:tc>
      </w:tr>
      <w:tr>
        <w:tc>
          <w:tcPr>
            <w:tcW w:type="dxa" w:w="1701"/>
          </w:tcPr>
          <w:p>
            <w:r/>
            <w:r>
              <w:rPr>
                <w:rFonts w:ascii="Segoe UI" w:hAnsi="Segoe UI"/>
                <w:color w:val="1F2937"/>
                <w:sz w:val="18"/>
              </w:rPr>
              <w:t>100 – 1.000 ton/jaar</w:t>
            </w:r>
          </w:p>
        </w:tc>
        <w:tc>
          <w:tcPr>
            <w:tcW w:type="dxa" w:w="1701"/>
          </w:tcPr>
          <w:p>
            <w:r/>
            <w:r>
              <w:rPr>
                <w:rFonts w:ascii="Segoe UI" w:hAnsi="Segoe UI"/>
                <w:color w:val="1F2937"/>
                <w:sz w:val="18"/>
              </w:rPr>
              <w:t>€220.000 – €290.000</w:t>
            </w:r>
          </w:p>
        </w:tc>
        <w:tc>
          <w:tcPr>
            <w:tcW w:type="dxa" w:w="5669"/>
          </w:tcPr>
          <w:p>
            <w:r/>
            <w:r>
              <w:rPr>
                <w:rFonts w:ascii="Segoe UI" w:hAnsi="Segoe UI"/>
                <w:color w:val="1F2937"/>
                <w:sz w:val="18"/>
              </w:rPr>
              <w:t>Volledig dossier + exposure assessment + CSR</w:t>
            </w:r>
          </w:p>
        </w:tc>
      </w:tr>
    </w:tbl>
    <w:p>
      <w:pPr>
        <w:pStyle w:val="Heading2"/>
      </w:pPr>
      <w:r>
        <w:rPr>
          <w:rFonts w:ascii="Segoe UI" w:hAnsi="Segoe UI"/>
          <w:color w:val="003366"/>
          <w:sz w:val="32"/>
        </w:rPr>
        <w:t>Route-overzicht per Fase</w:t>
      </w:r>
    </w:p>
    <w:tbl>
      <w:tblPr>
        <w:tblStyle w:val="TableGrid"/>
        <w:tblW w:type="auto" w:w="0"/>
        <w:jc w:val="center"/>
        <w:tblLook w:firstColumn="1" w:firstRow="1" w:lastColumn="0" w:lastRow="0" w:noHBand="0" w:noVBand="1" w:val="04A0"/>
      </w:tblPr>
      <w:tblGrid>
        <w:gridCol w:w="3135"/>
        <w:gridCol w:w="3135"/>
        <w:gridCol w:w="3135"/>
      </w:tblGrid>
      <w:tr>
        <w:tc>
          <w:tcPr>
            <w:tcW w:type="dxa" w:w="1984"/>
            <w:shd w:fill="003366"/>
          </w:tcPr>
          <w:p>
            <w:pPr>
              <w:jc w:val="center"/>
            </w:pPr>
            <w:r/>
            <w:r>
              <w:rPr>
                <w:rFonts w:ascii="Segoe UI" w:hAnsi="Segoe UI"/>
                <w:b/>
                <w:color w:val="FFFFFF"/>
                <w:sz w:val="20"/>
              </w:rPr>
              <w:t>Fase</w:t>
            </w:r>
          </w:p>
        </w:tc>
        <w:tc>
          <w:tcPr>
            <w:tcW w:type="dxa" w:w="1701"/>
            <w:shd w:fill="003366"/>
          </w:tcPr>
          <w:p>
            <w:pPr>
              <w:jc w:val="center"/>
            </w:pPr>
            <w:r/>
            <w:r>
              <w:rPr>
                <w:rFonts w:ascii="Segoe UI" w:hAnsi="Segoe UI"/>
                <w:b/>
                <w:color w:val="FFFFFF"/>
                <w:sz w:val="20"/>
              </w:rPr>
              <w:t>REACH Route</w:t>
            </w:r>
          </w:p>
        </w:tc>
        <w:tc>
          <w:tcPr>
            <w:tcW w:type="dxa" w:w="5669"/>
            <w:shd w:fill="003366"/>
          </w:tcPr>
          <w:p>
            <w:pPr>
              <w:jc w:val="center"/>
            </w:pPr>
            <w:r/>
            <w:r>
              <w:rPr>
                <w:rFonts w:ascii="Segoe UI" w:hAnsi="Segoe UI"/>
                <w:b/>
                <w:color w:val="FFFFFF"/>
                <w:sz w:val="20"/>
              </w:rPr>
              <w:t>Toelichting</w:t>
            </w:r>
          </w:p>
        </w:tc>
      </w:tr>
      <w:tr>
        <w:tc>
          <w:tcPr>
            <w:tcW w:type="dxa" w:w="1984"/>
          </w:tcPr>
          <w:p>
            <w:r/>
            <w:r>
              <w:rPr>
                <w:rFonts w:ascii="Segoe UI" w:hAnsi="Segoe UI"/>
                <w:color w:val="1F2937"/>
                <w:sz w:val="18"/>
              </w:rPr>
              <w:t>SARU Ash Demo (Rotterdam)</w:t>
            </w:r>
          </w:p>
        </w:tc>
        <w:tc>
          <w:tcPr>
            <w:tcW w:type="dxa" w:w="1701"/>
          </w:tcPr>
          <w:p>
            <w:r/>
            <w:r>
              <w:rPr>
                <w:rFonts w:ascii="Segoe UI" w:hAnsi="Segoe UI"/>
                <w:color w:val="1F2937"/>
                <w:sz w:val="18"/>
              </w:rPr>
              <w:t>Route A (SR&amp;D)</w:t>
            </w:r>
          </w:p>
        </w:tc>
        <w:tc>
          <w:tcPr>
            <w:tcW w:type="dxa" w:w="5669"/>
          </w:tcPr>
          <w:p>
            <w:r/>
            <w:r>
              <w:rPr>
                <w:rFonts w:ascii="Segoe UI" w:hAnsi="Segoe UI"/>
                <w:color w:val="1F2937"/>
                <w:sz w:val="18"/>
              </w:rPr>
              <w:t>Automatisch — &lt; 1 ton/jaar, &lt; 3 maanden, R&amp;D</w:t>
            </w:r>
          </w:p>
        </w:tc>
      </w:tr>
      <w:tr>
        <w:tc>
          <w:tcPr>
            <w:tcW w:type="dxa" w:w="1984"/>
            <w:shd w:fill="F0F4F8"/>
          </w:tcPr>
          <w:p>
            <w:r/>
            <w:r>
              <w:rPr>
                <w:rFonts w:ascii="Segoe UI" w:hAnsi="Segoe UI"/>
                <w:color w:val="1F2937"/>
                <w:sz w:val="18"/>
              </w:rPr>
              <w:t>Pilot Plant (IJmuiden)</w:t>
            </w:r>
          </w:p>
        </w:tc>
        <w:tc>
          <w:tcPr>
            <w:tcW w:type="dxa" w:w="1701"/>
            <w:shd w:fill="F0F4F8"/>
          </w:tcPr>
          <w:p>
            <w:r/>
            <w:r>
              <w:rPr>
                <w:rFonts w:ascii="Segoe UI" w:hAnsi="Segoe UI"/>
                <w:color w:val="1F2937"/>
                <w:sz w:val="18"/>
              </w:rPr>
              <w:t>Route B (PPORD)</w:t>
            </w:r>
          </w:p>
        </w:tc>
        <w:tc>
          <w:tcPr>
            <w:tcW w:type="dxa" w:w="5669"/>
            <w:shd w:fill="F0F4F8"/>
          </w:tcPr>
          <w:p>
            <w:r/>
            <w:r>
              <w:rPr>
                <w:rFonts w:ascii="Segoe UI" w:hAnsi="Segoe UI"/>
                <w:color w:val="1F2937"/>
                <w:sz w:val="18"/>
              </w:rPr>
              <w:t>ECHA-notificatie vereist vóór start — Q3 2026</w:t>
            </w:r>
          </w:p>
        </w:tc>
      </w:tr>
      <w:tr>
        <w:tc>
          <w:tcPr>
            <w:tcW w:type="dxa" w:w="1984"/>
          </w:tcPr>
          <w:p>
            <w:r/>
            <w:r>
              <w:rPr>
                <w:rFonts w:ascii="Segoe UI" w:hAnsi="Segoe UI"/>
                <w:color w:val="1F2937"/>
                <w:sz w:val="18"/>
              </w:rPr>
              <w:t>FOAK Start</w:t>
            </w:r>
          </w:p>
        </w:tc>
        <w:tc>
          <w:tcPr>
            <w:tcW w:type="dxa" w:w="1701"/>
          </w:tcPr>
          <w:p>
            <w:r/>
            <w:r>
              <w:rPr>
                <w:rFonts w:ascii="Segoe UI" w:hAnsi="Segoe UI"/>
                <w:color w:val="1F2937"/>
                <w:sz w:val="18"/>
              </w:rPr>
              <w:t>Route B (PPORD) + LoA</w:t>
            </w:r>
          </w:p>
        </w:tc>
        <w:tc>
          <w:tcPr>
            <w:tcW w:type="dxa" w:w="5669"/>
          </w:tcPr>
          <w:p>
            <w:r/>
            <w:r>
              <w:rPr>
                <w:rFonts w:ascii="Segoe UI" w:hAnsi="Segoe UI"/>
                <w:color w:val="1F2937"/>
                <w:sz w:val="18"/>
              </w:rPr>
              <w:t>PPORD-verlenging + Vanadium Consortium LoA</w:t>
            </w:r>
          </w:p>
        </w:tc>
      </w:tr>
      <w:tr>
        <w:tc>
          <w:tcPr>
            <w:tcW w:type="dxa" w:w="1984"/>
            <w:shd w:fill="F0F4F8"/>
          </w:tcPr>
          <w:p>
            <w:r/>
            <w:r>
              <w:rPr>
                <w:rFonts w:ascii="Segoe UI" w:hAnsi="Segoe UI"/>
                <w:color w:val="1F2937"/>
                <w:sz w:val="18"/>
              </w:rPr>
              <w:t>FOAK Commercialisatie</w:t>
            </w:r>
          </w:p>
        </w:tc>
        <w:tc>
          <w:tcPr>
            <w:tcW w:type="dxa" w:w="1701"/>
            <w:shd w:fill="F0F4F8"/>
          </w:tcPr>
          <w:p>
            <w:r/>
            <w:r>
              <w:rPr>
                <w:rFonts w:ascii="Segoe UI" w:hAnsi="Segoe UI"/>
                <w:color w:val="1F2937"/>
                <w:sz w:val="18"/>
              </w:rPr>
              <w:t>Route C (Volledig)</w:t>
            </w:r>
          </w:p>
        </w:tc>
        <w:tc>
          <w:tcPr>
            <w:tcW w:type="dxa" w:w="5669"/>
            <w:shd w:fill="F0F4F8"/>
          </w:tcPr>
          <w:p>
            <w:r/>
            <w:r>
              <w:rPr>
                <w:rFonts w:ascii="Segoe UI" w:hAnsi="Segoe UI"/>
                <w:color w:val="1F2937"/>
                <w:sz w:val="18"/>
              </w:rPr>
              <w:t>REACH-registratie + LoA voor bestaande stoffen</w:t>
            </w:r>
          </w:p>
        </w:tc>
      </w:tr>
    </w:tbl>
    <w:p>
      <w:r>
        <w:br w:type="page"/>
      </w:r>
    </w:p>
    <w:p>
      <w:pPr>
        <w:pStyle w:val="Heading1"/>
      </w:pPr>
      <w:r>
        <w:rPr>
          <w:rFonts w:ascii="Segoe UI" w:hAnsi="Segoe UI"/>
          <w:color w:val="003366"/>
          <w:sz w:val="40"/>
        </w:rPr>
        <w:t>Risicoanalyse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417"/>
            <w:shd w:fill="003366"/>
          </w:tcPr>
          <w:p>
            <w:pPr>
              <w:jc w:val="center"/>
            </w:pPr>
            <w:r/>
            <w:r>
              <w:rPr>
                <w:rFonts w:ascii="Segoe UI" w:hAnsi="Segoe UI"/>
                <w:b/>
                <w:color w:val="FFFFFF"/>
                <w:sz w:val="20"/>
              </w:rPr>
              <w:t>Risico</w:t>
            </w:r>
          </w:p>
        </w:tc>
        <w:tc>
          <w:tcPr>
            <w:tcW w:type="dxa" w:w="850"/>
            <w:shd w:fill="003366"/>
          </w:tcPr>
          <w:p>
            <w:pPr>
              <w:jc w:val="center"/>
            </w:pPr>
            <w:r/>
            <w:r>
              <w:rPr>
                <w:rFonts w:ascii="Segoe UI" w:hAnsi="Segoe UI"/>
                <w:b/>
                <w:color w:val="FFFFFF"/>
                <w:sz w:val="20"/>
              </w:rPr>
              <w:t>Waarschijnlijkheid</w:t>
            </w:r>
          </w:p>
        </w:tc>
        <w:tc>
          <w:tcPr>
            <w:tcW w:type="dxa" w:w="850"/>
            <w:shd w:fill="003366"/>
          </w:tcPr>
          <w:p>
            <w:pPr>
              <w:jc w:val="center"/>
            </w:pPr>
            <w:r/>
            <w:r>
              <w:rPr>
                <w:rFonts w:ascii="Segoe UI" w:hAnsi="Segoe UI"/>
                <w:b/>
                <w:color w:val="FFFFFF"/>
                <w:sz w:val="20"/>
              </w:rPr>
              <w:t>Impact</w:t>
            </w:r>
          </w:p>
        </w:tc>
        <w:tc>
          <w:tcPr>
            <w:tcW w:type="dxa" w:w="2551"/>
            <w:shd w:fill="003366"/>
          </w:tcPr>
          <w:p>
            <w:pPr>
              <w:jc w:val="center"/>
            </w:pPr>
            <w:r/>
            <w:r>
              <w:rPr>
                <w:rFonts w:ascii="Segoe UI" w:hAnsi="Segoe UI"/>
                <w:b/>
                <w:color w:val="FFFFFF"/>
                <w:sz w:val="20"/>
              </w:rPr>
              <w:t>Beschrijving</w:t>
            </w:r>
          </w:p>
        </w:tc>
        <w:tc>
          <w:tcPr>
            <w:tcW w:type="dxa" w:w="3685"/>
            <w:shd w:fill="003366"/>
          </w:tcPr>
          <w:p>
            <w:pPr>
              <w:jc w:val="center"/>
            </w:pPr>
            <w:r/>
            <w:r>
              <w:rPr>
                <w:rFonts w:ascii="Segoe UI" w:hAnsi="Segoe UI"/>
                <w:b/>
                <w:color w:val="FFFFFF"/>
                <w:sz w:val="20"/>
              </w:rPr>
              <w:t>Mitigatie</w:t>
            </w:r>
          </w:p>
        </w:tc>
      </w:tr>
      <w:tr>
        <w:tc>
          <w:tcPr>
            <w:tcW w:type="dxa" w:w="1417"/>
          </w:tcPr>
          <w:p>
            <w:r/>
            <w:r>
              <w:rPr>
                <w:rFonts w:ascii="Segoe UI" w:hAnsi="Segoe UI"/>
                <w:color w:val="1F2937"/>
                <w:sz w:val="18"/>
              </w:rPr>
              <w:t>End-of-Wipe transitie</w:t>
            </w:r>
          </w:p>
        </w:tc>
        <w:tc>
          <w:tcPr>
            <w:tcW w:type="dxa" w:w="850"/>
          </w:tcPr>
          <w:p>
            <w:r/>
            <w:r>
              <w:rPr>
                <w:rFonts w:ascii="Segoe UI" w:hAnsi="Segoe UI"/>
                <w:color w:val="1F2937"/>
                <w:sz w:val="18"/>
              </w:rPr>
              <w:t>HIGH</w:t>
            </w:r>
          </w:p>
        </w:tc>
        <w:tc>
          <w:tcPr>
            <w:tcW w:type="dxa" w:w="850"/>
          </w:tcPr>
          <w:p>
            <w:r/>
            <w:r>
              <w:rPr>
                <w:rFonts w:ascii="Segoe UI" w:hAnsi="Segoe UI"/>
                <w:color w:val="1F2937"/>
                <w:sz w:val="18"/>
              </w:rPr>
              <w:t>CRITIEK</w:t>
            </w:r>
          </w:p>
        </w:tc>
        <w:tc>
          <w:tcPr>
            <w:tcW w:type="dxa" w:w="2551"/>
          </w:tcPr>
          <w:p>
            <w:r/>
            <w:r>
              <w:rPr>
                <w:rFonts w:ascii="Segoe UI" w:hAnsi="Segoe UI"/>
                <w:color w:val="1F2937"/>
                <w:sz w:val="18"/>
              </w:rPr>
              <w:t>De overgang van afvalstof naar product is niet automatisch geregeld. Zonder expliciete end-of-wipe beoordeling ontstaat een compliance gap.</w:t>
            </w:r>
          </w:p>
        </w:tc>
        <w:tc>
          <w:tcPr>
            <w:tcW w:type="dxa" w:w="3685"/>
          </w:tcPr>
          <w:p>
            <w:r/>
            <w:r>
              <w:rPr>
                <w:rFonts w:ascii="Segoe UI" w:hAnsi="Segoe UI"/>
                <w:color w:val="1F2937"/>
                <w:sz w:val="18"/>
              </w:rPr>
              <w:t>Juridische beoordeling end-of-wipe criteria door Arcadis/JvG vóór FOAK-start. Definitie van 'point of no return' in het productieproces.</w:t>
            </w:r>
          </w:p>
        </w:tc>
      </w:tr>
      <w:tr>
        <w:tc>
          <w:tcPr>
            <w:tcW w:type="dxa" w:w="1417"/>
            <w:shd w:fill="F0F4F8"/>
          </w:tcPr>
          <w:p>
            <w:r/>
            <w:r>
              <w:rPr>
                <w:rFonts w:ascii="Segoe UI" w:hAnsi="Segoe UI"/>
                <w:color w:val="1F2937"/>
                <w:sz w:val="18"/>
              </w:rPr>
              <w:t>Nieuwe stofidentiteit elektrolyt</w:t>
            </w:r>
          </w:p>
        </w:tc>
        <w:tc>
          <w:tcPr>
            <w:tcW w:type="dxa" w:w="850"/>
            <w:shd w:fill="F0F4F8"/>
          </w:tcPr>
          <w:p>
            <w:r/>
            <w:r>
              <w:rPr>
                <w:rFonts w:ascii="Segoe UI" w:hAnsi="Segoe UI"/>
                <w:color w:val="1F2937"/>
                <w:sz w:val="18"/>
              </w:rPr>
              <w:t>HIGH</w:t>
            </w:r>
          </w:p>
        </w:tc>
        <w:tc>
          <w:tcPr>
            <w:tcW w:type="dxa" w:w="850"/>
            <w:shd w:fill="F0F4F8"/>
          </w:tcPr>
          <w:p>
            <w:r/>
            <w:r>
              <w:rPr>
                <w:rFonts w:ascii="Segoe UI" w:hAnsi="Segoe UI"/>
                <w:color w:val="1F2937"/>
                <w:sz w:val="18"/>
              </w:rPr>
              <w:t>CRITIEK</w:t>
            </w:r>
          </w:p>
        </w:tc>
        <w:tc>
          <w:tcPr>
            <w:tcW w:type="dxa" w:w="2551"/>
            <w:shd w:fill="F0F4F8"/>
          </w:tcPr>
          <w:p>
            <w:r/>
            <w:r>
              <w:rPr>
                <w:rFonts w:ascii="Segoe UI" w:hAnsi="Segoe UI"/>
                <w:color w:val="1F2937"/>
                <w:sz w:val="18"/>
              </w:rPr>
              <w:t>Het VRFB-elektrolyt is mogelijk een niet-geregistreerde nieuwe stof. Volledige registratie kost €120.000+.</w:t>
            </w:r>
          </w:p>
        </w:tc>
        <w:tc>
          <w:tcPr>
            <w:tcW w:type="dxa" w:w="3685"/>
            <w:shd w:fill="F0F4F8"/>
          </w:tcPr>
          <w:p>
            <w:r/>
            <w:r>
              <w:rPr>
                <w:rFonts w:ascii="Segoe UI" w:hAnsi="Segoe UI"/>
                <w:color w:val="1F2937"/>
                <w:sz w:val="18"/>
              </w:rPr>
              <w:t>Onderzoek bestaande SVHC-registraties bij ECHA. Overweeg consortium-deelname voor elektrolyt-registratie. PPORD als tijdelijke dekking.</w:t>
            </w:r>
          </w:p>
        </w:tc>
      </w:tr>
      <w:tr>
        <w:tc>
          <w:tcPr>
            <w:tcW w:type="dxa" w:w="1417"/>
          </w:tcPr>
          <w:p>
            <w:r/>
            <w:r>
              <w:rPr>
                <w:rFonts w:ascii="Segoe UI" w:hAnsi="Segoe UI"/>
                <w:color w:val="1F2937"/>
                <w:sz w:val="18"/>
              </w:rPr>
              <w:t>PPORD-notificatie timing</w:t>
            </w:r>
          </w:p>
        </w:tc>
        <w:tc>
          <w:tcPr>
            <w:tcW w:type="dxa" w:w="850"/>
          </w:tcPr>
          <w:p>
            <w:r/>
            <w:r>
              <w:rPr>
                <w:rFonts w:ascii="Segoe UI" w:hAnsi="Segoe UI"/>
                <w:color w:val="1F2937"/>
                <w:sz w:val="18"/>
              </w:rPr>
              <w:t>MEDIUM</w:t>
            </w:r>
          </w:p>
        </w:tc>
        <w:tc>
          <w:tcPr>
            <w:tcW w:type="dxa" w:w="850"/>
          </w:tcPr>
          <w:p>
            <w:r/>
            <w:r>
              <w:rPr>
                <w:rFonts w:ascii="Segoe UI" w:hAnsi="Segoe UI"/>
                <w:color w:val="1F2937"/>
                <w:sz w:val="18"/>
              </w:rPr>
              <w:t>WAARSCHUWING</w:t>
            </w:r>
          </w:p>
        </w:tc>
        <w:tc>
          <w:tcPr>
            <w:tcW w:type="dxa" w:w="2551"/>
          </w:tcPr>
          <w:p>
            <w:r/>
            <w:r>
              <w:rPr>
                <w:rFonts w:ascii="Segoe UI" w:hAnsi="Segoe UI"/>
                <w:color w:val="1F2937"/>
                <w:sz w:val="18"/>
              </w:rPr>
              <w:t>PPORD moet genotificeerd worden vóór start pilot. Vertraging heeft geen terugwerkende kracht.</w:t>
            </w:r>
          </w:p>
        </w:tc>
        <w:tc>
          <w:tcPr>
            <w:tcW w:type="dxa" w:w="3685"/>
          </w:tcPr>
          <w:p>
            <w:r/>
            <w:r>
              <w:rPr>
                <w:rFonts w:ascii="Segoe UI" w:hAnsi="Segoe UI"/>
                <w:color w:val="1F2937"/>
                <w:sz w:val="18"/>
              </w:rPr>
              <w:t>Indienen uiterlijk Q3 2026. Buffer van 3 maanden inplannen.</w:t>
            </w:r>
          </w:p>
        </w:tc>
      </w:tr>
      <w:tr>
        <w:tc>
          <w:tcPr>
            <w:tcW w:type="dxa" w:w="1417"/>
            <w:shd w:fill="F0F4F8"/>
          </w:tcPr>
          <w:p>
            <w:r/>
            <w:r>
              <w:rPr>
                <w:rFonts w:ascii="Segoe UI" w:hAnsi="Segoe UI"/>
                <w:color w:val="1F2937"/>
                <w:sz w:val="18"/>
              </w:rPr>
              <w:t>Vanadium SVHC-listing</w:t>
            </w:r>
          </w:p>
        </w:tc>
        <w:tc>
          <w:tcPr>
            <w:tcW w:type="dxa" w:w="850"/>
            <w:shd w:fill="F0F4F8"/>
          </w:tcPr>
          <w:p>
            <w:r/>
            <w:r>
              <w:rPr>
                <w:rFonts w:ascii="Segoe UI" w:hAnsi="Segoe UI"/>
                <w:color w:val="1F2937"/>
                <w:sz w:val="18"/>
              </w:rPr>
              <w:t>MEDIUM</w:t>
            </w:r>
          </w:p>
        </w:tc>
        <w:tc>
          <w:tcPr>
            <w:tcW w:type="dxa" w:w="850"/>
            <w:shd w:fill="F0F4F8"/>
          </w:tcPr>
          <w:p>
            <w:r/>
            <w:r>
              <w:rPr>
                <w:rFonts w:ascii="Segoe UI" w:hAnsi="Segoe UI"/>
                <w:color w:val="1F2937"/>
                <w:sz w:val="18"/>
              </w:rPr>
              <w:t>WAARSCHUWING</w:t>
            </w:r>
          </w:p>
        </w:tc>
        <w:tc>
          <w:tcPr>
            <w:tcW w:type="dxa" w:w="2551"/>
            <w:shd w:fill="F0F4F8"/>
          </w:tcPr>
          <w:p>
            <w:r/>
            <w:r>
              <w:rPr>
                <w:rFonts w:ascii="Segoe UI" w:hAnsi="Segoe UI"/>
                <w:color w:val="1F2937"/>
                <w:sz w:val="18"/>
              </w:rPr>
              <w:t>V₂O₅ staat op de ECHA-intentielijst voor SVHC. Autorisatie kan verplicht worden.</w:t>
            </w:r>
          </w:p>
        </w:tc>
        <w:tc>
          <w:tcPr>
            <w:tcW w:type="dxa" w:w="3685"/>
            <w:shd w:fill="F0F4F8"/>
          </w:tcPr>
          <w:p>
            <w:r/>
            <w:r>
              <w:rPr>
                <w:rFonts w:ascii="Segoe UI" w:hAnsi="Segoe UI"/>
                <w:color w:val="1F2937"/>
                <w:sz w:val="18"/>
              </w:rPr>
              <w:t>Monitor ECHA SVHC-intentielijst kwartaalsgewijs. Autorisatie-strategie opstellen als SVHC-status bevestigd.</w:t>
            </w:r>
          </w:p>
        </w:tc>
      </w:tr>
      <w:tr>
        <w:tc>
          <w:tcPr>
            <w:tcW w:type="dxa" w:w="1417"/>
          </w:tcPr>
          <w:p>
            <w:r/>
            <w:r>
              <w:rPr>
                <w:rFonts w:ascii="Segoe UI" w:hAnsi="Segoe UI"/>
                <w:color w:val="1F2937"/>
                <w:sz w:val="18"/>
              </w:rPr>
              <w:t>Downstream user non-compliance</w:t>
            </w:r>
          </w:p>
        </w:tc>
        <w:tc>
          <w:tcPr>
            <w:tcW w:type="dxa" w:w="850"/>
          </w:tcPr>
          <w:p>
            <w:r/>
            <w:r>
              <w:rPr>
                <w:rFonts w:ascii="Segoe UI" w:hAnsi="Segoe UI"/>
                <w:color w:val="1F2937"/>
                <w:sz w:val="18"/>
              </w:rPr>
              <w:t>LOW</w:t>
            </w:r>
          </w:p>
        </w:tc>
        <w:tc>
          <w:tcPr>
            <w:tcW w:type="dxa" w:w="850"/>
          </w:tcPr>
          <w:p>
            <w:r/>
            <w:r>
              <w:rPr>
                <w:rFonts w:ascii="Segoe UI" w:hAnsi="Segoe UI"/>
                <w:color w:val="1F2937"/>
                <w:sz w:val="18"/>
              </w:rPr>
              <w:t>INFO</w:t>
            </w:r>
          </w:p>
        </w:tc>
        <w:tc>
          <w:tcPr>
            <w:tcW w:type="dxa" w:w="2551"/>
          </w:tcPr>
          <w:p>
            <w:r/>
            <w:r>
              <w:rPr>
                <w:rFonts w:ascii="Segoe UI" w:hAnsi="Segoe UI"/>
                <w:color w:val="1F2937"/>
                <w:sz w:val="18"/>
              </w:rPr>
              <w:t>Niet-naleving SDS-blootstellingsscenario's bij invoerchemicaliën.</w:t>
            </w:r>
          </w:p>
        </w:tc>
        <w:tc>
          <w:tcPr>
            <w:tcW w:type="dxa" w:w="3685"/>
          </w:tcPr>
          <w:p>
            <w:r/>
            <w:r>
              <w:rPr>
                <w:rFonts w:ascii="Segoe UI" w:hAnsi="Segoe UI"/>
                <w:color w:val="1F2937"/>
                <w:sz w:val="18"/>
              </w:rPr>
              <w:t>SDS-opvolging systeem implementeren. Jaarlijkse audit leveranciersdocumentatie.</w:t>
            </w:r>
          </w:p>
        </w:tc>
      </w:tr>
      <w:tr>
        <w:tc>
          <w:tcPr>
            <w:tcW w:type="dxa" w:w="1417"/>
            <w:shd w:fill="F0F4F8"/>
          </w:tcPr>
          <w:p>
            <w:r/>
            <w:r>
              <w:rPr>
                <w:rFonts w:ascii="Segoe UI" w:hAnsi="Segoe UI"/>
                <w:color w:val="1F2937"/>
                <w:sz w:val="18"/>
              </w:rPr>
              <w:t>Leveranciersregistratie vervalt</w:t>
            </w:r>
          </w:p>
        </w:tc>
        <w:tc>
          <w:tcPr>
            <w:tcW w:type="dxa" w:w="850"/>
            <w:shd w:fill="F0F4F8"/>
          </w:tcPr>
          <w:p>
            <w:r/>
            <w:r>
              <w:rPr>
                <w:rFonts w:ascii="Segoe UI" w:hAnsi="Segoe UI"/>
                <w:color w:val="1F2937"/>
                <w:sz w:val="18"/>
              </w:rPr>
              <w:t>LOW</w:t>
            </w:r>
          </w:p>
        </w:tc>
        <w:tc>
          <w:tcPr>
            <w:tcW w:type="dxa" w:w="850"/>
            <w:shd w:fill="F0F4F8"/>
          </w:tcPr>
          <w:p>
            <w:r/>
            <w:r>
              <w:rPr>
                <w:rFonts w:ascii="Segoe UI" w:hAnsi="Segoe UI"/>
                <w:color w:val="1F2937"/>
                <w:sz w:val="18"/>
              </w:rPr>
              <w:t>INFO</w:t>
            </w:r>
          </w:p>
        </w:tc>
        <w:tc>
          <w:tcPr>
            <w:tcW w:type="dxa" w:w="2551"/>
            <w:shd w:fill="F0F4F8"/>
          </w:tcPr>
          <w:p>
            <w:r/>
            <w:r>
              <w:rPr>
                <w:rFonts w:ascii="Segoe UI" w:hAnsi="Segoe UI"/>
                <w:color w:val="1F2937"/>
                <w:sz w:val="18"/>
              </w:rPr>
              <w:t>Registratie leverancier kan vervallen (bijv. faillissement, terugtrekking).</w:t>
            </w:r>
          </w:p>
        </w:tc>
        <w:tc>
          <w:tcPr>
            <w:tcW w:type="dxa" w:w="3685"/>
            <w:shd w:fill="F0F4F8"/>
          </w:tcPr>
          <w:p>
            <w:r/>
            <w:r>
              <w:rPr>
                <w:rFonts w:ascii="Segoe UI" w:hAnsi="Segoe UI"/>
                <w:color w:val="1F2937"/>
                <w:sz w:val="18"/>
              </w:rPr>
              <w:t>Back-up leveranciers identificeren. Eigen registratie als fallback bij FOAK.</w:t>
            </w:r>
          </w:p>
        </w:tc>
      </w:tr>
    </w:tbl>
    <w:p>
      <w:r>
        <w:br w:type="page"/>
      </w:r>
    </w:p>
    <w:p>
      <w:pPr>
        <w:pStyle w:val="Heading1"/>
      </w:pPr>
      <w:r>
        <w:rPr>
          <w:rFonts w:ascii="Segoe UI" w:hAnsi="Segoe UI"/>
          <w:color w:val="003366"/>
          <w:sz w:val="40"/>
        </w:rPr>
        <w:t>Actieplan &amp; Tijdlijn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850"/>
            <w:shd w:fill="003366"/>
          </w:tcPr>
          <w:p>
            <w:pPr>
              <w:jc w:val="center"/>
            </w:pPr>
            <w:r/>
            <w:r>
              <w:rPr>
                <w:rFonts w:ascii="Segoe UI" w:hAnsi="Segoe UI"/>
                <w:b/>
                <w:color w:val="FFFFFF"/>
                <w:sz w:val="20"/>
              </w:rPr>
              <w:t>Tijdlijn</w:t>
            </w:r>
          </w:p>
        </w:tc>
        <w:tc>
          <w:tcPr>
            <w:tcW w:type="dxa" w:w="1984"/>
            <w:shd w:fill="003366"/>
          </w:tcPr>
          <w:p>
            <w:pPr>
              <w:jc w:val="center"/>
            </w:pPr>
            <w:r/>
            <w:r>
              <w:rPr>
                <w:rFonts w:ascii="Segoe UI" w:hAnsi="Segoe UI"/>
                <w:b/>
                <w:color w:val="FFFFFF"/>
                <w:sz w:val="20"/>
              </w:rPr>
              <w:t>Actie</w:t>
            </w:r>
          </w:p>
        </w:tc>
        <w:tc>
          <w:tcPr>
            <w:tcW w:type="dxa" w:w="2835"/>
            <w:shd w:fill="003366"/>
          </w:tcPr>
          <w:p>
            <w:pPr>
              <w:jc w:val="center"/>
            </w:pPr>
            <w:r/>
            <w:r>
              <w:rPr>
                <w:rFonts w:ascii="Segoe UI" w:hAnsi="Segoe UI"/>
                <w:b/>
                <w:color w:val="FFFFFF"/>
                <w:sz w:val="20"/>
              </w:rPr>
              <w:t>Beschrijving</w:t>
            </w:r>
          </w:p>
        </w:tc>
        <w:tc>
          <w:tcPr>
            <w:tcW w:type="dxa" w:w="1417"/>
            <w:shd w:fill="003366"/>
          </w:tcPr>
          <w:p>
            <w:pPr>
              <w:jc w:val="center"/>
            </w:pPr>
            <w:r/>
            <w:r>
              <w:rPr>
                <w:rFonts w:ascii="Segoe UI" w:hAnsi="Segoe UI"/>
                <w:b/>
                <w:color w:val="FFFFFF"/>
                <w:sz w:val="20"/>
              </w:rPr>
              <w:t>Eigenaar</w:t>
            </w:r>
          </w:p>
        </w:tc>
        <w:tc>
          <w:tcPr>
            <w:tcW w:type="dxa" w:w="850"/>
            <w:shd w:fill="003366"/>
          </w:tcPr>
          <w:p>
            <w:pPr>
              <w:jc w:val="center"/>
            </w:pPr>
            <w:r/>
            <w:r>
              <w:rPr>
                <w:rFonts w:ascii="Segoe UI" w:hAnsi="Segoe UI"/>
                <w:b/>
                <w:color w:val="FFFFFF"/>
                <w:sz w:val="20"/>
              </w:rPr>
              <w:t>Prioriteit</w:t>
            </w:r>
          </w:p>
        </w:tc>
      </w:tr>
      <w:tr>
        <w:tc>
          <w:tcPr>
            <w:tcW w:type="dxa" w:w="850"/>
          </w:tcPr>
          <w:p>
            <w:r/>
            <w:r>
              <w:rPr>
                <w:rFonts w:ascii="Segoe UI" w:hAnsi="Segoe UI"/>
                <w:color w:val="1F2937"/>
                <w:sz w:val="18"/>
              </w:rPr>
              <w:t>Q2 2026</w:t>
            </w:r>
          </w:p>
        </w:tc>
        <w:tc>
          <w:tcPr>
            <w:tcW w:type="dxa" w:w="1984"/>
          </w:tcPr>
          <w:p>
            <w:r/>
            <w:r>
              <w:rPr>
                <w:rFonts w:ascii="Segoe UI" w:hAnsi="Segoe UI"/>
                <w:color w:val="1F2937"/>
                <w:sz w:val="18"/>
              </w:rPr>
              <w:t>PPORD-notificatie voorbereiden</w:t>
            </w:r>
          </w:p>
        </w:tc>
        <w:tc>
          <w:tcPr>
            <w:tcW w:type="dxa" w:w="2835"/>
          </w:tcPr>
          <w:p>
            <w:r/>
            <w:r>
              <w:rPr>
                <w:rFonts w:ascii="Segoe UI" w:hAnsi="Segoe UI"/>
                <w:color w:val="1F2937"/>
                <w:sz w:val="18"/>
              </w:rPr>
              <w:t>Collecteren van procesgegevens, stofinventarisatie, blootstellingsscenario's voor ECHA-formulier</w:t>
            </w:r>
          </w:p>
        </w:tc>
        <w:tc>
          <w:tcPr>
            <w:tcW w:type="dxa" w:w="1417"/>
          </w:tcPr>
          <w:p>
            <w:r/>
            <w:r>
              <w:rPr>
                <w:rFonts w:ascii="Segoe UI" w:hAnsi="Segoe UI"/>
                <w:color w:val="1F2937"/>
                <w:sz w:val="18"/>
              </w:rPr>
              <w:t>JvG Consultancy / Phoenix Metals</w:t>
            </w:r>
          </w:p>
        </w:tc>
        <w:tc>
          <w:tcPr>
            <w:tcW w:type="dxa" w:w="850"/>
          </w:tcPr>
          <w:p>
            <w:r/>
            <w:r>
              <w:rPr>
                <w:rFonts w:ascii="Segoe UI" w:hAnsi="Segoe UI"/>
                <w:color w:val="1F2937"/>
                <w:sz w:val="18"/>
              </w:rPr>
              <w:t>HIGH</w:t>
            </w:r>
          </w:p>
        </w:tc>
      </w:tr>
      <w:tr>
        <w:tc>
          <w:tcPr>
            <w:tcW w:type="dxa" w:w="850"/>
            <w:shd w:fill="F0F4F8"/>
          </w:tcPr>
          <w:p>
            <w:r/>
            <w:r>
              <w:rPr>
                <w:rFonts w:ascii="Segoe UI" w:hAnsi="Segoe UI"/>
                <w:color w:val="1F2937"/>
                <w:sz w:val="18"/>
              </w:rPr>
              <w:t>Q2 2026</w:t>
            </w:r>
          </w:p>
        </w:tc>
        <w:tc>
          <w:tcPr>
            <w:tcW w:type="dxa" w:w="1984"/>
            <w:shd w:fill="F0F4F8"/>
          </w:tcPr>
          <w:p>
            <w:r/>
            <w:r>
              <w:rPr>
                <w:rFonts w:ascii="Segoe UI" w:hAnsi="Segoe UI"/>
                <w:color w:val="1F2937"/>
                <w:sz w:val="18"/>
              </w:rPr>
              <w:t>LoA Vanadium Consortium aanvragen</w:t>
            </w:r>
          </w:p>
        </w:tc>
        <w:tc>
          <w:tcPr>
            <w:tcW w:type="dxa" w:w="2835"/>
            <w:shd w:fill="F0F4F8"/>
          </w:tcPr>
          <w:p>
            <w:r/>
            <w:r>
              <w:rPr>
                <w:rFonts w:ascii="Segoe UI" w:hAnsi="Segoe UI"/>
                <w:color w:val="1F2937"/>
                <w:sz w:val="18"/>
              </w:rPr>
              <w:t>Offerte opvragen bij Vanadium Consortium voor V₂O₅ LoA (CAS 1314-62-1)</w:t>
            </w:r>
          </w:p>
        </w:tc>
        <w:tc>
          <w:tcPr>
            <w:tcW w:type="dxa" w:w="1417"/>
            <w:shd w:fill="F0F4F8"/>
          </w:tcPr>
          <w:p>
            <w:r/>
            <w:r>
              <w:rPr>
                <w:rFonts w:ascii="Segoe UI" w:hAnsi="Segoe UI"/>
                <w:color w:val="1F2937"/>
                <w:sz w:val="18"/>
              </w:rPr>
              <w:t>Phoenix Metals</w:t>
            </w:r>
          </w:p>
        </w:tc>
        <w:tc>
          <w:tcPr>
            <w:tcW w:type="dxa" w:w="850"/>
            <w:shd w:fill="F0F4F8"/>
          </w:tcPr>
          <w:p>
            <w:r/>
            <w:r>
              <w:rPr>
                <w:rFonts w:ascii="Segoe UI" w:hAnsi="Segoe UI"/>
                <w:color w:val="1F2937"/>
                <w:sz w:val="18"/>
              </w:rPr>
              <w:t>HIGH</w:t>
            </w:r>
          </w:p>
        </w:tc>
      </w:tr>
      <w:tr>
        <w:tc>
          <w:tcPr>
            <w:tcW w:type="dxa" w:w="850"/>
          </w:tcPr>
          <w:p>
            <w:r/>
            <w:r>
              <w:rPr>
                <w:rFonts w:ascii="Segoe UI" w:hAnsi="Segoe UI"/>
                <w:color w:val="1F2937"/>
                <w:sz w:val="18"/>
              </w:rPr>
              <w:t>Q2 2026</w:t>
            </w:r>
          </w:p>
        </w:tc>
        <w:tc>
          <w:tcPr>
            <w:tcW w:type="dxa" w:w="1984"/>
          </w:tcPr>
          <w:p>
            <w:r/>
            <w:r>
              <w:rPr>
                <w:rFonts w:ascii="Segoe UI" w:hAnsi="Segoe UI"/>
                <w:color w:val="1F2937"/>
                <w:sz w:val="18"/>
              </w:rPr>
              <w:t>SDS-verzameling invoerchemicaliën</w:t>
            </w:r>
          </w:p>
        </w:tc>
        <w:tc>
          <w:tcPr>
            <w:tcW w:type="dxa" w:w="2835"/>
          </w:tcPr>
          <w:p>
            <w:r/>
            <w:r>
              <w:rPr>
                <w:rFonts w:ascii="Segoe UI" w:hAnsi="Segoe UI"/>
                <w:color w:val="1F2937"/>
                <w:sz w:val="18"/>
              </w:rPr>
              <w:t>Actuele SDS opvragen bij alle 4 leveranciers + CORAP-status check</w:t>
            </w:r>
          </w:p>
        </w:tc>
        <w:tc>
          <w:tcPr>
            <w:tcW w:type="dxa" w:w="1417"/>
          </w:tcPr>
          <w:p>
            <w:r/>
            <w:r>
              <w:rPr>
                <w:rFonts w:ascii="Segoe UI" w:hAnsi="Segoe UI"/>
                <w:color w:val="1F2937"/>
                <w:sz w:val="18"/>
              </w:rPr>
              <w:t>Phoenix Metals</w:t>
            </w:r>
          </w:p>
        </w:tc>
        <w:tc>
          <w:tcPr>
            <w:tcW w:type="dxa" w:w="850"/>
          </w:tcPr>
          <w:p>
            <w:r/>
            <w:r>
              <w:rPr>
                <w:rFonts w:ascii="Segoe UI" w:hAnsi="Segoe UI"/>
                <w:color w:val="1F2937"/>
                <w:sz w:val="18"/>
              </w:rPr>
              <w:t>MEDIUM</w:t>
            </w:r>
          </w:p>
        </w:tc>
      </w:tr>
      <w:tr>
        <w:tc>
          <w:tcPr>
            <w:tcW w:type="dxa" w:w="850"/>
            <w:shd w:fill="F0F4F8"/>
          </w:tcPr>
          <w:p>
            <w:r/>
            <w:r>
              <w:rPr>
                <w:rFonts w:ascii="Segoe UI" w:hAnsi="Segoe UI"/>
                <w:color w:val="1F2937"/>
                <w:sz w:val="18"/>
              </w:rPr>
              <w:t>Q3 2026</w:t>
            </w:r>
          </w:p>
        </w:tc>
        <w:tc>
          <w:tcPr>
            <w:tcW w:type="dxa" w:w="1984"/>
            <w:shd w:fill="F0F4F8"/>
          </w:tcPr>
          <w:p>
            <w:r/>
            <w:r>
              <w:rPr>
                <w:rFonts w:ascii="Segoe UI" w:hAnsi="Segoe UI"/>
                <w:color w:val="1F2937"/>
                <w:sz w:val="18"/>
              </w:rPr>
              <w:t>PPORD-notificatie indienen bij ECHA</w:t>
            </w:r>
          </w:p>
        </w:tc>
        <w:tc>
          <w:tcPr>
            <w:tcW w:type="dxa" w:w="2835"/>
            <w:shd w:fill="F0F4F8"/>
          </w:tcPr>
          <w:p>
            <w:r/>
            <w:r>
              <w:rPr>
                <w:rFonts w:ascii="Segoe UI" w:hAnsi="Segoe UI"/>
                <w:color w:val="1F2937"/>
                <w:sz w:val="18"/>
              </w:rPr>
              <w:t>Indienen via REACH-IT portal. Bewijs van R&amp;D-karakter pilot plant.</w:t>
            </w:r>
          </w:p>
        </w:tc>
        <w:tc>
          <w:tcPr>
            <w:tcW w:type="dxa" w:w="1417"/>
            <w:shd w:fill="F0F4F8"/>
          </w:tcPr>
          <w:p>
            <w:r/>
            <w:r>
              <w:rPr>
                <w:rFonts w:ascii="Segoe UI" w:hAnsi="Segoe UI"/>
                <w:color w:val="1F2937"/>
                <w:sz w:val="18"/>
              </w:rPr>
              <w:t>JvG Consultancy</w:t>
            </w:r>
          </w:p>
        </w:tc>
        <w:tc>
          <w:tcPr>
            <w:tcW w:type="dxa" w:w="850"/>
            <w:shd w:fill="F0F4F8"/>
          </w:tcPr>
          <w:p>
            <w:r/>
            <w:r>
              <w:rPr>
                <w:rFonts w:ascii="Segoe UI" w:hAnsi="Segoe UI"/>
                <w:color w:val="1F2937"/>
                <w:sz w:val="18"/>
              </w:rPr>
              <w:t>CRITICAL</w:t>
            </w:r>
          </w:p>
        </w:tc>
      </w:tr>
      <w:tr>
        <w:tc>
          <w:tcPr>
            <w:tcW w:type="dxa" w:w="850"/>
          </w:tcPr>
          <w:p>
            <w:r/>
            <w:r>
              <w:rPr>
                <w:rFonts w:ascii="Segoe UI" w:hAnsi="Segoe UI"/>
                <w:color w:val="1F2937"/>
                <w:sz w:val="18"/>
              </w:rPr>
              <w:t>Q3 2026</w:t>
            </w:r>
          </w:p>
        </w:tc>
        <w:tc>
          <w:tcPr>
            <w:tcW w:type="dxa" w:w="1984"/>
          </w:tcPr>
          <w:p>
            <w:r/>
            <w:r>
              <w:rPr>
                <w:rFonts w:ascii="Segoe UI" w:hAnsi="Segoe UI"/>
                <w:color w:val="1F2937"/>
                <w:sz w:val="18"/>
              </w:rPr>
              <w:t>ECHA SVHC-monitoring starten</w:t>
            </w:r>
          </w:p>
        </w:tc>
        <w:tc>
          <w:tcPr>
            <w:tcW w:type="dxa" w:w="2835"/>
          </w:tcPr>
          <w:p>
            <w:r/>
            <w:r>
              <w:rPr>
                <w:rFonts w:ascii="Segoe UI" w:hAnsi="Segoe UI"/>
                <w:color w:val="1F2937"/>
                <w:sz w:val="18"/>
              </w:rPr>
              <w:t>Kwartaalsgewijze check ECHA-intentielijst voor vanadiumverbindingen</w:t>
            </w:r>
          </w:p>
        </w:tc>
        <w:tc>
          <w:tcPr>
            <w:tcW w:type="dxa" w:w="1417"/>
          </w:tcPr>
          <w:p>
            <w:r/>
            <w:r>
              <w:rPr>
                <w:rFonts w:ascii="Segoe UI" w:hAnsi="Segoe UI"/>
                <w:color w:val="1F2937"/>
                <w:sz w:val="18"/>
              </w:rPr>
              <w:t>JvG Consultancy</w:t>
            </w:r>
          </w:p>
        </w:tc>
        <w:tc>
          <w:tcPr>
            <w:tcW w:type="dxa" w:w="850"/>
          </w:tcPr>
          <w:p>
            <w:r/>
            <w:r>
              <w:rPr>
                <w:rFonts w:ascii="Segoe UI" w:hAnsi="Segoe UI"/>
                <w:color w:val="1F2937"/>
                <w:sz w:val="18"/>
              </w:rPr>
              <w:t>MEDIUM</w:t>
            </w:r>
          </w:p>
        </w:tc>
      </w:tr>
      <w:tr>
        <w:tc>
          <w:tcPr>
            <w:tcW w:type="dxa" w:w="850"/>
            <w:shd w:fill="F0F4F8"/>
          </w:tcPr>
          <w:p>
            <w:r/>
            <w:r>
              <w:rPr>
                <w:rFonts w:ascii="Segoe UI" w:hAnsi="Segoe UI"/>
                <w:color w:val="1F2937"/>
                <w:sz w:val="18"/>
              </w:rPr>
              <w:t>Q4 2026</w:t>
            </w:r>
          </w:p>
        </w:tc>
        <w:tc>
          <w:tcPr>
            <w:tcW w:type="dxa" w:w="1984"/>
            <w:shd w:fill="F0F4F8"/>
          </w:tcPr>
          <w:p>
            <w:r/>
            <w:r>
              <w:rPr>
                <w:rFonts w:ascii="Segoe UI" w:hAnsi="Segoe UI"/>
                <w:color w:val="1F2937"/>
                <w:sz w:val="18"/>
              </w:rPr>
              <w:t>Elektrolyt stofidentiteit onderzoek</w:t>
            </w:r>
          </w:p>
        </w:tc>
        <w:tc>
          <w:tcPr>
            <w:tcW w:type="dxa" w:w="2835"/>
            <w:shd w:fill="F0F4F8"/>
          </w:tcPr>
          <w:p>
            <w:r/>
            <w:r>
              <w:rPr>
                <w:rFonts w:ascii="Segoe UI" w:hAnsi="Segoe UI"/>
                <w:color w:val="1F2937"/>
                <w:sz w:val="18"/>
              </w:rPr>
              <w:t>Literatuur- en databankonderzoek naar bestaande registraties VRFB-elektrolyt</w:t>
            </w:r>
          </w:p>
        </w:tc>
        <w:tc>
          <w:tcPr>
            <w:tcW w:type="dxa" w:w="1417"/>
            <w:shd w:fill="F0F4F8"/>
          </w:tcPr>
          <w:p>
            <w:r/>
            <w:r>
              <w:rPr>
                <w:rFonts w:ascii="Segoe UI" w:hAnsi="Segoe UI"/>
                <w:color w:val="1F2937"/>
                <w:sz w:val="18"/>
              </w:rPr>
              <w:t>JvG Consultancy</w:t>
            </w:r>
          </w:p>
        </w:tc>
        <w:tc>
          <w:tcPr>
            <w:tcW w:type="dxa" w:w="850"/>
            <w:shd w:fill="F0F4F8"/>
          </w:tcPr>
          <w:p>
            <w:r/>
            <w:r>
              <w:rPr>
                <w:rFonts w:ascii="Segoe UI" w:hAnsi="Segoe UI"/>
                <w:color w:val="1F2937"/>
                <w:sz w:val="18"/>
              </w:rPr>
              <w:t>HIGH</w:t>
            </w:r>
          </w:p>
        </w:tc>
      </w:tr>
      <w:tr>
        <w:tc>
          <w:tcPr>
            <w:tcW w:type="dxa" w:w="850"/>
          </w:tcPr>
          <w:p>
            <w:r/>
            <w:r>
              <w:rPr>
                <w:rFonts w:ascii="Segoe UI" w:hAnsi="Segoe UI"/>
                <w:color w:val="1F2937"/>
                <w:sz w:val="18"/>
              </w:rPr>
              <w:t>Q1 2027</w:t>
            </w:r>
          </w:p>
        </w:tc>
        <w:tc>
          <w:tcPr>
            <w:tcW w:type="dxa" w:w="1984"/>
          </w:tcPr>
          <w:p>
            <w:r/>
            <w:r>
              <w:rPr>
                <w:rFonts w:ascii="Segoe UI" w:hAnsi="Segoe UI"/>
                <w:color w:val="1F2937"/>
                <w:sz w:val="18"/>
              </w:rPr>
              <w:t>End-of-wipe juridische beoordeling</w:t>
            </w:r>
          </w:p>
        </w:tc>
        <w:tc>
          <w:tcPr>
            <w:tcW w:type="dxa" w:w="2835"/>
          </w:tcPr>
          <w:p>
            <w:r/>
            <w:r>
              <w:rPr>
                <w:rFonts w:ascii="Segoe UI" w:hAnsi="Segoe UI"/>
                <w:color w:val="1F2937"/>
                <w:sz w:val="18"/>
              </w:rPr>
              <w:t>Arcadis/JvG beoordeling of afgeleide producten end-of-wipe criteria halen</w:t>
            </w:r>
          </w:p>
        </w:tc>
        <w:tc>
          <w:tcPr>
            <w:tcW w:type="dxa" w:w="1417"/>
          </w:tcPr>
          <w:p>
            <w:r/>
            <w:r>
              <w:rPr>
                <w:rFonts w:ascii="Segoe UI" w:hAnsi="Segoe UI"/>
                <w:color w:val="1F2937"/>
                <w:sz w:val="18"/>
              </w:rPr>
              <w:t>Arcadis / JvG Consultancy</w:t>
            </w:r>
          </w:p>
        </w:tc>
        <w:tc>
          <w:tcPr>
            <w:tcW w:type="dxa" w:w="850"/>
          </w:tcPr>
          <w:p>
            <w:r/>
            <w:r>
              <w:rPr>
                <w:rFonts w:ascii="Segoe UI" w:hAnsi="Segoe UI"/>
                <w:color w:val="1F2937"/>
                <w:sz w:val="18"/>
              </w:rPr>
              <w:t>CRITICAL</w:t>
            </w:r>
          </w:p>
        </w:tc>
      </w:tr>
      <w:tr>
        <w:tc>
          <w:tcPr>
            <w:tcW w:type="dxa" w:w="850"/>
            <w:shd w:fill="F0F4F8"/>
          </w:tcPr>
          <w:p>
            <w:r/>
            <w:r>
              <w:rPr>
                <w:rFonts w:ascii="Segoe UI" w:hAnsi="Segoe UI"/>
                <w:color w:val="1F2937"/>
                <w:sz w:val="18"/>
              </w:rPr>
              <w:t>H1 2027</w:t>
            </w:r>
          </w:p>
        </w:tc>
        <w:tc>
          <w:tcPr>
            <w:tcW w:type="dxa" w:w="1984"/>
            <w:shd w:fill="F0F4F8"/>
          </w:tcPr>
          <w:p>
            <w:r/>
            <w:r>
              <w:rPr>
                <w:rFonts w:ascii="Segoe UI" w:hAnsi="Segoe UI"/>
                <w:color w:val="1F2937"/>
                <w:sz w:val="18"/>
              </w:rPr>
              <w:t>FOAK REACH-strategie definitief</w:t>
            </w:r>
          </w:p>
        </w:tc>
        <w:tc>
          <w:tcPr>
            <w:tcW w:type="dxa" w:w="2835"/>
            <w:shd w:fill="F0F4F8"/>
          </w:tcPr>
          <w:p>
            <w:r/>
            <w:r>
              <w:rPr>
                <w:rFonts w:ascii="Segoe UI" w:hAnsi="Segoe UI"/>
                <w:color w:val="1F2937"/>
                <w:sz w:val="18"/>
              </w:rPr>
              <w:t>Beslissing: volledige registratie vs. consortium-deelname per stof</w:t>
            </w:r>
          </w:p>
        </w:tc>
        <w:tc>
          <w:tcPr>
            <w:tcW w:type="dxa" w:w="1417"/>
            <w:shd w:fill="F0F4F8"/>
          </w:tcPr>
          <w:p>
            <w:r/>
            <w:r>
              <w:rPr>
                <w:rFonts w:ascii="Segoe UI" w:hAnsi="Segoe UI"/>
                <w:color w:val="1F2937"/>
                <w:sz w:val="18"/>
              </w:rPr>
              <w:t>Phoenix Metals / JvG Consultancy</w:t>
            </w:r>
          </w:p>
        </w:tc>
        <w:tc>
          <w:tcPr>
            <w:tcW w:type="dxa" w:w="850"/>
            <w:shd w:fill="F0F4F8"/>
          </w:tcPr>
          <w:p>
            <w:r/>
            <w:r>
              <w:rPr>
                <w:rFonts w:ascii="Segoe UI" w:hAnsi="Segoe UI"/>
                <w:color w:val="1F2937"/>
                <w:sz w:val="18"/>
              </w:rPr>
              <w:t>HIGH</w:t>
            </w:r>
          </w:p>
        </w:tc>
      </w:tr>
      <w:tr>
        <w:tc>
          <w:tcPr>
            <w:tcW w:type="dxa" w:w="850"/>
          </w:tcPr>
          <w:p>
            <w:r/>
            <w:r>
              <w:rPr>
                <w:rFonts w:ascii="Segoe UI" w:hAnsi="Segoe UI"/>
                <w:color w:val="1F2937"/>
                <w:sz w:val="18"/>
              </w:rPr>
              <w:t>H2 2027</w:t>
            </w:r>
          </w:p>
        </w:tc>
        <w:tc>
          <w:tcPr>
            <w:tcW w:type="dxa" w:w="1984"/>
          </w:tcPr>
          <w:p>
            <w:r/>
            <w:r>
              <w:rPr>
                <w:rFonts w:ascii="Segoe UI" w:hAnsi="Segoe UI"/>
                <w:color w:val="1F2937"/>
                <w:sz w:val="18"/>
              </w:rPr>
              <w:t>FOAK REACH-registratie start</w:t>
            </w:r>
          </w:p>
        </w:tc>
        <w:tc>
          <w:tcPr>
            <w:tcW w:type="dxa" w:w="2835"/>
          </w:tcPr>
          <w:p>
            <w:r/>
            <w:r>
              <w:rPr>
                <w:rFonts w:ascii="Segoe UI" w:hAnsi="Segoe UI"/>
                <w:color w:val="1F2937"/>
                <w:sz w:val="18"/>
              </w:rPr>
              <w:t>Aanvragen dossieronderzoek + LoA-verlenging + nieuwe registraties</w:t>
            </w:r>
          </w:p>
        </w:tc>
        <w:tc>
          <w:tcPr>
            <w:tcW w:type="dxa" w:w="1417"/>
          </w:tcPr>
          <w:p>
            <w:r/>
            <w:r>
              <w:rPr>
                <w:rFonts w:ascii="Segoe UI" w:hAnsi="Segoe UI"/>
                <w:color w:val="1F2937"/>
                <w:sz w:val="18"/>
              </w:rPr>
              <w:t>Specialist REACH consultant</w:t>
            </w:r>
          </w:p>
        </w:tc>
        <w:tc>
          <w:tcPr>
            <w:tcW w:type="dxa" w:w="850"/>
          </w:tcPr>
          <w:p>
            <w:r/>
            <w:r>
              <w:rPr>
                <w:rFonts w:ascii="Segoe UI" w:hAnsi="Segoe UI"/>
                <w:color w:val="1F2937"/>
                <w:sz w:val="18"/>
              </w:rPr>
              <w:t>HIGH</w:t>
            </w:r>
          </w:p>
        </w:tc>
      </w:tr>
    </w:tbl>
    <w:p>
      <w:r>
        <w:br w:type="page"/>
      </w:r>
    </w:p>
    <w:p>
      <w:pPr>
        <w:pStyle w:val="Heading1"/>
      </w:pPr>
      <w:r>
        <w:rPr>
          <w:rFonts w:ascii="Segoe UI" w:hAnsi="Segoe UI"/>
          <w:color w:val="003366"/>
          <w:sz w:val="40"/>
        </w:rPr>
        <w:t>Budgetindicatie</w:t>
      </w:r>
    </w:p>
    <w:p>
      <w:r>
        <w:rPr>
          <w:rFonts w:ascii="Segoe UI" w:hAnsi="Segoe UI"/>
          <w:b w:val="0"/>
          <w:i w:val="0"/>
          <w:color w:val="1F2937"/>
          <w:sz w:val="22"/>
        </w:rPr>
        <w:t>Onderstaande budgetindicatie is gebaseerd op markttarieven voor REACH-compliance in Nederland (2026). Feitelijke kosten zijn afhankelijk van complexiteit, gekozen consultant en tonnage.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2268"/>
            <w:shd w:fill="003366"/>
          </w:tcPr>
          <w:p>
            <w:pPr>
              <w:jc w:val="center"/>
            </w:pPr>
            <w:r/>
            <w:r>
              <w:rPr>
                <w:rFonts w:ascii="Segoe UI" w:hAnsi="Segoe UI"/>
                <w:b/>
                <w:color w:val="FFFFFF"/>
                <w:sz w:val="20"/>
              </w:rPr>
              <w:t>Onderdeel</w:t>
            </w:r>
          </w:p>
        </w:tc>
        <w:tc>
          <w:tcPr>
            <w:tcW w:type="dxa" w:w="850"/>
            <w:shd w:fill="003366"/>
          </w:tcPr>
          <w:p>
            <w:pPr>
              <w:jc w:val="center"/>
            </w:pPr>
            <w:r/>
            <w:r>
              <w:rPr>
                <w:rFonts w:ascii="Segoe UI" w:hAnsi="Segoe UI"/>
                <w:b/>
                <w:color w:val="FFFFFF"/>
                <w:sz w:val="20"/>
              </w:rPr>
              <w:t>Tijdlijn</w:t>
            </w:r>
          </w:p>
        </w:tc>
        <w:tc>
          <w:tcPr>
            <w:tcW w:type="dxa" w:w="1417"/>
            <w:shd w:fill="003366"/>
          </w:tcPr>
          <w:p>
            <w:pPr>
              <w:jc w:val="center"/>
            </w:pPr>
            <w:r/>
            <w:r>
              <w:rPr>
                <w:rFonts w:ascii="Segoe UI" w:hAnsi="Segoe UI"/>
                <w:b/>
                <w:color w:val="FFFFFF"/>
                <w:sz w:val="20"/>
              </w:rPr>
              <w:t>Kostenindicatie</w:t>
            </w:r>
          </w:p>
        </w:tc>
        <w:tc>
          <w:tcPr>
            <w:tcW w:type="dxa" w:w="1134"/>
            <w:shd w:fill="003366"/>
          </w:tcPr>
          <w:p>
            <w:pPr>
              <w:jc w:val="center"/>
            </w:pPr>
            <w:r/>
            <w:r>
              <w:rPr>
                <w:rFonts w:ascii="Segoe UI" w:hAnsi="Segoe UI"/>
                <w:b/>
                <w:color w:val="FFFFFF"/>
                <w:sz w:val="20"/>
              </w:rPr>
              <w:t>Type</w:t>
            </w:r>
          </w:p>
        </w:tc>
        <w:tc>
          <w:tcPr>
            <w:tcW w:type="dxa" w:w="1701"/>
            <w:shd w:fill="003366"/>
          </w:tcPr>
          <w:p>
            <w:pPr>
              <w:jc w:val="center"/>
            </w:pPr>
            <w:r/>
            <w:r>
              <w:rPr>
                <w:rFonts w:ascii="Segoe UI" w:hAnsi="Segoe UI"/>
                <w:b/>
                <w:color w:val="FFFFFF"/>
                <w:sz w:val="20"/>
              </w:rPr>
              <w:t>Uitvoerder</w:t>
            </w:r>
          </w:p>
        </w:tc>
      </w:tr>
      <w:tr>
        <w:tc>
          <w:tcPr>
            <w:tcW w:type="dxa" w:w="2268"/>
          </w:tcPr>
          <w:p>
            <w:r/>
            <w:r>
              <w:rPr>
                <w:rFonts w:ascii="Segoe UI" w:hAnsi="Segoe UI"/>
                <w:color w:val="1F2937"/>
                <w:sz w:val="18"/>
              </w:rPr>
              <w:t>PPORD-notificatie ECHA</w:t>
            </w:r>
          </w:p>
        </w:tc>
        <w:tc>
          <w:tcPr>
            <w:tcW w:type="dxa" w:w="850"/>
          </w:tcPr>
          <w:p>
            <w:r/>
            <w:r>
              <w:rPr>
                <w:rFonts w:ascii="Segoe UI" w:hAnsi="Segoe UI"/>
                <w:color w:val="1F2937"/>
                <w:sz w:val="18"/>
              </w:rPr>
              <w:t>Q3 2026</w:t>
            </w:r>
          </w:p>
        </w:tc>
        <w:tc>
          <w:tcPr>
            <w:tcW w:type="dxa" w:w="1417"/>
          </w:tcPr>
          <w:p>
            <w:r/>
            <w:r>
              <w:rPr>
                <w:rFonts w:ascii="Segoe UI" w:hAnsi="Segoe UI"/>
                <w:color w:val="1F2937"/>
                <w:sz w:val="18"/>
              </w:rPr>
              <w:t>€2.000 – €5.000</w:t>
            </w:r>
          </w:p>
        </w:tc>
        <w:tc>
          <w:tcPr>
            <w:tcW w:type="dxa" w:w="1134"/>
          </w:tcPr>
          <w:p>
            <w:r/>
            <w:r>
              <w:rPr>
                <w:rFonts w:ascii="Segoe UI" w:hAnsi="Segoe UI"/>
                <w:color w:val="1F2937"/>
                <w:sz w:val="18"/>
              </w:rPr>
              <w:t>Eenmalig</w:t>
            </w:r>
          </w:p>
        </w:tc>
        <w:tc>
          <w:tcPr>
            <w:tcW w:type="dxa" w:w="1701"/>
          </w:tcPr>
          <w:p>
            <w:r/>
            <w:r>
              <w:rPr>
                <w:rFonts w:ascii="Segoe UI" w:hAnsi="Segoe UI"/>
                <w:color w:val="1F2937"/>
                <w:sz w:val="18"/>
              </w:rPr>
              <w:t>JvG Consultancy</w:t>
            </w:r>
          </w:p>
        </w:tc>
      </w:tr>
      <w:tr>
        <w:tc>
          <w:tcPr>
            <w:tcW w:type="dxa" w:w="2268"/>
            <w:shd w:fill="F0F4F8"/>
          </w:tcPr>
          <w:p>
            <w:r/>
            <w:r>
              <w:rPr>
                <w:rFonts w:ascii="Segoe UI" w:hAnsi="Segoe UI"/>
                <w:color w:val="1F2937"/>
                <w:sz w:val="18"/>
              </w:rPr>
              <w:t>LoA Vanadium Consortium (V₂O₅)</w:t>
            </w:r>
          </w:p>
        </w:tc>
        <w:tc>
          <w:tcPr>
            <w:tcW w:type="dxa" w:w="850"/>
            <w:shd w:fill="F0F4F8"/>
          </w:tcPr>
          <w:p>
            <w:r/>
            <w:r>
              <w:rPr>
                <w:rFonts w:ascii="Segoe UI" w:hAnsi="Segoe UI"/>
                <w:color w:val="1F2937"/>
                <w:sz w:val="18"/>
              </w:rPr>
              <w:t>Q2 2026</w:t>
            </w:r>
          </w:p>
        </w:tc>
        <w:tc>
          <w:tcPr>
            <w:tcW w:type="dxa" w:w="1417"/>
            <w:shd w:fill="F0F4F8"/>
          </w:tcPr>
          <w:p>
            <w:r/>
            <w:r>
              <w:rPr>
                <w:rFonts w:ascii="Segoe UI" w:hAnsi="Segoe UI"/>
                <w:color w:val="1F2937"/>
                <w:sz w:val="18"/>
              </w:rPr>
              <w:t>€5.000 – €20.000</w:t>
            </w:r>
          </w:p>
        </w:tc>
        <w:tc>
          <w:tcPr>
            <w:tcW w:type="dxa" w:w="1134"/>
            <w:shd w:fill="F0F4F8"/>
          </w:tcPr>
          <w:p>
            <w:r/>
            <w:r>
              <w:rPr>
                <w:rFonts w:ascii="Segoe UI" w:hAnsi="Segoe UI"/>
                <w:color w:val="1F2937"/>
                <w:sz w:val="18"/>
              </w:rPr>
              <w:t>Per jaar (recurrent)</w:t>
            </w:r>
          </w:p>
        </w:tc>
        <w:tc>
          <w:tcPr>
            <w:tcW w:type="dxa" w:w="1701"/>
            <w:shd w:fill="F0F4F8"/>
          </w:tcPr>
          <w:p>
            <w:r/>
            <w:r>
              <w:rPr>
                <w:rFonts w:ascii="Segoe UI" w:hAnsi="Segoe UI"/>
                <w:color w:val="1F2937"/>
                <w:sz w:val="18"/>
              </w:rPr>
              <w:t>Vanadium Consortium</w:t>
            </w:r>
          </w:p>
        </w:tc>
      </w:tr>
      <w:tr>
        <w:tc>
          <w:tcPr>
            <w:tcW w:type="dxa" w:w="2268"/>
          </w:tcPr>
          <w:p>
            <w:r/>
            <w:r>
              <w:rPr>
                <w:rFonts w:ascii="Segoe UI" w:hAnsi="Segoe UI"/>
                <w:color w:val="1F2937"/>
                <w:sz w:val="18"/>
              </w:rPr>
              <w:t>Elektrolyt stofidentiteit onderzoek</w:t>
            </w:r>
          </w:p>
        </w:tc>
        <w:tc>
          <w:tcPr>
            <w:tcW w:type="dxa" w:w="850"/>
          </w:tcPr>
          <w:p>
            <w:r/>
            <w:r>
              <w:rPr>
                <w:rFonts w:ascii="Segoe UI" w:hAnsi="Segoe UI"/>
                <w:color w:val="1F2937"/>
                <w:sz w:val="18"/>
              </w:rPr>
              <w:t>Q4 2026</w:t>
            </w:r>
          </w:p>
        </w:tc>
        <w:tc>
          <w:tcPr>
            <w:tcW w:type="dxa" w:w="1417"/>
          </w:tcPr>
          <w:p>
            <w:r/>
            <w:r>
              <w:rPr>
                <w:rFonts w:ascii="Segoe UI" w:hAnsi="Segoe UI"/>
                <w:color w:val="1F2937"/>
                <w:sz w:val="18"/>
              </w:rPr>
              <w:t>€3.000 – €8.000</w:t>
            </w:r>
          </w:p>
        </w:tc>
        <w:tc>
          <w:tcPr>
            <w:tcW w:type="dxa" w:w="1134"/>
          </w:tcPr>
          <w:p>
            <w:r/>
            <w:r>
              <w:rPr>
                <w:rFonts w:ascii="Segoe UI" w:hAnsi="Segoe UI"/>
                <w:color w:val="1F2937"/>
                <w:sz w:val="18"/>
              </w:rPr>
              <w:t>Eenmalig</w:t>
            </w:r>
          </w:p>
        </w:tc>
        <w:tc>
          <w:tcPr>
            <w:tcW w:type="dxa" w:w="1701"/>
          </w:tcPr>
          <w:p>
            <w:r/>
            <w:r>
              <w:rPr>
                <w:rFonts w:ascii="Segoe UI" w:hAnsi="Segoe UI"/>
                <w:color w:val="1F2937"/>
                <w:sz w:val="18"/>
              </w:rPr>
              <w:t>JvG Consultancy</w:t>
            </w:r>
          </w:p>
        </w:tc>
      </w:tr>
      <w:tr>
        <w:tc>
          <w:tcPr>
            <w:tcW w:type="dxa" w:w="2268"/>
            <w:shd w:fill="F0F4F8"/>
          </w:tcPr>
          <w:p>
            <w:r/>
            <w:r>
              <w:rPr>
                <w:rFonts w:ascii="Segoe UI" w:hAnsi="Segoe UI"/>
                <w:color w:val="1F2937"/>
                <w:sz w:val="18"/>
              </w:rPr>
              <w:t>End-of-wipe juridische beoordeling</w:t>
            </w:r>
          </w:p>
        </w:tc>
        <w:tc>
          <w:tcPr>
            <w:tcW w:type="dxa" w:w="850"/>
            <w:shd w:fill="F0F4F8"/>
          </w:tcPr>
          <w:p>
            <w:r/>
            <w:r>
              <w:rPr>
                <w:rFonts w:ascii="Segoe UI" w:hAnsi="Segoe UI"/>
                <w:color w:val="1F2937"/>
                <w:sz w:val="18"/>
              </w:rPr>
              <w:t>Q1 2027</w:t>
            </w:r>
          </w:p>
        </w:tc>
        <w:tc>
          <w:tcPr>
            <w:tcW w:type="dxa" w:w="1417"/>
            <w:shd w:fill="F0F4F8"/>
          </w:tcPr>
          <w:p>
            <w:r/>
            <w:r>
              <w:rPr>
                <w:rFonts w:ascii="Segoe UI" w:hAnsi="Segoe UI"/>
                <w:color w:val="1F2937"/>
                <w:sz w:val="18"/>
              </w:rPr>
              <w:t>€5.000 – €12.000</w:t>
            </w:r>
          </w:p>
        </w:tc>
        <w:tc>
          <w:tcPr>
            <w:tcW w:type="dxa" w:w="1134"/>
            <w:shd w:fill="F0F4F8"/>
          </w:tcPr>
          <w:p>
            <w:r/>
            <w:r>
              <w:rPr>
                <w:rFonts w:ascii="Segoe UI" w:hAnsi="Segoe UI"/>
                <w:color w:val="1F2937"/>
                <w:sz w:val="18"/>
              </w:rPr>
              <w:t>Eenmalig</w:t>
            </w:r>
          </w:p>
        </w:tc>
        <w:tc>
          <w:tcPr>
            <w:tcW w:type="dxa" w:w="1701"/>
            <w:shd w:fill="F0F4F8"/>
          </w:tcPr>
          <w:p>
            <w:r/>
            <w:r>
              <w:rPr>
                <w:rFonts w:ascii="Segoe UI" w:hAnsi="Segoe UI"/>
                <w:color w:val="1F2937"/>
                <w:sz w:val="18"/>
              </w:rPr>
              <w:t>Arcadis / JvG Consultancy</w:t>
            </w:r>
          </w:p>
        </w:tc>
      </w:tr>
      <w:tr>
        <w:tc>
          <w:tcPr>
            <w:tcW w:type="dxa" w:w="2268"/>
          </w:tcPr>
          <w:p>
            <w:r/>
            <w:r>
              <w:rPr>
                <w:rFonts w:ascii="Segoe UI" w:hAnsi="Segoe UI"/>
                <w:color w:val="1F2937"/>
                <w:sz w:val="18"/>
              </w:rPr>
              <w:t>FOAK REACH-strategie &amp; planning</w:t>
            </w:r>
          </w:p>
        </w:tc>
        <w:tc>
          <w:tcPr>
            <w:tcW w:type="dxa" w:w="850"/>
          </w:tcPr>
          <w:p>
            <w:r/>
            <w:r>
              <w:rPr>
                <w:rFonts w:ascii="Segoe UI" w:hAnsi="Segoe UI"/>
                <w:color w:val="1F2937"/>
                <w:sz w:val="18"/>
              </w:rPr>
              <w:t>H1 2027</w:t>
            </w:r>
          </w:p>
        </w:tc>
        <w:tc>
          <w:tcPr>
            <w:tcW w:type="dxa" w:w="1417"/>
          </w:tcPr>
          <w:p>
            <w:r/>
            <w:r>
              <w:rPr>
                <w:rFonts w:ascii="Segoe UI" w:hAnsi="Segoe UI"/>
                <w:color w:val="1F2937"/>
                <w:sz w:val="18"/>
              </w:rPr>
              <w:t>€5.000 – €10.000</w:t>
            </w:r>
          </w:p>
        </w:tc>
        <w:tc>
          <w:tcPr>
            <w:tcW w:type="dxa" w:w="1134"/>
          </w:tcPr>
          <w:p>
            <w:r/>
            <w:r>
              <w:rPr>
                <w:rFonts w:ascii="Segoe UI" w:hAnsi="Segoe UI"/>
                <w:color w:val="1F2937"/>
                <w:sz w:val="18"/>
              </w:rPr>
              <w:t>Eenmalig</w:t>
            </w:r>
          </w:p>
        </w:tc>
        <w:tc>
          <w:tcPr>
            <w:tcW w:type="dxa" w:w="1701"/>
          </w:tcPr>
          <w:p>
            <w:r/>
            <w:r>
              <w:rPr>
                <w:rFonts w:ascii="Segoe UI" w:hAnsi="Segoe UI"/>
                <w:color w:val="1F2937"/>
                <w:sz w:val="18"/>
              </w:rPr>
              <w:t>REACH specialist</w:t>
            </w:r>
          </w:p>
        </w:tc>
      </w:tr>
      <w:tr>
        <w:tc>
          <w:tcPr>
            <w:tcW w:type="dxa" w:w="2268"/>
            <w:shd w:fill="F0F4F8"/>
          </w:tcPr>
          <w:p>
            <w:r/>
            <w:r>
              <w:rPr>
                <w:rFonts w:ascii="Segoe UI" w:hAnsi="Segoe UI"/>
                <w:color w:val="1F2937"/>
                <w:sz w:val="18"/>
              </w:rPr>
              <w:t>FOAK volledige registratie (indien nodig)</w:t>
            </w:r>
          </w:p>
        </w:tc>
        <w:tc>
          <w:tcPr>
            <w:tcW w:type="dxa" w:w="850"/>
            <w:shd w:fill="F0F4F8"/>
          </w:tcPr>
          <w:p>
            <w:r/>
            <w:r>
              <w:rPr>
                <w:rFonts w:ascii="Segoe UI" w:hAnsi="Segoe UI"/>
                <w:color w:val="1F2937"/>
                <w:sz w:val="18"/>
              </w:rPr>
              <w:t>H2 2027+</w:t>
            </w:r>
          </w:p>
        </w:tc>
        <w:tc>
          <w:tcPr>
            <w:tcW w:type="dxa" w:w="1417"/>
            <w:shd w:fill="F0F4F8"/>
          </w:tcPr>
          <w:p>
            <w:r/>
            <w:r>
              <w:rPr>
                <w:rFonts w:ascii="Segoe UI" w:hAnsi="Segoe UI"/>
                <w:color w:val="1F2937"/>
                <w:sz w:val="18"/>
              </w:rPr>
              <w:t>€120.000 – €290.000</w:t>
            </w:r>
          </w:p>
        </w:tc>
        <w:tc>
          <w:tcPr>
            <w:tcW w:type="dxa" w:w="1134"/>
            <w:shd w:fill="F0F4F8"/>
          </w:tcPr>
          <w:p>
            <w:r/>
            <w:r>
              <w:rPr>
                <w:rFonts w:ascii="Segoe UI" w:hAnsi="Segoe UI"/>
                <w:color w:val="1F2937"/>
                <w:sz w:val="18"/>
              </w:rPr>
              <w:t>Eenmalig + onderhoud</w:t>
            </w:r>
          </w:p>
        </w:tc>
        <w:tc>
          <w:tcPr>
            <w:tcW w:type="dxa" w:w="1701"/>
            <w:shd w:fill="F0F4F8"/>
          </w:tcPr>
          <w:p>
            <w:r/>
            <w:r>
              <w:rPr>
                <w:rFonts w:ascii="Segoe UI" w:hAnsi="Segoe UI"/>
                <w:color w:val="1F2937"/>
                <w:sz w:val="18"/>
              </w:rPr>
              <w:t>REACH consultant</w:t>
            </w:r>
          </w:p>
        </w:tc>
      </w:tr>
      <w:tr>
        <w:tc>
          <w:tcPr>
            <w:tcW w:type="dxa" w:w="2268"/>
          </w:tcPr>
          <w:p>
            <w:r/>
            <w:r>
              <w:rPr>
                <w:rFonts w:ascii="Segoe UI" w:hAnsi="Segoe UI"/>
                <w:color w:val="1F2937"/>
                <w:sz w:val="18"/>
              </w:rPr>
              <w:t>Jaarlijks consortium lidmaatschap</w:t>
            </w:r>
          </w:p>
        </w:tc>
        <w:tc>
          <w:tcPr>
            <w:tcW w:type="dxa" w:w="850"/>
          </w:tcPr>
          <w:p>
            <w:r/>
            <w:r>
              <w:rPr>
                <w:rFonts w:ascii="Segoe UI" w:hAnsi="Segoe UI"/>
                <w:color w:val="1F2937"/>
                <w:sz w:val="18"/>
              </w:rPr>
              <w:t>2027+</w:t>
            </w:r>
          </w:p>
        </w:tc>
        <w:tc>
          <w:tcPr>
            <w:tcW w:type="dxa" w:w="1417"/>
          </w:tcPr>
          <w:p>
            <w:r/>
            <w:r>
              <w:rPr>
                <w:rFonts w:ascii="Segoe UI" w:hAnsi="Segoe UI"/>
                <w:color w:val="1F2937"/>
                <w:sz w:val="18"/>
              </w:rPr>
              <w:t>€50.000 – €100.000</w:t>
            </w:r>
          </w:p>
        </w:tc>
        <w:tc>
          <w:tcPr>
            <w:tcW w:type="dxa" w:w="1134"/>
          </w:tcPr>
          <w:p>
            <w:r/>
            <w:r>
              <w:rPr>
                <w:rFonts w:ascii="Segoe UI" w:hAnsi="Segoe UI"/>
                <w:color w:val="1F2937"/>
                <w:sz w:val="18"/>
              </w:rPr>
              <w:t>Recurrent</w:t>
            </w:r>
          </w:p>
        </w:tc>
        <w:tc>
          <w:tcPr>
            <w:tcW w:type="dxa" w:w="1701"/>
          </w:tcPr>
          <w:p>
            <w:r/>
            <w:r>
              <w:rPr>
                <w:rFonts w:ascii="Segoe UI" w:hAnsi="Segoe UI"/>
                <w:color w:val="1F2937"/>
                <w:sz w:val="18"/>
              </w:rPr>
              <w:t>Vanadium Consortium</w:t>
            </w:r>
          </w:p>
        </w:tc>
      </w:tr>
    </w:tbl>
    <w:p>
      <w:pPr>
        <w:pStyle w:val="Heading2"/>
      </w:pPr>
      <w:r>
        <w:rPr>
          <w:rFonts w:ascii="Segoe UI" w:hAnsi="Segoe UI"/>
          <w:color w:val="003366"/>
          <w:sz w:val="32"/>
        </w:rPr>
        <w:t>Totale Kosten per Fase</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center"/>
            </w:pPr>
            <w:r/>
            <w:r>
              <w:rPr>
                <w:rFonts w:ascii="Segoe UI" w:hAnsi="Segoe UI"/>
                <w:b/>
                <w:color w:val="FFFFFF"/>
                <w:sz w:val="20"/>
              </w:rPr>
              <w:t>Fase</w:t>
            </w:r>
          </w:p>
        </w:tc>
        <w:tc>
          <w:tcPr>
            <w:tcW w:type="dxa" w:w="1701"/>
            <w:shd w:fill="003366"/>
          </w:tcPr>
          <w:p>
            <w:pPr>
              <w:jc w:val="center"/>
            </w:pPr>
            <w:r/>
            <w:r>
              <w:rPr>
                <w:rFonts w:ascii="Segoe UI" w:hAnsi="Segoe UI"/>
                <w:b/>
                <w:color w:val="FFFFFF"/>
                <w:sz w:val="20"/>
              </w:rPr>
              <w:t>Totale Investering</w:t>
            </w:r>
          </w:p>
        </w:tc>
        <w:tc>
          <w:tcPr>
            <w:tcW w:type="dxa" w:w="5669"/>
            <w:shd w:fill="003366"/>
          </w:tcPr>
          <w:p>
            <w:pPr>
              <w:jc w:val="center"/>
            </w:pPr>
            <w:r/>
            <w:r>
              <w:rPr>
                <w:rFonts w:ascii="Segoe UI" w:hAnsi="Segoe UI"/>
                <w:b/>
                <w:color w:val="FFFFFF"/>
                <w:sz w:val="20"/>
              </w:rPr>
              <w:t>Dekking</w:t>
            </w:r>
          </w:p>
        </w:tc>
      </w:tr>
      <w:tr>
        <w:tc>
          <w:tcPr>
            <w:tcW w:type="dxa" w:w="2268"/>
          </w:tcPr>
          <w:p>
            <w:r/>
            <w:r>
              <w:rPr>
                <w:rFonts w:ascii="Segoe UI" w:hAnsi="Segoe UI"/>
                <w:color w:val="1F2937"/>
                <w:sz w:val="18"/>
              </w:rPr>
              <w:t>Pilotfase (2026)</w:t>
            </w:r>
          </w:p>
        </w:tc>
        <w:tc>
          <w:tcPr>
            <w:tcW w:type="dxa" w:w="1701"/>
          </w:tcPr>
          <w:p>
            <w:r/>
            <w:r>
              <w:rPr>
                <w:rFonts w:ascii="Segoe UI" w:hAnsi="Segoe UI"/>
                <w:color w:val="1F2937"/>
                <w:sz w:val="18"/>
              </w:rPr>
              <w:t>€10.000 – €25.000</w:t>
            </w:r>
          </w:p>
        </w:tc>
        <w:tc>
          <w:tcPr>
            <w:tcW w:type="dxa" w:w="5669"/>
          </w:tcPr>
          <w:p>
            <w:r/>
            <w:r>
              <w:rPr>
                <w:rFonts w:ascii="Segoe UI" w:hAnsi="Segoe UI"/>
                <w:color w:val="1F2937"/>
                <w:sz w:val="18"/>
              </w:rPr>
              <w:t>PPORD + LoA + onderzoek</w:t>
            </w:r>
          </w:p>
        </w:tc>
      </w:tr>
      <w:tr>
        <w:tc>
          <w:tcPr>
            <w:tcW w:type="dxa" w:w="2268"/>
            <w:shd w:fill="F0F4F8"/>
          </w:tcPr>
          <w:p>
            <w:r/>
            <w:r>
              <w:rPr>
                <w:rFonts w:ascii="Segoe UI" w:hAnsi="Segoe UI"/>
                <w:color w:val="1F2937"/>
                <w:sz w:val="18"/>
              </w:rPr>
              <w:t>FOAK-voorbereiding (H1 2027)</w:t>
            </w:r>
          </w:p>
        </w:tc>
        <w:tc>
          <w:tcPr>
            <w:tcW w:type="dxa" w:w="1701"/>
            <w:shd w:fill="F0F4F8"/>
          </w:tcPr>
          <w:p>
            <w:r/>
            <w:r>
              <w:rPr>
                <w:rFonts w:ascii="Segoe UI" w:hAnsi="Segoe UI"/>
                <w:color w:val="1F2937"/>
                <w:sz w:val="18"/>
              </w:rPr>
              <w:t>€10.000 – €22.000</w:t>
            </w:r>
          </w:p>
        </w:tc>
        <w:tc>
          <w:tcPr>
            <w:tcW w:type="dxa" w:w="5669"/>
            <w:shd w:fill="F0F4F8"/>
          </w:tcPr>
          <w:p>
            <w:r/>
            <w:r>
              <w:rPr>
                <w:rFonts w:ascii="Segoe UI" w:hAnsi="Segoe UI"/>
                <w:color w:val="1F2937"/>
                <w:sz w:val="18"/>
              </w:rPr>
              <w:t>End-of-wipe + strategie</w:t>
            </w:r>
          </w:p>
        </w:tc>
      </w:tr>
      <w:tr>
        <w:tc>
          <w:tcPr>
            <w:tcW w:type="dxa" w:w="2268"/>
          </w:tcPr>
          <w:p>
            <w:r/>
            <w:r>
              <w:rPr>
                <w:rFonts w:ascii="Segoe UI" w:hAnsi="Segoe UI"/>
                <w:color w:val="1F2937"/>
                <w:sz w:val="18"/>
              </w:rPr>
              <w:t>FOAK-commercialisatie (2027+)</w:t>
            </w:r>
          </w:p>
        </w:tc>
        <w:tc>
          <w:tcPr>
            <w:tcW w:type="dxa" w:w="1701"/>
          </w:tcPr>
          <w:p>
            <w:r/>
            <w:r>
              <w:rPr>
                <w:rFonts w:ascii="Segoe UI" w:hAnsi="Segoe UI"/>
                <w:color w:val="1F2937"/>
                <w:sz w:val="18"/>
              </w:rPr>
              <w:t>€120.000 – €290.000</w:t>
            </w:r>
          </w:p>
        </w:tc>
        <w:tc>
          <w:tcPr>
            <w:tcW w:type="dxa" w:w="5669"/>
          </w:tcPr>
          <w:p>
            <w:r/>
            <w:r>
              <w:rPr>
                <w:rFonts w:ascii="Segoe UI" w:hAnsi="Segoe UI"/>
                <w:color w:val="1F2937"/>
                <w:sz w:val="18"/>
              </w:rPr>
              <w:t>Volledige registratie (indien eigen)</w:t>
            </w:r>
          </w:p>
        </w:tc>
      </w:tr>
      <w:tr>
        <w:tc>
          <w:tcPr>
            <w:tcW w:type="dxa" w:w="2268"/>
            <w:shd w:fill="F0F4F8"/>
          </w:tcPr>
          <w:p>
            <w:r/>
            <w:r>
              <w:rPr>
                <w:rFonts w:ascii="Segoe UI" w:hAnsi="Segoe UI"/>
                <w:color w:val="1F2937"/>
                <w:sz w:val="18"/>
              </w:rPr>
              <w:t>FOAK alternatief (consortium)</w:t>
            </w:r>
          </w:p>
        </w:tc>
        <w:tc>
          <w:tcPr>
            <w:tcW w:type="dxa" w:w="1701"/>
            <w:shd w:fill="F0F4F8"/>
          </w:tcPr>
          <w:p>
            <w:r/>
            <w:r>
              <w:rPr>
                <w:rFonts w:ascii="Segoe UI" w:hAnsi="Segoe UI"/>
                <w:color w:val="1F2937"/>
                <w:sz w:val="18"/>
              </w:rPr>
              <w:t>€55.000 – €120.000/jaar</w:t>
            </w:r>
          </w:p>
        </w:tc>
        <w:tc>
          <w:tcPr>
            <w:tcW w:type="dxa" w:w="5669"/>
            <w:shd w:fill="F0F4F8"/>
          </w:tcPr>
          <w:p>
            <w:r/>
            <w:r>
              <w:rPr>
                <w:rFonts w:ascii="Segoe UI" w:hAnsi="Segoe UI"/>
                <w:color w:val="1F2937"/>
                <w:sz w:val="18"/>
              </w:rPr>
              <w:t>Full membership + LoA's</w:t>
            </w:r>
          </w:p>
        </w:tc>
      </w:tr>
    </w:tbl>
    <w:p>
      <w:pPr>
        <w:spacing w:before="160" w:after="160"/>
        <w:ind w:left="567"/>
        <w:shd w:fill="EFF6FF" w:val="clear"/>
        <w:pBdr>
          <w:left w:val="single" w:sz="24" w:space="8" w:color="3B82F6"/>
        </w:pBdr>
      </w:pPr>
      <w:r>
        <w:rPr>
          <w:rFonts w:ascii="Segoe UI" w:hAnsi="Segoe UI"/>
          <w:color w:val="1F2937"/>
          <w:sz w:val="20"/>
        </w:rPr>
        <w:t>ℹ BUDGET TIP: De JTF-subsidie kan mogelijk worden ingezet voor REACH-compliancekosten, aangezien deze direct gerelateerd zijn aan de pilot- en FOAK-ontwikkeling. Verifieer subsidievoorwaarden met de JTF-projectmanager.</w:t>
      </w:r>
    </w:p>
    <w:p>
      <w:r>
        <w:br w:type="page"/>
      </w:r>
    </w:p>
    <w:p>
      <w:pPr>
        <w:pStyle w:val="Heading1"/>
      </w:pPr>
      <w:r>
        <w:rPr>
          <w:rFonts w:ascii="Segoe UI" w:hAnsi="Segoe UI"/>
          <w:color w:val="003366"/>
          <w:sz w:val="40"/>
        </w:rPr>
        <w:t>Bijlagen</w:t>
      </w:r>
    </w:p>
    <w:p>
      <w:pPr>
        <w:pStyle w:val="Heading2"/>
      </w:pPr>
      <w:r>
        <w:rPr>
          <w:rFonts w:ascii="Segoe UI" w:hAnsi="Segoe UI"/>
          <w:color w:val="003366"/>
          <w:sz w:val="32"/>
        </w:rPr>
        <w:t>Bijlage A: Referenties</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tcPr>
          <w:p>
            <w:pPr>
              <w:jc w:val="center"/>
            </w:pPr>
            <w:r/>
            <w:r>
              <w:rPr>
                <w:rFonts w:ascii="Segoe UI" w:hAnsi="Segoe UI"/>
                <w:b/>
                <w:color w:val="FFFFFF"/>
                <w:sz w:val="20"/>
              </w:rPr>
              <w:t>Referentie</w:t>
            </w:r>
          </w:p>
        </w:tc>
        <w:tc>
          <w:tcPr>
            <w:tcW w:type="dxa" w:w="1984"/>
            <w:shd w:fill="003366"/>
          </w:tcPr>
          <w:p>
            <w:pPr>
              <w:jc w:val="center"/>
            </w:pPr>
            <w:r/>
            <w:r>
              <w:rPr>
                <w:rFonts w:ascii="Segoe UI" w:hAnsi="Segoe UI"/>
                <w:b/>
                <w:color w:val="FFFFFF"/>
                <w:sz w:val="20"/>
              </w:rPr>
              <w:t>Onderwerp</w:t>
            </w:r>
          </w:p>
        </w:tc>
        <w:tc>
          <w:tcPr>
            <w:tcW w:type="dxa" w:w="5669"/>
            <w:shd w:fill="003366"/>
          </w:tcPr>
          <w:p>
            <w:pPr>
              <w:jc w:val="center"/>
            </w:pPr>
            <w:r/>
            <w:r>
              <w:rPr>
                <w:rFonts w:ascii="Segoe UI" w:hAnsi="Segoe UI"/>
                <w:b/>
                <w:color w:val="FFFFFF"/>
                <w:sz w:val="20"/>
              </w:rPr>
              <w:t>URL/Bron</w:t>
            </w:r>
          </w:p>
        </w:tc>
      </w:tr>
      <w:tr>
        <w:tc>
          <w:tcPr>
            <w:tcW w:type="dxa" w:w="1701"/>
          </w:tcPr>
          <w:p>
            <w:r/>
            <w:r>
              <w:rPr>
                <w:rFonts w:ascii="Segoe UI" w:hAnsi="Segoe UI"/>
                <w:color w:val="1F2937"/>
                <w:sz w:val="18"/>
              </w:rPr>
              <w:t>EG 1907/2006</w:t>
            </w:r>
          </w:p>
        </w:tc>
        <w:tc>
          <w:tcPr>
            <w:tcW w:type="dxa" w:w="1984"/>
          </w:tcPr>
          <w:p>
            <w:r/>
            <w:r>
              <w:rPr>
                <w:rFonts w:ascii="Segoe UI" w:hAnsi="Segoe UI"/>
                <w:color w:val="1F2937"/>
                <w:sz w:val="18"/>
              </w:rPr>
              <w:t>REACH-verordening</w:t>
            </w:r>
          </w:p>
        </w:tc>
        <w:tc>
          <w:tcPr>
            <w:tcW w:type="dxa" w:w="5669"/>
          </w:tcPr>
          <w:p>
            <w:r/>
            <w:r>
              <w:rPr>
                <w:rFonts w:ascii="Segoe UI" w:hAnsi="Segoe UI"/>
                <w:color w:val="1F2937"/>
                <w:sz w:val="18"/>
              </w:rPr>
              <w:t>https://eur-lex.europa.eu/legal-content/NL/TXT/?uri=CELEX:32006R1907</w:t>
            </w:r>
          </w:p>
        </w:tc>
      </w:tr>
      <w:tr>
        <w:tc>
          <w:tcPr>
            <w:tcW w:type="dxa" w:w="1701"/>
            <w:shd w:fill="F0F4F8"/>
          </w:tcPr>
          <w:p>
            <w:r/>
            <w:r>
              <w:rPr>
                <w:rFonts w:ascii="Segoe UI" w:hAnsi="Segoe UI"/>
                <w:color w:val="1F2937"/>
                <w:sz w:val="18"/>
              </w:rPr>
              <w:t>Richtlijn 2008/98/EG</w:t>
            </w:r>
          </w:p>
        </w:tc>
        <w:tc>
          <w:tcPr>
            <w:tcW w:type="dxa" w:w="1984"/>
            <w:shd w:fill="F0F4F8"/>
          </w:tcPr>
          <w:p>
            <w:r/>
            <w:r>
              <w:rPr>
                <w:rFonts w:ascii="Segoe UI" w:hAnsi="Segoe UI"/>
                <w:color w:val="1F2937"/>
                <w:sz w:val="18"/>
              </w:rPr>
              <w:t>Kaderrichtlijn Afvalstoffen</w:t>
            </w:r>
          </w:p>
        </w:tc>
        <w:tc>
          <w:tcPr>
            <w:tcW w:type="dxa" w:w="5669"/>
            <w:shd w:fill="F0F4F8"/>
          </w:tcPr>
          <w:p>
            <w:r/>
            <w:r>
              <w:rPr>
                <w:rFonts w:ascii="Segoe UI" w:hAnsi="Segoe UI"/>
                <w:color w:val="1F2937"/>
                <w:sz w:val="18"/>
              </w:rPr>
              <w:t>https://eur-lex.europa.eu/legal-content/NL/TXT/?uri=CELEX:32008L0098</w:t>
            </w:r>
          </w:p>
        </w:tc>
      </w:tr>
      <w:tr>
        <w:tc>
          <w:tcPr>
            <w:tcW w:type="dxa" w:w="1701"/>
          </w:tcPr>
          <w:p>
            <w:r/>
            <w:r>
              <w:rPr>
                <w:rFonts w:ascii="Segoe UI" w:hAnsi="Segoe UI"/>
                <w:color w:val="1F2937"/>
                <w:sz w:val="18"/>
              </w:rPr>
              <w:t>ECHA REACH-IT</w:t>
            </w:r>
          </w:p>
        </w:tc>
        <w:tc>
          <w:tcPr>
            <w:tcW w:type="dxa" w:w="1984"/>
          </w:tcPr>
          <w:p>
            <w:r/>
            <w:r>
              <w:rPr>
                <w:rFonts w:ascii="Segoe UI" w:hAnsi="Segoe UI"/>
                <w:color w:val="1F2937"/>
                <w:sz w:val="18"/>
              </w:rPr>
              <w:t>PPORD-notificatieportaal</w:t>
            </w:r>
          </w:p>
        </w:tc>
        <w:tc>
          <w:tcPr>
            <w:tcW w:type="dxa" w:w="5669"/>
          </w:tcPr>
          <w:p>
            <w:r/>
            <w:r>
              <w:rPr>
                <w:rFonts w:ascii="Segoe UI" w:hAnsi="Segoe UI"/>
                <w:color w:val="1F2937"/>
                <w:sz w:val="18"/>
              </w:rPr>
              <w:t>https://reachit.echa.europa.eu/</w:t>
            </w:r>
          </w:p>
        </w:tc>
      </w:tr>
      <w:tr>
        <w:tc>
          <w:tcPr>
            <w:tcW w:type="dxa" w:w="1701"/>
            <w:shd w:fill="F0F4F8"/>
          </w:tcPr>
          <w:p>
            <w:r/>
            <w:r>
              <w:rPr>
                <w:rFonts w:ascii="Segoe UI" w:hAnsi="Segoe UI"/>
                <w:color w:val="1F2937"/>
                <w:sz w:val="18"/>
              </w:rPr>
              <w:t>ECHA SVHC-intentielijst</w:t>
            </w:r>
          </w:p>
        </w:tc>
        <w:tc>
          <w:tcPr>
            <w:tcW w:type="dxa" w:w="1984"/>
            <w:shd w:fill="F0F4F8"/>
          </w:tcPr>
          <w:p>
            <w:r/>
            <w:r>
              <w:rPr>
                <w:rFonts w:ascii="Segoe UI" w:hAnsi="Segoe UI"/>
                <w:color w:val="1F2937"/>
                <w:sz w:val="18"/>
              </w:rPr>
              <w:t>Kandidaat SVHC-stoffen</w:t>
            </w:r>
          </w:p>
        </w:tc>
        <w:tc>
          <w:tcPr>
            <w:tcW w:type="dxa" w:w="5669"/>
            <w:shd w:fill="F0F4F8"/>
          </w:tcPr>
          <w:p>
            <w:r/>
            <w:r>
              <w:rPr>
                <w:rFonts w:ascii="Segoe UI" w:hAnsi="Segoe UI"/>
                <w:color w:val="1F2937"/>
                <w:sz w:val="18"/>
              </w:rPr>
              <w:t>https://echa.europa.eu/registry-of-svhc-intentions-until-outcome</w:t>
            </w:r>
          </w:p>
        </w:tc>
      </w:tr>
      <w:tr>
        <w:tc>
          <w:tcPr>
            <w:tcW w:type="dxa" w:w="1701"/>
          </w:tcPr>
          <w:p>
            <w:r/>
            <w:r>
              <w:rPr>
                <w:rFonts w:ascii="Segoe UI" w:hAnsi="Segoe UI"/>
                <w:color w:val="1F2937"/>
                <w:sz w:val="18"/>
              </w:rPr>
              <w:t>Vanadium Consortium</w:t>
            </w:r>
          </w:p>
        </w:tc>
        <w:tc>
          <w:tcPr>
            <w:tcW w:type="dxa" w:w="1984"/>
          </w:tcPr>
          <w:p>
            <w:r/>
            <w:r>
              <w:rPr>
                <w:rFonts w:ascii="Segoe UI" w:hAnsi="Segoe UI"/>
                <w:color w:val="1F2937"/>
                <w:sz w:val="18"/>
              </w:rPr>
              <w:t>Consortium website</w:t>
            </w:r>
          </w:p>
        </w:tc>
        <w:tc>
          <w:tcPr>
            <w:tcW w:type="dxa" w:w="5669"/>
          </w:tcPr>
          <w:p>
            <w:r/>
            <w:r>
              <w:rPr>
                <w:rFonts w:ascii="Segoe UI" w:hAnsi="Segoe UI"/>
                <w:color w:val="1F2937"/>
                <w:sz w:val="18"/>
              </w:rPr>
              <w:t>https://vanadiumconsortium.com/</w:t>
            </w:r>
          </w:p>
        </w:tc>
      </w:tr>
      <w:tr>
        <w:tc>
          <w:tcPr>
            <w:tcW w:type="dxa" w:w="1701"/>
            <w:shd w:fill="F0F4F8"/>
          </w:tcPr>
          <w:p>
            <w:r/>
            <w:r>
              <w:rPr>
                <w:rFonts w:ascii="Segoe UI" w:hAnsi="Segoe UI"/>
                <w:color w:val="1F2937"/>
                <w:sz w:val="18"/>
              </w:rPr>
              <w:t>ECHA InfoCard V₂O₅</w:t>
            </w:r>
          </w:p>
        </w:tc>
        <w:tc>
          <w:tcPr>
            <w:tcW w:type="dxa" w:w="1984"/>
            <w:shd w:fill="F0F4F8"/>
          </w:tcPr>
          <w:p>
            <w:r/>
            <w:r>
              <w:rPr>
                <w:rFonts w:ascii="Segoe UI" w:hAnsi="Segoe UI"/>
                <w:color w:val="1F2937"/>
                <w:sz w:val="18"/>
              </w:rPr>
              <w:t>Registratiegegevens</w:t>
            </w:r>
          </w:p>
        </w:tc>
        <w:tc>
          <w:tcPr>
            <w:tcW w:type="dxa" w:w="5669"/>
            <w:shd w:fill="F0F4F8"/>
          </w:tcPr>
          <w:p>
            <w:r/>
            <w:r>
              <w:rPr>
                <w:rFonts w:ascii="Segoe UI" w:hAnsi="Segoe UI"/>
                <w:color w:val="1F2937"/>
                <w:sz w:val="18"/>
              </w:rPr>
              <w:t>https://echa.europa.eu/substance-information/-/substanceinfo/100.028.795</w:t>
            </w:r>
          </w:p>
        </w:tc>
      </w:tr>
      <w:tr>
        <w:tc>
          <w:tcPr>
            <w:tcW w:type="dxa" w:w="1701"/>
          </w:tcPr>
          <w:p>
            <w:r/>
            <w:r>
              <w:rPr>
                <w:rFonts w:ascii="Segoe UI" w:hAnsi="Segoe UI"/>
                <w:color w:val="1F2937"/>
                <w:sz w:val="18"/>
              </w:rPr>
              <w:t>Arcadis haalbaarheidsstudie</w:t>
            </w:r>
          </w:p>
        </w:tc>
        <w:tc>
          <w:tcPr>
            <w:tcW w:type="dxa" w:w="1984"/>
          </w:tcPr>
          <w:p>
            <w:r/>
            <w:r>
              <w:rPr>
                <w:rFonts w:ascii="Segoe UI" w:hAnsi="Segoe UI"/>
                <w:color w:val="1F2937"/>
                <w:sz w:val="18"/>
              </w:rPr>
              <w:t>Dec 2025 — afvalstatus bevestiging</w:t>
            </w:r>
          </w:p>
        </w:tc>
        <w:tc>
          <w:tcPr>
            <w:tcW w:type="dxa" w:w="5669"/>
          </w:tcPr>
          <w:p>
            <w:r/>
            <w:r>
              <w:rPr>
                <w:rFonts w:ascii="Segoe UI" w:hAnsi="Segoe UI"/>
                <w:color w:val="1F2937"/>
                <w:sz w:val="18"/>
              </w:rPr>
              <w:t>Vertrouwelijk — Phoenix Metals</w:t>
            </w:r>
          </w:p>
        </w:tc>
      </w:tr>
    </w:tbl>
    <w:p>
      <w:pPr>
        <w:pStyle w:val="Heading2"/>
      </w:pPr>
      <w:r>
        <w:rPr>
          <w:rFonts w:ascii="Segoe UI" w:hAnsi="Segoe UI"/>
          <w:color w:val="003366"/>
          <w:sz w:val="32"/>
        </w:rPr>
        <w:t>Bijlage B: Vanadium Consortium — Geregistreerde Stoffen (relevant)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268"/>
            <w:shd w:fill="003366"/>
          </w:tcPr>
          <w:p>
            <w:pPr>
              <w:jc w:val="center"/>
            </w:pPr>
            <w:r/>
            <w:r>
              <w:rPr>
                <w:rFonts w:ascii="Segoe UI" w:hAnsi="Segoe UI"/>
                <w:b/>
                <w:color w:val="FFFFFF"/>
                <w:sz w:val="20"/>
              </w:rPr>
              <w:t>Stof</w:t>
            </w:r>
          </w:p>
        </w:tc>
        <w:tc>
          <w:tcPr>
            <w:tcW w:type="dxa" w:w="1417"/>
            <w:shd w:fill="003366"/>
          </w:tcPr>
          <w:p>
            <w:pPr>
              <w:jc w:val="center"/>
            </w:pPr>
            <w:r/>
            <w:r>
              <w:rPr>
                <w:rFonts w:ascii="Segoe UI" w:hAnsi="Segoe UI"/>
                <w:b/>
                <w:color w:val="FFFFFF"/>
                <w:sz w:val="20"/>
              </w:rPr>
              <w:t>CAS</w:t>
            </w:r>
          </w:p>
        </w:tc>
        <w:tc>
          <w:tcPr>
            <w:tcW w:type="dxa" w:w="1134"/>
            <w:shd w:fill="003366"/>
          </w:tcPr>
          <w:p>
            <w:pPr>
              <w:jc w:val="center"/>
            </w:pPr>
            <w:r/>
            <w:r>
              <w:rPr>
                <w:rFonts w:ascii="Segoe UI" w:hAnsi="Segoe UI"/>
                <w:b/>
                <w:color w:val="FFFFFF"/>
                <w:sz w:val="20"/>
              </w:rPr>
              <w:t>Tonnage Band</w:t>
            </w:r>
          </w:p>
        </w:tc>
        <w:tc>
          <w:tcPr>
            <w:tcW w:type="dxa" w:w="1134"/>
            <w:shd w:fill="003366"/>
          </w:tcPr>
          <w:p>
            <w:pPr>
              <w:jc w:val="center"/>
            </w:pPr>
            <w:r/>
            <w:r>
              <w:rPr>
                <w:rFonts w:ascii="Segoe UI" w:hAnsi="Segoe UI"/>
                <w:b/>
                <w:color w:val="FFFFFF"/>
                <w:sz w:val="20"/>
              </w:rPr>
              <w:t>Type</w:t>
            </w:r>
          </w:p>
        </w:tc>
      </w:tr>
      <w:tr>
        <w:tc>
          <w:tcPr>
            <w:tcW w:type="dxa" w:w="2268"/>
          </w:tcPr>
          <w:p>
            <w:r/>
            <w:r>
              <w:rPr>
                <w:rFonts w:ascii="Segoe UI" w:hAnsi="Segoe UI"/>
                <w:color w:val="1F2937"/>
                <w:sz w:val="18"/>
              </w:rPr>
              <w:t>Divanadium pentaoxide</w:t>
            </w:r>
          </w:p>
        </w:tc>
        <w:tc>
          <w:tcPr>
            <w:tcW w:type="dxa" w:w="1417"/>
          </w:tcPr>
          <w:p>
            <w:r/>
            <w:r>
              <w:rPr>
                <w:rFonts w:ascii="Segoe UI" w:hAnsi="Segoe UI"/>
                <w:color w:val="1F2937"/>
                <w:sz w:val="18"/>
              </w:rPr>
              <w:t>1314-62-1</w:t>
            </w:r>
          </w:p>
        </w:tc>
        <w:tc>
          <w:tcPr>
            <w:tcW w:type="dxa" w:w="1134"/>
          </w:tcPr>
          <w:p>
            <w:r/>
            <w:r>
              <w:rPr>
                <w:rFonts w:ascii="Segoe UI" w:hAnsi="Segoe UI"/>
                <w:color w:val="1F2937"/>
                <w:sz w:val="18"/>
              </w:rPr>
              <w:t>1-10 t/j</w:t>
            </w:r>
          </w:p>
        </w:tc>
        <w:tc>
          <w:tcPr>
            <w:tcW w:type="dxa" w:w="1134"/>
          </w:tcPr>
          <w:p>
            <w:r/>
            <w:r>
              <w:rPr>
                <w:rFonts w:ascii="Segoe UI" w:hAnsi="Segoe UI"/>
                <w:color w:val="1F2937"/>
                <w:sz w:val="18"/>
              </w:rPr>
              <w:t>REEDS</w:t>
            </w:r>
          </w:p>
        </w:tc>
      </w:tr>
      <w:tr>
        <w:tc>
          <w:tcPr>
            <w:tcW w:type="dxa" w:w="2268"/>
            <w:shd w:fill="F0F4F8"/>
          </w:tcPr>
          <w:p>
            <w:r/>
            <w:r>
              <w:rPr>
                <w:rFonts w:ascii="Segoe UI" w:hAnsi="Segoe UI"/>
                <w:color w:val="1F2937"/>
                <w:sz w:val="18"/>
              </w:rPr>
              <w:t>Sodium metavanadate</w:t>
            </w:r>
          </w:p>
        </w:tc>
        <w:tc>
          <w:tcPr>
            <w:tcW w:type="dxa" w:w="1417"/>
            <w:shd w:fill="F0F4F8"/>
          </w:tcPr>
          <w:p>
            <w:r/>
            <w:r>
              <w:rPr>
                <w:rFonts w:ascii="Segoe UI" w:hAnsi="Segoe UI"/>
                <w:color w:val="1F2937"/>
                <w:sz w:val="18"/>
              </w:rPr>
              <w:t>13718-26-8</w:t>
            </w:r>
          </w:p>
        </w:tc>
        <w:tc>
          <w:tcPr>
            <w:tcW w:type="dxa" w:w="1134"/>
            <w:shd w:fill="F0F4F8"/>
          </w:tcPr>
          <w:p>
            <w:r/>
            <w:r>
              <w:rPr>
                <w:rFonts w:ascii="Segoe UI" w:hAnsi="Segoe UI"/>
                <w:color w:val="1F2937"/>
                <w:sz w:val="18"/>
              </w:rPr>
              <w:t>1-10 t/j</w:t>
            </w:r>
          </w:p>
        </w:tc>
        <w:tc>
          <w:tcPr>
            <w:tcW w:type="dxa" w:w="1134"/>
            <w:shd w:fill="F0F4F8"/>
          </w:tcPr>
          <w:p>
            <w:r/>
            <w:r>
              <w:rPr>
                <w:rFonts w:ascii="Segoe UI" w:hAnsi="Segoe UI"/>
                <w:color w:val="1F2937"/>
                <w:sz w:val="18"/>
              </w:rPr>
              <w:t>REEDS</w:t>
            </w:r>
          </w:p>
        </w:tc>
      </w:tr>
      <w:tr>
        <w:tc>
          <w:tcPr>
            <w:tcW w:type="dxa" w:w="2268"/>
          </w:tcPr>
          <w:p>
            <w:r/>
            <w:r>
              <w:rPr>
                <w:rFonts w:ascii="Segoe UI" w:hAnsi="Segoe UI"/>
                <w:color w:val="1F2937"/>
                <w:sz w:val="18"/>
              </w:rPr>
              <w:t>Slags, steelmaking, vanadium</w:t>
            </w:r>
          </w:p>
        </w:tc>
        <w:tc>
          <w:tcPr>
            <w:tcW w:type="dxa" w:w="1417"/>
          </w:tcPr>
          <w:p>
            <w:r/>
            <w:r>
              <w:rPr>
                <w:rFonts w:ascii="Segoe UI" w:hAnsi="Segoe UI"/>
                <w:color w:val="1F2937"/>
                <w:sz w:val="18"/>
              </w:rPr>
              <w:t>60912-34-6</w:t>
            </w:r>
          </w:p>
        </w:tc>
        <w:tc>
          <w:tcPr>
            <w:tcW w:type="dxa" w:w="1134"/>
          </w:tcPr>
          <w:p>
            <w:r/>
            <w:r>
              <w:rPr>
                <w:rFonts w:ascii="Segoe UI" w:hAnsi="Segoe UI"/>
                <w:color w:val="1F2937"/>
                <w:sz w:val="18"/>
              </w:rPr>
              <w:t>1-10 t/j</w:t>
            </w:r>
          </w:p>
        </w:tc>
        <w:tc>
          <w:tcPr>
            <w:tcW w:type="dxa" w:w="1134"/>
          </w:tcPr>
          <w:p>
            <w:r/>
            <w:r>
              <w:rPr>
                <w:rFonts w:ascii="Segoe UI" w:hAnsi="Segoe UI"/>
                <w:color w:val="1F2937"/>
                <w:sz w:val="18"/>
              </w:rPr>
              <w:t>REEDS</w:t>
            </w:r>
          </w:p>
        </w:tc>
      </w:tr>
      <w:tr>
        <w:tc>
          <w:tcPr>
            <w:tcW w:type="dxa" w:w="2268"/>
            <w:shd w:fill="F0F4F8"/>
          </w:tcPr>
          <w:p>
            <w:r/>
            <w:r>
              <w:rPr>
                <w:rFonts w:ascii="Segoe UI" w:hAnsi="Segoe UI"/>
                <w:color w:val="1F2937"/>
                <w:sz w:val="18"/>
              </w:rPr>
              <w:t>Vanadium</w:t>
            </w:r>
          </w:p>
        </w:tc>
        <w:tc>
          <w:tcPr>
            <w:tcW w:type="dxa" w:w="1417"/>
            <w:shd w:fill="F0F4F8"/>
          </w:tcPr>
          <w:p>
            <w:r/>
            <w:r>
              <w:rPr>
                <w:rFonts w:ascii="Segoe UI" w:hAnsi="Segoe UI"/>
                <w:color w:val="1F2937"/>
                <w:sz w:val="18"/>
              </w:rPr>
              <w:t>7440-62-2</w:t>
            </w:r>
          </w:p>
        </w:tc>
        <w:tc>
          <w:tcPr>
            <w:tcW w:type="dxa" w:w="1134"/>
            <w:shd w:fill="F0F4F8"/>
          </w:tcPr>
          <w:p>
            <w:r/>
            <w:r>
              <w:rPr>
                <w:rFonts w:ascii="Segoe UI" w:hAnsi="Segoe UI"/>
                <w:color w:val="1F2937"/>
                <w:sz w:val="18"/>
              </w:rPr>
              <w:t>1-10 t/j</w:t>
            </w:r>
          </w:p>
        </w:tc>
        <w:tc>
          <w:tcPr>
            <w:tcW w:type="dxa" w:w="1134"/>
            <w:shd w:fill="F0F4F8"/>
          </w:tcPr>
          <w:p>
            <w:r/>
            <w:r>
              <w:rPr>
                <w:rFonts w:ascii="Segoe UI" w:hAnsi="Segoe UI"/>
                <w:color w:val="1F2937"/>
                <w:sz w:val="18"/>
              </w:rPr>
              <w:t>REEDS</w:t>
            </w:r>
          </w:p>
        </w:tc>
      </w:tr>
      <w:tr>
        <w:tc>
          <w:tcPr>
            <w:tcW w:type="dxa" w:w="2268"/>
          </w:tcPr>
          <w:p>
            <w:r/>
            <w:r>
              <w:rPr>
                <w:rFonts w:ascii="Segoe UI" w:hAnsi="Segoe UI"/>
                <w:color w:val="1F2937"/>
                <w:sz w:val="18"/>
              </w:rPr>
              <w:t>Vanadium oxide sulphate</w:t>
            </w:r>
          </w:p>
        </w:tc>
        <w:tc>
          <w:tcPr>
            <w:tcW w:type="dxa" w:w="1417"/>
          </w:tcPr>
          <w:p>
            <w:r/>
            <w:r>
              <w:rPr>
                <w:rFonts w:ascii="Segoe UI" w:hAnsi="Segoe UI"/>
                <w:color w:val="1F2937"/>
                <w:sz w:val="18"/>
              </w:rPr>
              <w:t>27774-13-6</w:t>
            </w:r>
          </w:p>
        </w:tc>
        <w:tc>
          <w:tcPr>
            <w:tcW w:type="dxa" w:w="1134"/>
          </w:tcPr>
          <w:p>
            <w:r/>
            <w:r>
              <w:rPr>
                <w:rFonts w:ascii="Segoe UI" w:hAnsi="Segoe UI"/>
                <w:color w:val="1F2937"/>
                <w:sz w:val="18"/>
              </w:rPr>
              <w:t>1-10 t/j</w:t>
            </w:r>
          </w:p>
        </w:tc>
        <w:tc>
          <w:tcPr>
            <w:tcW w:type="dxa" w:w="1134"/>
          </w:tcPr>
          <w:p>
            <w:r/>
            <w:r>
              <w:rPr>
                <w:rFonts w:ascii="Segoe UI" w:hAnsi="Segoe UI"/>
                <w:color w:val="1F2937"/>
                <w:sz w:val="18"/>
              </w:rPr>
              <w:t>REEDS</w:t>
            </w:r>
          </w:p>
        </w:tc>
      </w:tr>
      <w:tr>
        <w:tc>
          <w:tcPr>
            <w:tcW w:type="dxa" w:w="2268"/>
            <w:shd w:fill="F0F4F8"/>
          </w:tcPr>
          <w:p>
            <w:r/>
            <w:r>
              <w:rPr>
                <w:rFonts w:ascii="Segoe UI" w:hAnsi="Segoe UI"/>
                <w:color w:val="1F2937"/>
                <w:sz w:val="18"/>
              </w:rPr>
              <w:t>Divanadium tris(sulphate)</w:t>
            </w:r>
          </w:p>
        </w:tc>
        <w:tc>
          <w:tcPr>
            <w:tcW w:type="dxa" w:w="1417"/>
            <w:shd w:fill="F0F4F8"/>
          </w:tcPr>
          <w:p>
            <w:r/>
            <w:r>
              <w:rPr>
                <w:rFonts w:ascii="Segoe UI" w:hAnsi="Segoe UI"/>
                <w:color w:val="1F2937"/>
                <w:sz w:val="18"/>
              </w:rPr>
              <w:t>13701-70-7</w:t>
            </w:r>
          </w:p>
        </w:tc>
        <w:tc>
          <w:tcPr>
            <w:tcW w:type="dxa" w:w="1134"/>
            <w:shd w:fill="F0F4F8"/>
          </w:tcPr>
          <w:p>
            <w:r/>
            <w:r>
              <w:rPr>
                <w:rFonts w:ascii="Segoe UI" w:hAnsi="Segoe UI"/>
                <w:color w:val="1F2937"/>
                <w:sz w:val="18"/>
              </w:rPr>
              <w:t>1-10 t/j</w:t>
            </w:r>
          </w:p>
        </w:tc>
        <w:tc>
          <w:tcPr>
            <w:tcW w:type="dxa" w:w="1134"/>
            <w:shd w:fill="F0F4F8"/>
          </w:tcPr>
          <w:p>
            <w:r/>
            <w:r>
              <w:rPr>
                <w:rFonts w:ascii="Segoe UI" w:hAnsi="Segoe UI"/>
                <w:color w:val="1F2937"/>
                <w:sz w:val="18"/>
              </w:rPr>
              <w:t>REEDS</w:t>
            </w:r>
          </w:p>
        </w:tc>
      </w:tr>
    </w:tbl>
    <w:p>
      <w:pPr>
        <w:pStyle w:val="Heading2"/>
      </w:pPr>
      <w:r>
        <w:rPr>
          <w:rFonts w:ascii="Segoe UI" w:hAnsi="Segoe UI"/>
          <w:color w:val="003366"/>
          <w:sz w:val="32"/>
        </w:rPr>
        <w:t>Bijlage C: ECHA CAS-nummer Verificatie</w:t>
      </w:r>
    </w:p>
    <w:p>
      <w:r>
        <w:rPr>
          <w:rFonts w:ascii="Segoe UI" w:hAnsi="Segoe UI"/>
          <w:b w:val="0"/>
          <w:i w:val="0"/>
          <w:color w:val="1F2937"/>
          <w:sz w:val="22"/>
        </w:rPr>
        <w:t>Alle CAS-nummers in dit document zijn geverifieerd via de ECHA-substancedatabase (echa.europa.eu) en PubChem. Laatste verificatie: april 2026.</w:t>
      </w:r>
    </w:p>
    <w:p>
      <w:pPr>
        <w:pStyle w:val="Heading2"/>
      </w:pPr>
      <w:r>
        <w:rPr>
          <w:rFonts w:ascii="Segoe UI" w:hAnsi="Segoe UI"/>
          <w:color w:val="003366"/>
          <w:sz w:val="32"/>
        </w:rPr>
        <w:t>Bijlage D: ADR-klassificatie Invoerchemicaliën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shd w:fill="003366"/>
          </w:tcPr>
          <w:p>
            <w:pPr>
              <w:jc w:val="center"/>
            </w:pPr>
            <w:r/>
            <w:r>
              <w:rPr>
                <w:rFonts w:ascii="Segoe UI" w:hAnsi="Segoe UI"/>
                <w:b/>
                <w:color w:val="FFFFFF"/>
                <w:sz w:val="20"/>
              </w:rPr>
              <w:t>Stof</w:t>
            </w:r>
          </w:p>
        </w:tc>
        <w:tc>
          <w:tcPr>
            <w:tcW w:type="dxa" w:w="1134"/>
            <w:shd w:fill="003366"/>
          </w:tcPr>
          <w:p>
            <w:pPr>
              <w:jc w:val="center"/>
            </w:pPr>
            <w:r/>
            <w:r>
              <w:rPr>
                <w:rFonts w:ascii="Segoe UI" w:hAnsi="Segoe UI"/>
                <w:b/>
                <w:color w:val="FFFFFF"/>
                <w:sz w:val="20"/>
              </w:rPr>
              <w:t>UN-nummer</w:t>
            </w:r>
          </w:p>
        </w:tc>
        <w:tc>
          <w:tcPr>
            <w:tcW w:type="dxa" w:w="850"/>
            <w:shd w:fill="003366"/>
          </w:tcPr>
          <w:p>
            <w:pPr>
              <w:jc w:val="center"/>
            </w:pPr>
            <w:r/>
            <w:r>
              <w:rPr>
                <w:rFonts w:ascii="Segoe UI" w:hAnsi="Segoe UI"/>
                <w:b/>
                <w:color w:val="FFFFFF"/>
                <w:sz w:val="20"/>
              </w:rPr>
              <w:t>ADR-klasse</w:t>
            </w:r>
          </w:p>
        </w:tc>
        <w:tc>
          <w:tcPr>
            <w:tcW w:type="dxa" w:w="850"/>
            <w:shd w:fill="003366"/>
          </w:tcPr>
          <w:p>
            <w:pPr>
              <w:jc w:val="center"/>
            </w:pPr>
            <w:r/>
            <w:r>
              <w:rPr>
                <w:rFonts w:ascii="Segoe UI" w:hAnsi="Segoe UI"/>
                <w:b/>
                <w:color w:val="FFFFFF"/>
                <w:sz w:val="20"/>
              </w:rPr>
              <w:t>Packing Group</w:t>
            </w:r>
          </w:p>
        </w:tc>
        <w:tc>
          <w:tcPr>
            <w:tcW w:type="dxa" w:w="2268"/>
            <w:shd w:fill="003366"/>
          </w:tcPr>
          <w:p>
            <w:pPr>
              <w:jc w:val="center"/>
            </w:pPr>
            <w:r/>
            <w:r>
              <w:rPr>
                <w:rFonts w:ascii="Segoe UI" w:hAnsi="Segoe UI"/>
                <w:b/>
                <w:color w:val="FFFFFF"/>
                <w:sz w:val="20"/>
              </w:rPr>
              <w:t>Opmerking</w:t>
            </w:r>
          </w:p>
        </w:tc>
      </w:tr>
      <w:tr>
        <w:tc>
          <w:tcPr>
            <w:tcW w:type="dxa" w:w="1701"/>
          </w:tcPr>
          <w:p>
            <w:r/>
            <w:r>
              <w:rPr>
                <w:rFonts w:ascii="Segoe UI" w:hAnsi="Segoe UI"/>
                <w:color w:val="1F2937"/>
                <w:sz w:val="18"/>
              </w:rPr>
              <w:t>Sodium hydroxide 50%</w:t>
            </w:r>
          </w:p>
        </w:tc>
        <w:tc>
          <w:tcPr>
            <w:tcW w:type="dxa" w:w="1134"/>
          </w:tcPr>
          <w:p>
            <w:r/>
            <w:r>
              <w:rPr>
                <w:rFonts w:ascii="Segoe UI" w:hAnsi="Segoe UI"/>
                <w:color w:val="1F2937"/>
                <w:sz w:val="18"/>
              </w:rPr>
              <w:t>UN 1824</w:t>
            </w:r>
          </w:p>
        </w:tc>
        <w:tc>
          <w:tcPr>
            <w:tcW w:type="dxa" w:w="850"/>
          </w:tcPr>
          <w:p>
            <w:r/>
            <w:r>
              <w:rPr>
                <w:rFonts w:ascii="Segoe UI" w:hAnsi="Segoe UI"/>
                <w:color w:val="1F2937"/>
                <w:sz w:val="18"/>
              </w:rPr>
              <w:t>Klasse 8</w:t>
            </w:r>
          </w:p>
        </w:tc>
        <w:tc>
          <w:tcPr>
            <w:tcW w:type="dxa" w:w="850"/>
          </w:tcPr>
          <w:p>
            <w:r/>
            <w:r>
              <w:rPr>
                <w:rFonts w:ascii="Segoe UI" w:hAnsi="Segoe UI"/>
                <w:color w:val="1F2937"/>
                <w:sz w:val="18"/>
              </w:rPr>
              <w:t>PG II</w:t>
            </w:r>
          </w:p>
        </w:tc>
        <w:tc>
          <w:tcPr>
            <w:tcW w:type="dxa" w:w="2268"/>
          </w:tcPr>
          <w:p>
            <w:r/>
            <w:r>
              <w:rPr>
                <w:rFonts w:ascii="Segoe UI" w:hAnsi="Segoe UI"/>
                <w:color w:val="1F2937"/>
                <w:sz w:val="18"/>
              </w:rPr>
              <w:t>Gevarenklasse: Corrosief</w:t>
            </w:r>
          </w:p>
        </w:tc>
      </w:tr>
      <w:tr>
        <w:tc>
          <w:tcPr>
            <w:tcW w:type="dxa" w:w="1701"/>
            <w:shd w:fill="F0F4F8"/>
          </w:tcPr>
          <w:p>
            <w:r/>
            <w:r>
              <w:rPr>
                <w:rFonts w:ascii="Segoe UI" w:hAnsi="Segoe UI"/>
                <w:color w:val="1F2937"/>
                <w:sz w:val="18"/>
              </w:rPr>
              <w:t>Sulfuric acid 25-75%</w:t>
            </w:r>
          </w:p>
        </w:tc>
        <w:tc>
          <w:tcPr>
            <w:tcW w:type="dxa" w:w="1134"/>
            <w:shd w:fill="F0F4F8"/>
          </w:tcPr>
          <w:p>
            <w:r/>
            <w:r>
              <w:rPr>
                <w:rFonts w:ascii="Segoe UI" w:hAnsi="Segoe UI"/>
                <w:color w:val="1F2937"/>
                <w:sz w:val="18"/>
              </w:rPr>
              <w:t>UN 1830</w:t>
            </w:r>
          </w:p>
        </w:tc>
        <w:tc>
          <w:tcPr>
            <w:tcW w:type="dxa" w:w="850"/>
            <w:shd w:fill="F0F4F8"/>
          </w:tcPr>
          <w:p>
            <w:r/>
            <w:r>
              <w:rPr>
                <w:rFonts w:ascii="Segoe UI" w:hAnsi="Segoe UI"/>
                <w:color w:val="1F2937"/>
                <w:sz w:val="18"/>
              </w:rPr>
              <w:t>Klasse 8</w:t>
            </w:r>
          </w:p>
        </w:tc>
        <w:tc>
          <w:tcPr>
            <w:tcW w:type="dxa" w:w="850"/>
            <w:shd w:fill="F0F4F8"/>
          </w:tcPr>
          <w:p>
            <w:r/>
            <w:r>
              <w:rPr>
                <w:rFonts w:ascii="Segoe UI" w:hAnsi="Segoe UI"/>
                <w:color w:val="1F2937"/>
                <w:sz w:val="18"/>
              </w:rPr>
              <w:t>PG II</w:t>
            </w:r>
          </w:p>
        </w:tc>
        <w:tc>
          <w:tcPr>
            <w:tcW w:type="dxa" w:w="2268"/>
            <w:shd w:fill="F0F4F8"/>
          </w:tcPr>
          <w:p>
            <w:r/>
            <w:r>
              <w:rPr>
                <w:rFonts w:ascii="Segoe UI" w:hAnsi="Segoe UI"/>
                <w:color w:val="1F2937"/>
                <w:sz w:val="18"/>
              </w:rPr>
              <w:t>Gevarenklasse: Corrosief</w:t>
            </w:r>
          </w:p>
        </w:tc>
      </w:tr>
      <w:tr>
        <w:tc>
          <w:tcPr>
            <w:tcW w:type="dxa" w:w="1701"/>
          </w:tcPr>
          <w:p>
            <w:r/>
            <w:r>
              <w:rPr>
                <w:rFonts w:ascii="Segoe UI" w:hAnsi="Segoe UI"/>
                <w:color w:val="1F2937"/>
                <w:sz w:val="18"/>
              </w:rPr>
              <w:t>Calcium oxide</w:t>
            </w:r>
          </w:p>
        </w:tc>
        <w:tc>
          <w:tcPr>
            <w:tcW w:type="dxa" w:w="1134"/>
          </w:tcPr>
          <w:p>
            <w:r/>
            <w:r>
              <w:rPr>
                <w:rFonts w:ascii="Segoe UI" w:hAnsi="Segoe UI"/>
                <w:color w:val="1F2937"/>
                <w:sz w:val="18"/>
              </w:rPr>
              <w:t>UN 1910</w:t>
            </w:r>
          </w:p>
        </w:tc>
        <w:tc>
          <w:tcPr>
            <w:tcW w:type="dxa" w:w="850"/>
          </w:tcPr>
          <w:p>
            <w:r/>
            <w:r>
              <w:rPr>
                <w:rFonts w:ascii="Segoe UI" w:hAnsi="Segoe UI"/>
                <w:color w:val="1F2937"/>
                <w:sz w:val="18"/>
              </w:rPr>
              <w:t>Klasse 8</w:t>
            </w:r>
          </w:p>
        </w:tc>
        <w:tc>
          <w:tcPr>
            <w:tcW w:type="dxa" w:w="850"/>
          </w:tcPr>
          <w:p>
            <w:r/>
            <w:r>
              <w:rPr>
                <w:rFonts w:ascii="Segoe UI" w:hAnsi="Segoe UI"/>
                <w:color w:val="1F2937"/>
                <w:sz w:val="18"/>
              </w:rPr>
              <w:t>PG III</w:t>
            </w:r>
          </w:p>
        </w:tc>
        <w:tc>
          <w:tcPr>
            <w:tcW w:type="dxa" w:w="2268"/>
          </w:tcPr>
          <w:p>
            <w:r/>
            <w:r>
              <w:rPr>
                <w:rFonts w:ascii="Segoe UI" w:hAnsi="Segoe UI"/>
                <w:color w:val="1F2937"/>
                <w:sz w:val="18"/>
              </w:rPr>
              <w:t>Gevarenklasse: Corrosief</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374151"/>
        <w:sz w:val="14"/>
      </w:rPr>
      <w:t>JvG Consultancy | Safety • Governance • Advisory | REACH Compliance Scan Phoenix Metals v1.0 | 20 april 2026 | VERTROUWELIJK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