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IMPLEMENTATIEPLAN</w:t>
        <w:br/>
        <w:t>SEVESO-VEILIGHEIDSSTANDAARDEN</w:t>
      </w:r>
    </w:p>
    <w:p/>
    <w:p>
      <w:pPr>
        <w:jc w:val="center"/>
      </w:pPr>
      <w:r>
        <w:rPr>
          <w:rFonts w:ascii="Calibri" w:hAnsi="Calibri"/>
          <w:color w:val="003366"/>
          <w:sz w:val="32"/>
        </w:rPr>
        <w:t>Phoenix Metals — Vrijwillige Seveso III Implementatie</w:t>
      </w:r>
    </w:p>
    <w:p/>
    <w:p/>
    <w:p>
      <w:pPr>
        <w:jc w:val="center"/>
      </w:pPr>
      <w:r>
        <w:rPr>
          <w:rFonts w:ascii="Calibri" w:hAnsi="Calibri"/>
          <w:b/>
          <w:color w:val="003366"/>
          <w:sz w:val="22"/>
        </w:rPr>
        <w:t xml:space="preserve">Versie: </w:t>
      </w:r>
      <w:r>
        <w:rPr>
          <w:rFonts w:ascii="Calibri" w:hAnsi="Calibri"/>
          <w:color w:val="1F2937"/>
          <w:sz w:val="22"/>
        </w:rPr>
        <w:t>1.2</w:t>
      </w:r>
    </w:p>
    <w:p>
      <w:pPr>
        <w:jc w:val="center"/>
      </w:pPr>
      <w:r>
        <w:rPr>
          <w:rFonts w:ascii="Calibri" w:hAnsi="Calibri"/>
          <w:b/>
          <w:color w:val="003366"/>
          <w:sz w:val="22"/>
        </w:rPr>
        <w:t xml:space="preserve">Datum: </w:t>
      </w:r>
      <w:r>
        <w:rPr>
          <w:rFonts w:ascii="Calibri" w:hAnsi="Calibri"/>
          <w:color w:val="1F2937"/>
          <w:sz w:val="22"/>
        </w:rPr>
        <w:t>28 april 2026</w:t>
      </w:r>
    </w:p>
    <w:p>
      <w:pPr>
        <w:jc w:val="center"/>
      </w:pPr>
      <w:r>
        <w:rPr>
          <w:rFonts w:ascii="Calibri" w:hAnsi="Calibri"/>
          <w:b/>
          <w:color w:val="003366"/>
          <w:sz w:val="22"/>
        </w:rPr>
        <w:t xml:space="preserve">Auteur: </w:t>
      </w:r>
      <w:r>
        <w:rPr>
          <w:rFonts w:ascii="Calibri" w:hAnsi="Calibri"/>
          <w:color w:val="1F2937"/>
          <w:sz w:val="22"/>
        </w:rPr>
        <w:t>HSEQ Specialist via Kas (Director of Operations)</w:t>
      </w:r>
    </w:p>
    <w:p>
      <w:pPr>
        <w:jc w:val="center"/>
      </w:pPr>
      <w:r>
        <w:rPr>
          <w:rFonts w:ascii="Calibri" w:hAnsi="Calibri"/>
          <w:b/>
          <w:color w:val="003366"/>
          <w:sz w:val="22"/>
        </w:rPr>
        <w:t xml:space="preserve">Status: </w:t>
      </w:r>
      <w:r>
        <w:rPr>
          <w:rFonts w:ascii="Calibri" w:hAnsi="Calibri"/>
          <w:color w:val="1F2937"/>
          <w:sz w:val="22"/>
        </w:rPr>
        <w:t>Final — Ter review door Plant Manager en HSE-afdeling</w:t>
      </w:r>
    </w:p>
    <w:p/>
    <w:p>
      <w:pPr>
        <w:jc w:val="center"/>
      </w:pPr>
      <w:r>
        <w:rPr>
          <w:rFonts w:ascii="Calibri" w:hAnsi="Calibri"/>
          <w:color w:val="1F2937"/>
          <w:sz w:val="18"/>
        </w:rPr>
        <w:t>© 2026 JvG Consultancy. Alle rechten voorbehouden.</w:t>
      </w:r>
    </w:p>
    <w:p>
      <w:pPr>
        <w:sectPr>
          <w:headerReference w:type="default" r:id="rId10"/>
          <w:footerReference w:type="default" r:id="rId11"/>
          <w:pgSz w:w="11906" w:h="16838"/>
          <w:pgMar w:top="1417" w:right="1417" w:bottom="1134" w:left="1417" w:header="720" w:footer="720" w:gutter="0"/>
          <w:cols w:space="720"/>
          <w:docGrid w:linePitch="360"/>
        </w:sectPr>
      </w:pP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pPr>
        <w:spacing w:after="40"/>
      </w:pPr>
      <w:r>
        <w:rPr>
          <w:rFonts w:ascii="Calibri" w:hAnsi="Calibri"/>
          <w:color w:val="1F2937"/>
          <w:sz w:val="22"/>
        </w:rPr>
        <w:t>Executive Summary</w:t>
      </w:r>
    </w:p>
    <w:p>
      <w:pPr>
        <w:spacing w:after="40"/>
      </w:pPr>
      <w:r>
        <w:rPr>
          <w:rFonts w:ascii="Calibri" w:hAnsi="Calibri"/>
          <w:color w:val="1F2937"/>
          <w:sz w:val="22"/>
        </w:rPr>
        <w:t>Deel 1: Preventiebeleid Zware Ongevallen (PBZO)</w:t>
      </w:r>
    </w:p>
    <w:p>
      <w:pPr>
        <w:spacing w:after="40"/>
        <w:ind w:left="567"/>
      </w:pPr>
      <w:r>
        <w:rPr>
          <w:rFonts w:ascii="Calibri" w:hAnsi="Calibri"/>
          <w:color w:val="1F2937"/>
          <w:sz w:val="22"/>
        </w:rPr>
        <w:t>1.1 Beleidsuitgangspunten</w:t>
      </w:r>
    </w:p>
    <w:p>
      <w:pPr>
        <w:spacing w:after="40"/>
        <w:ind w:left="567"/>
      </w:pPr>
      <w:r>
        <w:rPr>
          <w:rFonts w:ascii="Calibri" w:hAnsi="Calibri"/>
          <w:color w:val="1F2937"/>
          <w:sz w:val="22"/>
        </w:rPr>
        <w:t>1.2 Doelstellingen</w:t>
      </w:r>
    </w:p>
    <w:p>
      <w:pPr>
        <w:spacing w:after="40"/>
        <w:ind w:left="567"/>
      </w:pPr>
      <w:r>
        <w:rPr>
          <w:rFonts w:ascii="Calibri" w:hAnsi="Calibri"/>
          <w:color w:val="1F2937"/>
          <w:sz w:val="22"/>
        </w:rPr>
        <w:t>1.3 Verantwoordelijkheden en Rollen</w:t>
      </w:r>
    </w:p>
    <w:p>
      <w:pPr>
        <w:spacing w:after="40"/>
        <w:ind w:left="567"/>
      </w:pPr>
      <w:r>
        <w:rPr>
          <w:rFonts w:ascii="Calibri" w:hAnsi="Calibri"/>
          <w:color w:val="1F2937"/>
          <w:sz w:val="22"/>
        </w:rPr>
        <w:t>1.4 Integratie met Arbomanagementsysteem</w:t>
      </w:r>
    </w:p>
    <w:p>
      <w:pPr>
        <w:spacing w:after="40"/>
      </w:pPr>
      <w:r>
        <w:rPr>
          <w:rFonts w:ascii="Calibri" w:hAnsi="Calibri"/>
          <w:color w:val="1F2937"/>
          <w:sz w:val="22"/>
        </w:rPr>
        <w:t>Deel 2: Veiligheidsbeheersysteem (VBS) — De 7 Elementen</w:t>
      </w:r>
    </w:p>
    <w:p>
      <w:pPr>
        <w:spacing w:after="40"/>
        <w:ind w:left="567"/>
      </w:pPr>
      <w:r>
        <w:rPr>
          <w:rFonts w:ascii="Calibri" w:hAnsi="Calibri"/>
          <w:color w:val="1F2937"/>
          <w:sz w:val="22"/>
        </w:rPr>
        <w:t>2.1 Organisatie en Personeel</w:t>
      </w:r>
    </w:p>
    <w:p>
      <w:pPr>
        <w:spacing w:after="40"/>
        <w:ind w:left="567"/>
      </w:pPr>
      <w:r>
        <w:rPr>
          <w:rFonts w:ascii="Calibri" w:hAnsi="Calibri"/>
          <w:color w:val="1F2937"/>
          <w:sz w:val="22"/>
        </w:rPr>
        <w:t>2.2 Identificatie van Gevaren</w:t>
      </w:r>
    </w:p>
    <w:p>
      <w:pPr>
        <w:spacing w:after="40"/>
        <w:ind w:left="567"/>
      </w:pPr>
      <w:r>
        <w:rPr>
          <w:rFonts w:ascii="Calibri" w:hAnsi="Calibri"/>
          <w:color w:val="1F2937"/>
          <w:sz w:val="22"/>
        </w:rPr>
        <w:t>2.3 Operationele Controle</w:t>
      </w:r>
    </w:p>
    <w:p>
      <w:pPr>
        <w:spacing w:after="40"/>
        <w:ind w:left="567"/>
      </w:pPr>
      <w:r>
        <w:rPr>
          <w:rFonts w:ascii="Calibri" w:hAnsi="Calibri"/>
          <w:color w:val="1F2937"/>
          <w:sz w:val="22"/>
        </w:rPr>
        <w:t>2.4 Management of Change (MoC)</w:t>
      </w:r>
    </w:p>
    <w:p>
      <w:pPr>
        <w:spacing w:after="40"/>
        <w:ind w:left="567"/>
      </w:pPr>
      <w:r>
        <w:rPr>
          <w:rFonts w:ascii="Calibri" w:hAnsi="Calibri"/>
          <w:color w:val="1F2937"/>
          <w:sz w:val="22"/>
        </w:rPr>
        <w:t>2.5 Planning voor Noodsituaties</w:t>
      </w:r>
    </w:p>
    <w:p>
      <w:pPr>
        <w:spacing w:after="40"/>
        <w:ind w:left="567"/>
      </w:pPr>
      <w:r>
        <w:rPr>
          <w:rFonts w:ascii="Calibri" w:hAnsi="Calibri"/>
          <w:color w:val="1F2937"/>
          <w:sz w:val="22"/>
        </w:rPr>
        <w:t>2.6 Monitoring en Audits</w:t>
      </w:r>
    </w:p>
    <w:p>
      <w:pPr>
        <w:spacing w:after="40"/>
        <w:ind w:left="567"/>
      </w:pPr>
      <w:r>
        <w:rPr>
          <w:rFonts w:ascii="Calibri" w:hAnsi="Calibri"/>
          <w:color w:val="1F2937"/>
          <w:sz w:val="22"/>
        </w:rPr>
        <w:t>2.7 Review en Continue Verbetering</w:t>
      </w:r>
    </w:p>
    <w:p>
      <w:pPr>
        <w:spacing w:after="40"/>
      </w:pPr>
      <w:r>
        <w:rPr>
          <w:rFonts w:ascii="Calibri" w:hAnsi="Calibri"/>
          <w:color w:val="1F2937"/>
          <w:sz w:val="22"/>
        </w:rPr>
        <w:t>Deel 3: Scenario-analyse &amp; Fysieke Veiligheid</w:t>
      </w:r>
    </w:p>
    <w:p>
      <w:pPr>
        <w:spacing w:after="40"/>
        <w:ind w:left="567"/>
      </w:pPr>
      <w:r>
        <w:rPr>
          <w:rFonts w:ascii="Calibri" w:hAnsi="Calibri"/>
          <w:color w:val="1F2937"/>
          <w:sz w:val="22"/>
        </w:rPr>
        <w:t>3.1 Methode</w:t>
      </w:r>
    </w:p>
    <w:p>
      <w:pPr>
        <w:spacing w:after="40"/>
        <w:ind w:left="567"/>
      </w:pPr>
      <w:r>
        <w:rPr>
          <w:rFonts w:ascii="Calibri" w:hAnsi="Calibri"/>
          <w:color w:val="1F2937"/>
          <w:sz w:val="22"/>
        </w:rPr>
        <w:t>3.2 Kernscenario's Phoenix Metals</w:t>
      </w:r>
    </w:p>
    <w:p>
      <w:pPr>
        <w:spacing w:after="40"/>
        <w:ind w:left="567"/>
      </w:pPr>
      <w:r>
        <w:rPr>
          <w:rFonts w:ascii="Calibri" w:hAnsi="Calibri"/>
          <w:color w:val="1F2937"/>
          <w:sz w:val="22"/>
        </w:rPr>
        <w:t>3.3 Domino-effecten Matrix</w:t>
      </w:r>
    </w:p>
    <w:p>
      <w:pPr>
        <w:spacing w:after="40"/>
      </w:pPr>
      <w:r>
        <w:rPr>
          <w:rFonts w:ascii="Calibri" w:hAnsi="Calibri"/>
          <w:color w:val="1F2937"/>
          <w:sz w:val="22"/>
        </w:rPr>
        <w:t>Deel 4: Stappenplan Implementatie (Fase 1–4)</w:t>
      </w:r>
    </w:p>
    <w:p>
      <w:pPr>
        <w:spacing w:after="40"/>
      </w:pPr>
      <w:r>
        <w:rPr>
          <w:rFonts w:ascii="Calibri" w:hAnsi="Calibri"/>
          <w:color w:val="1F2937"/>
          <w:sz w:val="22"/>
        </w:rPr>
        <w:t>RACI-Matrix</w:t>
      </w:r>
    </w:p>
    <w:p>
      <w:pPr>
        <w:spacing w:after="40"/>
      </w:pPr>
      <w:r>
        <w:rPr>
          <w:rFonts w:ascii="Calibri" w:hAnsi="Calibri"/>
          <w:color w:val="1F2937"/>
          <w:sz w:val="22"/>
        </w:rPr>
        <w:t>Bijlagen</w:t>
      </w:r>
    </w:p>
    <w:p>
      <w:pPr>
        <w:spacing w:after="40"/>
      </w:pPr>
      <w:r>
        <w:rPr>
          <w:rFonts w:ascii="Calibri" w:hAnsi="Calibri"/>
          <w:color w:val="1F2937"/>
          <w:sz w:val="22"/>
        </w:rPr>
        <w:t>Bronnen</w:t>
      </w:r>
    </w:p>
    <w:p>
      <w:pPr>
        <w:spacing w:after="40"/>
      </w:pPr>
      <w:r>
        <w:rPr>
          <w:rFonts w:ascii="Calibri" w:hAnsi="Calibri"/>
          <w:color w:val="1F2937"/>
          <w:sz w:val="22"/>
        </w:rPr>
        <w:t>TierVerify Log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Executive Summary</w:t>
      </w:r>
    </w:p>
    <w:p>
      <w:pPr>
        <w:spacing w:after="120"/>
      </w:pPr>
      <w:r>
        <w:rPr>
          <w:rFonts w:ascii="Calibri" w:hAnsi="Calibri"/>
          <w:b w:val="0"/>
          <w:color w:val="1F2937"/>
          <w:sz w:val="22"/>
        </w:rPr>
        <w:t>Phoenix Metals streeft naar vrijwillige implementatie van Seveso III-principes om de procesveiligheid en veiligheidscultuur naar het hoogste niveau te tillen [1][2]. Dit plan voorziet in: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Preventiebeleid Zware Ongevallen (PBZO)</w:t>
      </w:r>
      <w:r>
        <w:rPr>
          <w:rFonts w:ascii="Calibri" w:hAnsi="Calibri"/>
          <w:color w:val="1F2937"/>
          <w:sz w:val="22"/>
        </w:rPr>
        <w:t>: Blauwdruk voor verankering van veiligheid in de dagelijkse metaalverwerkingsoperatie, conform Brzo 2015 artikel 4 [2]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Veiligheidsbeheersysteem (VBS)</w:t>
      </w:r>
      <w:r>
        <w:rPr>
          <w:rFonts w:ascii="Calibri" w:hAnsi="Calibri"/>
          <w:color w:val="1F2937"/>
          <w:sz w:val="22"/>
        </w:rPr>
        <w:t>: Operationele uitwerking van 7 VBS-pijlers, toegespitst op metaalverwerkingsrisico's, geënt op ISO 45001 structuur [7]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Scenario-analyse &amp; Fysieke Veiligheid</w:t>
      </w:r>
      <w:r>
        <w:rPr>
          <w:rFonts w:ascii="Calibri" w:hAnsi="Calibri"/>
          <w:color w:val="1F2937"/>
          <w:sz w:val="22"/>
        </w:rPr>
        <w:t>: Modellering van Loss of Containment-scenario's inclusief domino-effecten, conform artikel 10 Brzo 2015 [2]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Implementatietraject</w:t>
      </w:r>
      <w:r>
        <w:rPr>
          <w:rFonts w:ascii="Calibri" w:hAnsi="Calibri"/>
          <w:color w:val="1F2937"/>
          <w:sz w:val="22"/>
        </w:rPr>
        <w:t>: 4 fasen over 36 maanden, met meetbare KPI's en duidelijke verantwoordelijkheden</w:t>
      </w:r>
    </w:p>
    <w:p>
      <w:pPr>
        <w:spacing w:after="120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Kernprincipe</w:t>
      </w:r>
      <w:r>
        <w:rPr>
          <w:rFonts w:ascii="Calibri" w:hAnsi="Calibri"/>
          <w:color w:val="1F2937"/>
          <w:sz w:val="22"/>
        </w:rPr>
        <w:t>: Phoenix Metals opereert alsof het een Seveso-inrichting is — niet omdat het moet, maar omdat het de norm is die de werkvloer verdient.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DEEL 1: Preventiebeleid Zware Ongevallen (PBZO)</w:t>
      </w:r>
    </w:p>
    <w:p>
      <w:pPr>
        <w:pStyle w:val="Heading2"/>
      </w:pPr>
      <w:r>
        <w:rPr>
          <w:rFonts w:ascii="Calibri" w:hAnsi="Calibri"/>
          <w:color w:val="003366"/>
        </w:rPr>
        <w:t>1.1 Beleidsuitgangspunten</w:t>
      </w:r>
    </w:p>
    <w:p>
      <w:pPr>
        <w:spacing w:after="120"/>
      </w:pPr>
      <w:r>
        <w:rPr>
          <w:rFonts w:ascii="Calibri" w:hAnsi="Calibri"/>
          <w:b w:val="0"/>
          <w:color w:val="1F2937"/>
          <w:sz w:val="22"/>
        </w:rPr>
        <w:t>Het PBZO is het strategische fundament. Het verankert preventie van zware ongevallen in de bedrijfsvoering, los van wettelijke Seveso-status [1][2].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11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Uitgangspunt</w:t>
            </w:r>
          </w:p>
        </w:tc>
        <w:tc>
          <w:tcPr>
            <w:tcW w:type="dxa" w:w="5953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Invulling Phoenix Metals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Preventieparagraaf</w:t>
            </w:r>
          </w:p>
        </w:tc>
        <w:tc>
          <w:tcPr>
            <w:tcW w:type="dxa" w:w="595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Veiligheid is een randvoorwaarde, geen optie. Elke operatie start met veiligheidsafweging.</w:t>
            </w:r>
          </w:p>
        </w:tc>
      </w:tr>
      <w:tr>
        <w:tc>
          <w:tcPr>
            <w:tcW w:type="dxa" w:w="311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ALARP-principe</w:t>
            </w:r>
          </w:p>
        </w:tc>
        <w:tc>
          <w:tcPr>
            <w:tcW w:type="dxa" w:w="5953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Risico's worden zo ver gereduceerd als redelijkerwijs mogelijk (As Low As Reasonably Practicable) [9].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Leren van incidenten</w:t>
            </w:r>
          </w:p>
        </w:tc>
        <w:tc>
          <w:tcPr>
            <w:tcW w:type="dxa" w:w="595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Elk incident (ook near-miss) is een databron voor preventie. Geen blame-cultuur.</w:t>
            </w:r>
          </w:p>
        </w:tc>
      </w:tr>
      <w:tr>
        <w:tc>
          <w:tcPr>
            <w:tcW w:type="dxa" w:w="311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Hiërarchie van beheersmaatregelen</w:t>
            </w:r>
          </w:p>
        </w:tc>
        <w:tc>
          <w:tcPr>
            <w:tcW w:type="dxa" w:w="5953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Bronbestrijding &gt; Technische maatregelen &gt; Organisatorische maatregelen &gt; PBM's (in die volgorde).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Betrokkenheid werkvloer</w:t>
            </w:r>
          </w:p>
        </w:tc>
        <w:tc>
          <w:tcPr>
            <w:tcW w:type="dxa" w:w="595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Operatoren zijn mede-eigenaar van veiligheid. Taakrisico-analyse (TRA) is gezamenlijk.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1.2 Doelstellingen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28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Doelstelling</w:t>
            </w:r>
          </w:p>
        </w:tc>
        <w:tc>
          <w:tcPr>
            <w:tcW w:type="dxa" w:w="311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Meetindicator</w:t>
            </w:r>
          </w:p>
        </w:tc>
        <w:tc>
          <w:tcPr>
            <w:tcW w:type="dxa" w:w="311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Target (jaar 1)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Reductie ongevallen met verzuim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TRIR (Total Recordable Incident Rate)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 2,0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Near-miss rapportage</w:t>
            </w:r>
          </w:p>
        </w:tc>
        <w:tc>
          <w:tcPr>
            <w:tcW w:type="dxa" w:w="311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 gerapporteerde near-misses</w:t>
            </w:r>
          </w:p>
        </w:tc>
        <w:tc>
          <w:tcPr>
            <w:tcW w:type="dxa" w:w="311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+50% t.o.v. baseline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TRA-uitvoering bij niet-standaardwerk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 taken met volledig ingevulde TRA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Veiligheidstraining voltooid</w:t>
            </w:r>
          </w:p>
        </w:tc>
        <w:tc>
          <w:tcPr>
            <w:tcW w:type="dxa" w:w="311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 personeel met geldige certificering</w:t>
            </w:r>
          </w:p>
        </w:tc>
        <w:tc>
          <w:tcPr>
            <w:tcW w:type="dxa" w:w="311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95%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VBS-elementen operationeel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 VBS-pijlers volledig geïmplementeerd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4 van 7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1.3 Verantwoordelijkheden en Rollen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25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Rol</w:t>
            </w:r>
          </w:p>
        </w:tc>
        <w:tc>
          <w:tcPr>
            <w:tcW w:type="dxa" w:w="4252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Verantwoordelijkheid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Directie</w:t>
            </w:r>
          </w:p>
        </w:tc>
        <w:tc>
          <w:tcPr>
            <w:tcW w:type="dxa" w:w="4252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PBZO goedkeuren, middelen toewijzen, jaarlijkse review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Jaarlijks + bij wijzigingen</w:t>
            </w:r>
          </w:p>
        </w:tc>
      </w:tr>
      <w:tr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Plant Manager</w:t>
            </w:r>
          </w:p>
        </w:tc>
        <w:tc>
          <w:tcPr>
            <w:tcW w:type="dxa" w:w="4252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Operationele uitvoering PBZO, VBS-kader bewaken, escalatiepunt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Dagelijks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HSE-afdeling</w:t>
            </w:r>
          </w:p>
        </w:tc>
        <w:tc>
          <w:tcPr>
            <w:tcW w:type="dxa" w:w="4252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Methodische ondersteuning, RI&amp;E, TRA-toezicht, incidentanalyse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Continu</w:t>
            </w:r>
          </w:p>
        </w:tc>
      </w:tr>
      <w:tr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Lijnmanagers / Voormannen</w:t>
            </w:r>
          </w:p>
        </w:tc>
        <w:tc>
          <w:tcPr>
            <w:tcW w:type="dxa" w:w="4252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Dagelijkse veiligheidstools (toolbox, TRA, werkplekinspecties)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Dagelijks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Operatoren / Werkvloer</w:t>
            </w:r>
          </w:p>
        </w:tc>
        <w:tc>
          <w:tcPr>
            <w:tcW w:type="dxa" w:w="4252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Veilig werken volgens procedures, near-miss rapporteren, TRA meewerken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Continu</w:t>
            </w:r>
          </w:p>
        </w:tc>
      </w:tr>
      <w:tr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Veiligheidskundige (HVK)</w:t>
            </w:r>
          </w:p>
        </w:tc>
        <w:tc>
          <w:tcPr>
            <w:tcW w:type="dxa" w:w="4252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Advies PBZO, scenario-analyses, externe afstemming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Structureel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1.4 Integratie met Arbomanagementsysteem</w:t>
      </w:r>
    </w:p>
    <w:p>
      <w:pPr>
        <w:spacing w:after="120"/>
      </w:pPr>
      <w:r>
        <w:rPr>
          <w:rFonts w:ascii="Calibri" w:hAnsi="Calibri"/>
          <w:b w:val="0"/>
          <w:color w:val="1F2937"/>
          <w:sz w:val="22"/>
        </w:rPr>
        <w:t>Het PBZO bouwt voort op het bestaande Arbomanagementsysteem [5] en vormt daar een verlengde laag overheen: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RI&amp;E als basis</w:t>
      </w:r>
      <w:r>
        <w:rPr>
          <w:rFonts w:ascii="Calibri" w:hAnsi="Calibri"/>
          <w:color w:val="1F2937"/>
          <w:sz w:val="22"/>
        </w:rPr>
        <w:t>: De bestaande Risico-Inventarisatie &amp; -Evaluatie wordt uitgebreid met Seveso-specifieke gevarenidentificatie (gevaarlijke stoffen, procesveiligheid) [5]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Plan van Aanpak (PvA)</w:t>
      </w:r>
      <w:r>
        <w:rPr>
          <w:rFonts w:ascii="Calibri" w:hAnsi="Calibri"/>
          <w:color w:val="1F2937"/>
          <w:sz w:val="22"/>
        </w:rPr>
        <w:t>: Het huidige Arbomanagement-PvA wordt aangevuld met PBZO-acties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PDCA-cyclus</w:t>
      </w:r>
      <w:r>
        <w:rPr>
          <w:rFonts w:ascii="Calibri" w:hAnsi="Calibri"/>
          <w:color w:val="1F2937"/>
          <w:sz w:val="22"/>
        </w:rPr>
        <w:t>: De bestaande Plan-Do-Check-Act cyclus wordt de structuur voor VBS-review, conform ISO 45001 [7]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Documentatie</w:t>
      </w:r>
      <w:r>
        <w:rPr>
          <w:rFonts w:ascii="Calibri" w:hAnsi="Calibri"/>
          <w:color w:val="1F2937"/>
          <w:sz w:val="22"/>
        </w:rPr>
        <w:t>: Eén geïntegreerd managementsysteem. Geen parallelle administraties — het PBZO is een onderdeel van het totale systeem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DEEL 2: Veiligheidsbeheersysteem (VBS) — De 7 Elementen</w:t>
      </w:r>
    </w:p>
    <w:p>
      <w:pPr>
        <w:pStyle w:val="Heading2"/>
      </w:pPr>
      <w:r>
        <w:rPr>
          <w:rFonts w:ascii="Calibri" w:hAnsi="Calibri"/>
          <w:color w:val="003366"/>
        </w:rPr>
        <w:t>2.1 Organisatie en Personeel</w:t>
      </w:r>
    </w:p>
    <w:p>
      <w:pPr>
        <w:spacing w:after="120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Doel</w:t>
      </w:r>
      <w:r>
        <w:rPr>
          <w:rFonts w:ascii="Calibri" w:hAnsi="Calibri"/>
          <w:color w:val="1F2937"/>
          <w:sz w:val="22"/>
        </w:rPr>
        <w:t>: Elke medewerker begrijpt zijn veiligheidsrol en beschikt over de juiste competenties [7].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11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5953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Invulling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Functieprofielen</w:t>
            </w:r>
          </w:p>
        </w:tc>
        <w:tc>
          <w:tcPr>
            <w:tcW w:type="dxa" w:w="595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Veiligheidsverantwoordelijkheden opgenomen in elk functieprofiel</w:t>
            </w:r>
          </w:p>
        </w:tc>
      </w:tr>
      <w:tr>
        <w:tc>
          <w:tcPr>
            <w:tcW w:type="dxa" w:w="311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Training matrix</w:t>
            </w:r>
          </w:p>
        </w:tc>
        <w:tc>
          <w:tcPr>
            <w:tcW w:type="dxa" w:w="5953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Per functie: verplichte trainingen, herhaling, certificaatgeldigheid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BASIS-training (alle medewerkers)</w:t>
            </w:r>
          </w:p>
        </w:tc>
        <w:tc>
          <w:tcPr>
            <w:tcW w:type="dxa" w:w="595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PBZO-bewustzijn, meldingsplicht, evacuatie, basale HSE-kennis</w:t>
            </w:r>
          </w:p>
        </w:tc>
      </w:tr>
      <w:tr>
        <w:tc>
          <w:tcPr>
            <w:tcW w:type="dxa" w:w="311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SPECIFIEKE training</w:t>
            </w:r>
          </w:p>
        </w:tc>
        <w:tc>
          <w:tcPr>
            <w:tcW w:type="dxa" w:w="5953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Stofexplosiebewustzijn, chemische stoffen (SDS-lezen), TRA-methode, lockout/tagout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Toolbox meetings</w:t>
            </w:r>
          </w:p>
        </w:tc>
        <w:tc>
          <w:tcPr>
            <w:tcW w:type="dxa" w:w="595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Wekelijks, door voorman/lijnmanager, gedocumenteerd</w:t>
            </w:r>
          </w:p>
        </w:tc>
      </w:tr>
      <w:tr>
        <w:tc>
          <w:tcPr>
            <w:tcW w:type="dxa" w:w="311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Inwerkprogramma Nieuwe medewerkers</w:t>
            </w:r>
          </w:p>
        </w:tc>
        <w:tc>
          <w:tcPr>
            <w:tcW w:type="dxa" w:w="5953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Minimaal 2 weken begeleiding + veiligheidsintroductie voordat zelfstandig gewerkt wordt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Competentie assessment</w:t>
            </w:r>
          </w:p>
        </w:tc>
        <w:tc>
          <w:tcPr>
            <w:tcW w:type="dxa" w:w="595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Jaarlijkse beoordeling veiligheidscompetenties per medewerker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2.2 Identificatie van Gevaren</w:t>
      </w:r>
    </w:p>
    <w:p>
      <w:pPr>
        <w:spacing w:after="120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Doel</w:t>
      </w:r>
      <w:r>
        <w:rPr>
          <w:rFonts w:ascii="Calibri" w:hAnsi="Calibri"/>
          <w:color w:val="1F2937"/>
          <w:sz w:val="22"/>
        </w:rPr>
        <w:t>: Structurele, herkenbare inventarisatie van alle gevaren inherent aan metaalverwerking [2][10].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</w:rPr>
        <w:t>Stap 1: Gevaarlijke stoffen inventarisatie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98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Proces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Stoffen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Gevaar</w:t>
            </w:r>
          </w:p>
        </w:tc>
        <w:tc>
          <w:tcPr>
            <w:tcW w:type="dxa" w:w="25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Seveso-relevantie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Oppervlaktebehandeling / coating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Oplosmiddelen (tolueen, xyleen), zuren (zoutzuur, zwavelzuur), basen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Brandbaar, bijtend, toxisch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Bijlage I, categorieën H220-H331 [1]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Smeltprocessen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Metaaloxiden, rookgassen, fluverbindingen (bij aluminium)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Toxisch bij inademing, brandbaar stof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Toxische emissie bij LoC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Slijpen / poetsen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Metaalstof (aluminium, magnesium, titanium)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Stofexplosie (Kst-waarde &gt; 200 bar·m/s voor Al) [4]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Explosiegevaar zone 20/21/22 [4]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Laswerk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Lassen op geïmpregneerd hout of gegalvaniseerd staal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Toxische gassen (CO, hexavalent chroom)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Acuut toxisch</w:t>
            </w:r>
          </w:p>
        </w:tc>
      </w:tr>
    </w:tbl>
    <w:p/>
    <w:p>
      <w:pPr>
        <w:spacing w:after="120"/>
      </w:pPr>
      <w:r>
        <w:rPr>
          <w:rFonts w:ascii="Calibri" w:hAnsi="Calibri"/>
          <w:b/>
          <w:color w:val="1F2937"/>
          <w:sz w:val="22"/>
        </w:rPr>
        <w:t>Stap 2: Risicomatrix (Seveso-conform) [2][10]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25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Waarschijnlijkheid → Effect ↓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Zeer onwaarschijnlijk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Onwaarschijnlijk</w:t>
            </w:r>
          </w:p>
        </w:tc>
        <w:tc>
          <w:tcPr>
            <w:tcW w:type="dxa" w:w="1417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Mogelijk</w:t>
            </w:r>
          </w:p>
        </w:tc>
        <w:tc>
          <w:tcPr>
            <w:tcW w:type="dxa" w:w="1417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Waarschijnlijk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Catastrofaal (≥1 dode, milieu-impact &gt; gemeentegrens)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Midden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Hoog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Zeer hoog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Zeer hoog</w:t>
            </w:r>
          </w:p>
        </w:tc>
      </w:tr>
      <w:tr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Ernstig (blijvend letsel, milieu-impact &gt; bedrijfsgrens)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Laag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Midden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Hoog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Zeer hoog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Matig (verzuim, beperkte milieu-impact)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Laag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Laag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Midden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Hoog</w:t>
            </w:r>
          </w:p>
        </w:tc>
      </w:tr>
      <w:tr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Gering (EHBO, geen milieu-impact)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Laag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Laag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Laag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Midden</w:t>
            </w:r>
          </w:p>
        </w:tc>
      </w:tr>
    </w:tbl>
    <w:p/>
    <w:p>
      <w:pPr>
        <w:spacing w:after="120"/>
      </w:pPr>
      <w:r>
        <w:rPr>
          <w:rFonts w:ascii="Calibri" w:hAnsi="Calibri"/>
          <w:b/>
          <w:color w:val="1F2937"/>
          <w:sz w:val="22"/>
        </w:rPr>
        <w:t>Stap 3: Methoden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HAZOP (Hazard and Operability Study) voor kritieke procesinstallaties (smeltovens, behandelingslijnen) [10]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What-If / Checklist voor ondersteunende processen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ATEX-zoneclassificatie voor stofexplosiegebieden conform ATEX-richtlijn 2014/34/EU (apparatuur) en 1999/92/EC (werkplek) [4]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Inventarisatie conform artikel 10 Brzo 2015-methodiek [2]</w:t>
      </w:r>
    </w:p>
    <w:p/>
    <w:p>
      <w:pPr>
        <w:pStyle w:val="Heading2"/>
      </w:pPr>
      <w:r>
        <w:rPr>
          <w:rFonts w:ascii="Calibri" w:hAnsi="Calibri"/>
          <w:color w:val="003366"/>
        </w:rPr>
        <w:t>2.3 Operationele Controle</w:t>
      </w:r>
    </w:p>
    <w:p>
      <w:pPr>
        <w:spacing w:after="120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Doel</w:t>
      </w:r>
      <w:r>
        <w:rPr>
          <w:rFonts w:ascii="Calibri" w:hAnsi="Calibri"/>
          <w:color w:val="1F2937"/>
          <w:sz w:val="22"/>
        </w:rPr>
        <w:t>: Veilige werkprocedures (VWP's) voor elk kritiek metaalverwerkingsproces [8].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</w:rPr>
        <w:t>Kritieke processen — vereiste VWP's: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Proces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Risico</w:t>
            </w:r>
          </w:p>
        </w:tc>
        <w:tc>
          <w:tcPr>
            <w:tcW w:type="dxa" w:w="45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Minimale VWP-inhoud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Smeltoven beladen / aftappen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Brand, spatten, toxische rook</w:t>
            </w:r>
          </w:p>
        </w:tc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PBM-matrix, ventilatie-eisen, noodstop-procedure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Oppervlaktebehandeling (stralen, coaten)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Chemische blootstelling, brand</w:t>
            </w:r>
          </w:p>
        </w:tc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SDS-raadpleging, afzuiging, LEV-controle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Slijpen / bewerken lichtmetaal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Stofexplosie</w:t>
            </w:r>
          </w:p>
        </w:tc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ATEX-conforme apparatuur, stofafzuiging, reinigingsprotocol [4][8]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Overig hot work (lassen, snijden)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Brand, toxische dampen</w:t>
            </w:r>
          </w:p>
        </w:tc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Brandpreventie (PVGM), gasdetectie, brandwacht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Chemische opslag en intern transport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LoC, reactieve stoffen</w:t>
            </w:r>
          </w:p>
        </w:tc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Scheiding volgens compatibiliteitsmatrix, lekbakken, DRIZZLE-aanpak [6]</w:t>
            </w:r>
          </w:p>
        </w:tc>
      </w:tr>
    </w:tbl>
    <w:p/>
    <w:p>
      <w:pPr>
        <w:spacing w:after="120"/>
      </w:pPr>
      <w:r>
        <w:rPr>
          <w:rFonts w:ascii="Calibri" w:hAnsi="Calibri"/>
          <w:b/>
          <w:color w:val="1F2937"/>
          <w:sz w:val="22"/>
        </w:rPr>
        <w:t>Operationele controlemaatregelen: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Permit-to-Work (PtW) systeem</w:t>
      </w:r>
      <w:r>
        <w:rPr>
          <w:rFonts w:ascii="Calibri" w:hAnsi="Calibri"/>
          <w:color w:val="1F2937"/>
          <w:sz w:val="22"/>
        </w:rPr>
        <w:t xml:space="preserve"> voor alle niet-standaard werkzaamheden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Lockout/Tagout (LOTO)</w:t>
      </w:r>
      <w:r>
        <w:rPr>
          <w:rFonts w:ascii="Calibri" w:hAnsi="Calibri"/>
          <w:color w:val="1F2937"/>
          <w:sz w:val="22"/>
        </w:rPr>
        <w:t xml:space="preserve"> bij onderhoud aan installaties met opgeslagen energie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GAS-metingen</w:t>
      </w:r>
      <w:r>
        <w:rPr>
          <w:rFonts w:ascii="Calibri" w:hAnsi="Calibri"/>
          <w:color w:val="1F2937"/>
          <w:sz w:val="22"/>
        </w:rPr>
        <w:t xml:space="preserve"> voorafgaand aan werk in besloten ruimten of nabij smeltprocessen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Stofexplosie-protocol</w:t>
      </w:r>
      <w:r>
        <w:rPr>
          <w:rFonts w:ascii="Calibri" w:hAnsi="Calibri"/>
          <w:color w:val="1F2937"/>
          <w:sz w:val="22"/>
        </w:rPr>
        <w:t>: dagelijkse reiniging, verbod op vlakke oppervlakken waar stof accumuleert, explosiebeveiliging (venting, suppressie, isolatie) op kritieke apparatuur conform EN 14460 [8]</w:t>
      </w:r>
    </w:p>
    <w:p/>
    <w:p>
      <w:pPr>
        <w:pStyle w:val="Heading2"/>
      </w:pPr>
      <w:r>
        <w:rPr>
          <w:rFonts w:ascii="Calibri" w:hAnsi="Calibri"/>
          <w:color w:val="003366"/>
        </w:rPr>
        <w:t>2.4 Management of Change (MoC)</w:t>
      </w:r>
    </w:p>
    <w:p>
      <w:pPr>
        <w:spacing w:after="120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Doel</w:t>
      </w:r>
      <w:r>
        <w:rPr>
          <w:rFonts w:ascii="Calibri" w:hAnsi="Calibri"/>
          <w:color w:val="1F2937"/>
          <w:sz w:val="22"/>
        </w:rPr>
        <w:t>: Elke wijziging aan installaties, processen of stoffen wordt systematisch getoetst op veiligheidsimpact vóór implementatie [2][7].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</w:rPr>
        <w:t>MoC-Procedure: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850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Stap</w:t>
            </w:r>
          </w:p>
        </w:tc>
        <w:tc>
          <w:tcPr>
            <w:tcW w:type="dxa" w:w="28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28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25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Output</w:t>
            </w:r>
          </w:p>
        </w:tc>
      </w:tr>
      <w:tr>
        <w:tc>
          <w:tcPr>
            <w:tcW w:type="dxa" w:w="850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Wijzigingsaanvraag (MoC-formulier)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Initiatiefnemer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Ingevuld formulier</w:t>
            </w:r>
          </w:p>
        </w:tc>
      </w:tr>
      <w:tr>
        <w:tc>
          <w:tcPr>
            <w:tcW w:type="dxa" w:w="850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2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Veiligheidsbeoordeling (HAZOP-lite / What-If)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 + Technisch specialist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Risicobeoordeling</w:t>
            </w:r>
          </w:p>
        </w:tc>
      </w:tr>
      <w:tr>
        <w:tc>
          <w:tcPr>
            <w:tcW w:type="dxa" w:w="850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3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Goedkeuring of afwijzing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Plant Manager (of Directie bij hoog risico)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Besluitdocument</w:t>
            </w:r>
          </w:p>
        </w:tc>
      </w:tr>
      <w:tr>
        <w:tc>
          <w:tcPr>
            <w:tcW w:type="dxa" w:w="850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4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Implementatie + communicatie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Initiatiefnemer + Lijnmanager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Geüpdatete procedures</w:t>
            </w:r>
          </w:p>
        </w:tc>
      </w:tr>
      <w:tr>
        <w:tc>
          <w:tcPr>
            <w:tcW w:type="dxa" w:w="850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5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Verificatie (post-implementation review)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Review-rapport</w:t>
            </w:r>
          </w:p>
        </w:tc>
      </w:tr>
    </w:tbl>
    <w:p/>
    <w:p>
      <w:pPr>
        <w:spacing w:after="120"/>
      </w:pPr>
      <w:r>
        <w:rPr>
          <w:rFonts w:ascii="Calibri" w:hAnsi="Calibri"/>
          <w:b/>
          <w:color w:val="1F2937"/>
          <w:sz w:val="22"/>
        </w:rPr>
        <w:t>MoC is verplicht bij: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Nieuwe machines of installaties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Wijziging in gebruikte chemicaliën (ook concentratie/wissel leverancier)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Wijziging in procesparameters (temperatuur, druk, capaciteit)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Organisatorische wijzigingen met veiligheidsimpact (wijzigingen in bemanning, ploegendienst)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Tijdelijke wijzigingen (bijv. noodreparaties — vereisen ook MoC, zij het versneld)</w:t>
      </w:r>
    </w:p>
    <w:p/>
    <w:p>
      <w:pPr>
        <w:pStyle w:val="Heading2"/>
      </w:pPr>
      <w:r>
        <w:rPr>
          <w:rFonts w:ascii="Calibri" w:hAnsi="Calibri"/>
          <w:color w:val="003366"/>
        </w:rPr>
        <w:t>2.5 Planning voor Noodsituaties</w:t>
      </w:r>
    </w:p>
    <w:p>
      <w:pPr>
        <w:spacing w:after="120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Doel</w:t>
      </w:r>
      <w:r>
        <w:rPr>
          <w:rFonts w:ascii="Calibri" w:hAnsi="Calibri"/>
          <w:color w:val="1F2937"/>
          <w:sz w:val="22"/>
        </w:rPr>
        <w:t>: Interne noodorganisatie die escalatie en extern alarmeren structureel regelt [2].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</w:rPr>
        <w:t>Noodorganisatie structuur: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28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Functie</w:t>
            </w:r>
          </w:p>
        </w:tc>
        <w:tc>
          <w:tcPr>
            <w:tcW w:type="dxa" w:w="3402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Rol bij incident</w:t>
            </w:r>
          </w:p>
        </w:tc>
        <w:tc>
          <w:tcPr>
            <w:tcW w:type="dxa" w:w="28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Opkomsttijd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Bedrijfsnoodorganisatie leider (BNO-leider)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Coördinatie, besluitvorming, communicatie extern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 5 minuten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Bedrijfsbrandweer (BBW)</w:t>
            </w:r>
          </w:p>
        </w:tc>
        <w:tc>
          <w:tcPr>
            <w:tcW w:type="dxa" w:w="3402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Eerste inzet blus/redding, zone-indicatie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 3 minuten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Verbindingsfunctionaris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Communicatie met hulpdiensten (112), buurbedrijven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Direct bij alarmering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Evacuatiecoördinator</w:t>
            </w:r>
          </w:p>
        </w:tc>
        <w:tc>
          <w:tcPr>
            <w:tcW w:type="dxa" w:w="3402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Verzamelen, tellen, ontruiming zone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 2 minuten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HSE-functionaris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Advies stoffen, milieu-maatregelen, documentatie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 5 minuten</w:t>
            </w:r>
          </w:p>
        </w:tc>
      </w:tr>
    </w:tbl>
    <w:p/>
    <w:p>
      <w:pPr>
        <w:spacing w:after="120"/>
      </w:pPr>
      <w:r>
        <w:rPr>
          <w:rFonts w:ascii="Calibri" w:hAnsi="Calibri"/>
          <w:b/>
          <w:color w:val="1F2937"/>
          <w:sz w:val="22"/>
        </w:rPr>
        <w:t>Interne noodplan elementen: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Alarmeringsprocedure</w:t>
      </w:r>
      <w:r>
        <w:rPr>
          <w:rFonts w:ascii="Calibri" w:hAnsi="Calibri"/>
          <w:color w:val="1F2937"/>
          <w:sz w:val="22"/>
        </w:rPr>
        <w:t>: Duidelijk onderscheid brandalarm / toxicalarm / evacuatiealarm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Escalatiematrix</w:t>
      </w:r>
      <w:r>
        <w:rPr>
          <w:rFonts w:ascii="Calibri" w:hAnsi="Calibri"/>
          <w:color w:val="1F2937"/>
          <w:sz w:val="22"/>
        </w:rPr>
        <w:t>:</w:t>
      </w:r>
    </w:p>
    <w:p>
      <w:pPr>
        <w:pStyle w:val="ListBullet"/>
        <w:ind w:left="1134"/>
      </w:pPr>
      <w:r>
        <w:rPr>
          <w:rFonts w:ascii="Calibri" w:hAnsi="Calibri"/>
          <w:color w:val="1F2937"/>
          <w:sz w:val="20"/>
        </w:rPr>
        <w:t>Niveau 1: Intern oplosbaar (bijv. kleine lekkage) → BBW + HSE</w:t>
      </w:r>
    </w:p>
    <w:p>
      <w:pPr>
        <w:pStyle w:val="ListBullet"/>
        <w:ind w:left="1134"/>
      </w:pPr>
      <w:r>
        <w:rPr>
          <w:rFonts w:ascii="Calibri" w:hAnsi="Calibri"/>
          <w:color w:val="1F2937"/>
          <w:sz w:val="20"/>
        </w:rPr>
        <w:t>Niveau 2: Externe ondersteuning nodig (bijv. brand &gt; klasse D, grootschalige lekkage) → 112 + Buurtondernemingen</w:t>
      </w:r>
    </w:p>
    <w:p>
      <w:pPr>
        <w:pStyle w:val="ListBullet"/>
        <w:ind w:left="1134"/>
      </w:pPr>
      <w:r>
        <w:rPr>
          <w:rFonts w:ascii="Calibri" w:hAnsi="Calibri"/>
          <w:color w:val="1F2937"/>
          <w:sz w:val="20"/>
        </w:rPr>
        <w:t>Niveau 3: Catastrofaal scenario (uitbreiding buiten bedrijfsterrein) → Veiligheidsregio + Omgevingsdiensten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Oefenschema</w:t>
      </w:r>
      <w:r>
        <w:rPr>
          <w:rFonts w:ascii="Calibri" w:hAnsi="Calibri"/>
          <w:color w:val="1F2937"/>
          <w:sz w:val="22"/>
        </w:rPr>
        <w:t>: Minimaal 2x per jaar volledige noodoefening, 4x per jaar tabletop-oefening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Communicatieprotocol</w:t>
      </w:r>
      <w:r>
        <w:rPr>
          <w:rFonts w:ascii="Calibri" w:hAnsi="Calibri"/>
          <w:color w:val="1F2937"/>
          <w:sz w:val="22"/>
        </w:rPr>
        <w:t>: Standaardmelding conform CUR-publicatie, directe communicatie met buurinrichtingen conform artikel 12 Brzo 2015-principe [2]</w:t>
      </w:r>
    </w:p>
    <w:p/>
    <w:p>
      <w:pPr>
        <w:pStyle w:val="Heading2"/>
      </w:pPr>
      <w:r>
        <w:rPr>
          <w:rFonts w:ascii="Calibri" w:hAnsi="Calibri"/>
          <w:color w:val="003366"/>
        </w:rPr>
        <w:t>2.6 Monitoring en Audits</w:t>
      </w:r>
    </w:p>
    <w:p>
      <w:pPr>
        <w:spacing w:after="120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Doel</w:t>
      </w:r>
      <w:r>
        <w:rPr>
          <w:rFonts w:ascii="Calibri" w:hAnsi="Calibri"/>
          <w:color w:val="1F2937"/>
          <w:sz w:val="22"/>
        </w:rPr>
        <w:t>: Objectieve meting van veiligheidsprestaties en tijdige bijsturing [7].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</w:rPr>
        <w:t>Leading Indicators (preventief):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5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Indicator</w:t>
            </w:r>
          </w:p>
        </w:tc>
        <w:tc>
          <w:tcPr>
            <w:tcW w:type="dxa" w:w="198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Meetmethode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28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Target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TRA-uitvoeringspercentage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PtW-systeem rapportage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</w:tr>
      <w:tr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Toolbox meetings gehouden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Aanwezigheidslijsten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Wekelijks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≥ 1 per ploeg/week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MoC-aanvragen afgehandeld binnen termijn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MoC-register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 &lt; 5 werkdagen</w:t>
            </w:r>
          </w:p>
        </w:tc>
      </w:tr>
      <w:tr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Inspectiebevindingen openstaand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Correctie-rapporten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 5% ouder dan 30 dagen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VBS-audits uitgevoerd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Audit-planning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Kwartaal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 per plan</w:t>
            </w:r>
          </w:p>
        </w:tc>
      </w:tr>
    </w:tbl>
    <w:p/>
    <w:p>
      <w:pPr>
        <w:spacing w:after="120"/>
      </w:pPr>
      <w:r>
        <w:rPr>
          <w:rFonts w:ascii="Calibri" w:hAnsi="Calibri"/>
          <w:b/>
          <w:color w:val="1F2937"/>
          <w:sz w:val="22"/>
        </w:rPr>
        <w:t>Lagging Indicators (reactief):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402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Indicator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3402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Target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TRIR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 2,0</w:t>
            </w:r>
          </w:p>
        </w:tc>
      </w:tr>
      <w:tr>
        <w:tc>
          <w:tcPr>
            <w:tcW w:type="dxa" w:w="3402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Near-miss rapportages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3402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Stijgende trend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Milieu-incidenten (LoC buiten berm)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Per incident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0</w:t>
            </w:r>
          </w:p>
        </w:tc>
      </w:tr>
      <w:tr>
        <w:tc>
          <w:tcPr>
            <w:tcW w:type="dxa" w:w="3402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Brandincidenten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Per incident</w:t>
            </w:r>
          </w:p>
        </w:tc>
        <w:tc>
          <w:tcPr>
            <w:tcW w:type="dxa" w:w="3402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0 (excl. gecontroleerde warmte)</w:t>
            </w:r>
          </w:p>
        </w:tc>
      </w:tr>
    </w:tbl>
    <w:p/>
    <w:p>
      <w:pPr>
        <w:spacing w:after="120"/>
      </w:pPr>
      <w:r>
        <w:rPr>
          <w:rFonts w:ascii="Calibri" w:hAnsi="Calibri"/>
          <w:b/>
          <w:color w:val="1F2937"/>
          <w:sz w:val="22"/>
        </w:rPr>
        <w:t>Auditprogramma: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Interne VBS-audit</w:t>
      </w:r>
      <w:r>
        <w:rPr>
          <w:rFonts w:ascii="Calibri" w:hAnsi="Calibri"/>
          <w:color w:val="1F2937"/>
          <w:sz w:val="22"/>
        </w:rPr>
        <w:t>: Kwartaal, roterend over 7 VBS-elementen → jaarlijkse volledige dekking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Procesveiligheid-audit</w:t>
      </w:r>
      <w:r>
        <w:rPr>
          <w:rFonts w:ascii="Calibri" w:hAnsi="Calibri"/>
          <w:color w:val="1F2937"/>
          <w:sz w:val="22"/>
        </w:rPr>
        <w:t>: Halfjaarlijks, focus op kritieke installaties (smeltoven, chemische lijnen)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Management Review</w:t>
      </w:r>
      <w:r>
        <w:rPr>
          <w:rFonts w:ascii="Calibri" w:hAnsi="Calibri"/>
          <w:color w:val="1F2937"/>
          <w:sz w:val="22"/>
        </w:rPr>
        <w:t>: Jaarlijks, door Directie + Plant Manager + HSE, met expliciete PBZO-evaluatie</w:t>
      </w:r>
    </w:p>
    <w:p/>
    <w:p>
      <w:pPr>
        <w:pStyle w:val="Heading2"/>
      </w:pPr>
      <w:r>
        <w:rPr>
          <w:rFonts w:ascii="Calibri" w:hAnsi="Calibri"/>
          <w:color w:val="003366"/>
        </w:rPr>
        <w:t>2.7 Review en Continue Verbetering</w:t>
      </w:r>
    </w:p>
    <w:p>
      <w:pPr>
        <w:spacing w:after="120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Doel</w:t>
      </w:r>
      <w:r>
        <w:rPr>
          <w:rFonts w:ascii="Calibri" w:hAnsi="Calibri"/>
          <w:color w:val="1F2937"/>
          <w:sz w:val="22"/>
        </w:rPr>
        <w:t>: Actieve lerende organisatie die structureel verbetert [7].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11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Mechanisme</w:t>
            </w:r>
          </w:p>
        </w:tc>
        <w:tc>
          <w:tcPr>
            <w:tcW w:type="dxa" w:w="198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3969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Output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Incidentonderzoek (conform SCO-methode of TRIPOD BETA)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Per incident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Oorzaakanalyse + aanbevelingen</w:t>
            </w:r>
          </w:p>
        </w:tc>
      </w:tr>
      <w:tr>
        <w:tc>
          <w:tcPr>
            <w:tcW w:type="dxa" w:w="311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Lessons Learned bulletin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3969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1-pager voor werkvloer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VBS-review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Kwartaal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Review-rapport met actiepunten</w:t>
            </w:r>
          </w:p>
        </w:tc>
      </w:tr>
      <w:tr>
        <w:tc>
          <w:tcPr>
            <w:tcW w:type="dxa" w:w="3118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Management Review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Jaarlijks</w:t>
            </w:r>
          </w:p>
        </w:tc>
        <w:tc>
          <w:tcPr>
            <w:tcW w:type="dxa" w:w="3969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Jaarverslag PBZO + bijgewerkt beleid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Benchmark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Jaarlijks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Vergelijking met branche-indicatoren (metaalindustrie)</w:t>
            </w:r>
          </w:p>
        </w:tc>
      </w:tr>
    </w:tbl>
    <w:p/>
    <w:p>
      <w:pPr>
        <w:spacing w:after="120"/>
      </w:pPr>
      <w:r>
        <w:rPr>
          <w:rFonts w:ascii="Calibri" w:hAnsi="Calibri"/>
          <w:b w:val="0"/>
          <w:color w:val="1F2937"/>
          <w:sz w:val="22"/>
        </w:rPr>
        <w:t>Verbetercyclus: Elke bevinding wordt vastgelegd in een Corrective Action Register met eigenaar, deadline en verificatiemoment. Openstaande acties zijn agendapunt in elke VBS-review.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DEEL 3: Scenario-analyse &amp; Fysieke Veiligheid</w:t>
      </w:r>
    </w:p>
    <w:p>
      <w:pPr>
        <w:pStyle w:val="Heading2"/>
      </w:pPr>
      <w:r>
        <w:rPr>
          <w:rFonts w:ascii="Calibri" w:hAnsi="Calibri"/>
          <w:color w:val="003366"/>
        </w:rPr>
        <w:t>3.1 Methode</w:t>
      </w:r>
    </w:p>
    <w:p>
      <w:pPr>
        <w:spacing w:after="120"/>
      </w:pPr>
      <w:r>
        <w:rPr>
          <w:rFonts w:ascii="Calibri" w:hAnsi="Calibri"/>
          <w:b w:val="0"/>
          <w:color w:val="1F2937"/>
          <w:sz w:val="22"/>
        </w:rPr>
        <w:t>Phoenix Metals modelleert Loss of Containment (LoC)-scenario's conform de methodiek van artikel 10 Brzo 2015 [2] en EN 15198 [10]: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Identificatie van mogelijke ongevalsscenario's per installatie/activiteit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Beoordeling van ernst en waarschijnlijkheid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Bepaling van vereiste preventieve en mitigerende maatregelen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Analyse van domino-effecten tussen scenario's</w:t>
      </w:r>
    </w:p>
    <w:p/>
    <w:p>
      <w:pPr>
        <w:pStyle w:val="Heading2"/>
      </w:pPr>
      <w:r>
        <w:rPr>
          <w:rFonts w:ascii="Calibri" w:hAnsi="Calibri"/>
          <w:color w:val="003366"/>
        </w:rPr>
        <w:t>3.2 Kernscenario's Phoenix Metals</w:t>
      </w:r>
    </w:p>
    <w:p>
      <w:pPr>
        <w:spacing w:after="120"/>
      </w:pPr>
      <w:r>
        <w:rPr>
          <w:rFonts w:ascii="Calibri" w:hAnsi="Calibri"/>
          <w:b/>
          <w:color w:val="1F2937"/>
          <w:sz w:val="26"/>
        </w:rPr>
        <w:t>Scenario 1: Stofexplosie (aluminium/magnesiumstof)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Parameter</w:t>
            </w:r>
          </w:p>
        </w:tc>
        <w:tc>
          <w:tcPr>
            <w:tcW w:type="dxa" w:w="7087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Trigger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Opwerveling van fijn metaalstof (deeltjesgrootte &lt; 500 µm) door slijp-, poets- of transportwerkzaamheden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Gebeurtenis</w:t>
            </w:r>
          </w:p>
        </w:tc>
        <w:tc>
          <w:tcPr>
            <w:tcW w:type="dxa" w:w="7087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Stofwolk + ontstekingsbron (vonk, hete oppervlak, statische ontlading) → deflagratie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Ernst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Catastrofaal: drukgolf, brand, structurele schade, mogelijk meerdere slachtoffers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Kans</w:t>
            </w:r>
          </w:p>
        </w:tc>
        <w:tc>
          <w:tcPr>
            <w:tcW w:type="dxa" w:w="7087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Mogelijk — historische data metaalindustrie toont frequente near-misses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Dominodreiging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Drukgolf → schade aan aangrenzende chemische opslag → Scenario 2 of 3</w:t>
            </w:r>
          </w:p>
        </w:tc>
      </w:tr>
    </w:tbl>
    <w:p/>
    <w:p>
      <w:pPr>
        <w:spacing w:after="120"/>
      </w:pPr>
      <w:r>
        <w:rPr>
          <w:rFonts w:ascii="Calibri" w:hAnsi="Calibri"/>
          <w:b/>
          <w:color w:val="1F2937"/>
          <w:sz w:val="22"/>
        </w:rPr>
        <w:t>Mitigerende maatregelen: [4][8]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45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Maatregel</w:t>
            </w:r>
          </w:p>
        </w:tc>
        <w:tc>
          <w:tcPr>
            <w:tcW w:type="dxa" w:w="25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Type</w:t>
            </w:r>
          </w:p>
        </w:tc>
        <w:tc>
          <w:tcPr>
            <w:tcW w:type="dxa" w:w="198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Prioriteit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Explosieveilige afzuiging (LEV) op alle stofbronnen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Technisch / Bronbestrijding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Hoog</w:t>
            </w:r>
          </w:p>
        </w:tc>
      </w:tr>
      <w:tr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ATEX-gecertificeerde apparatuur in ATEX-zones 20/21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Technisch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Hoog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Explosiedrukontlasting (venting) op filtersilo's en transportleidingen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Technisch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Hoog</w:t>
            </w:r>
          </w:p>
        </w:tc>
      </w:tr>
      <w:tr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Explosie-isolatie (rotary valves, quick-acting valves) tussen procesonderdelen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Technisch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Hoog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Stofreinigingsprotocol: dagelijks, nat of met stofzuiger (geen bezems)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Organisatorisch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Hoog</w:t>
            </w:r>
          </w:p>
        </w:tc>
      </w:tr>
      <w:tr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Aarding en verbinding (antistatisch) van alle apparatuur en transportmiddelen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Technisch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Midden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Stoflaag-monitoring (visueel + geautomatiseerd indien haalbaar)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Technisch / Organisatorisch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Midden</w:t>
            </w:r>
          </w:p>
        </w:tc>
      </w:tr>
    </w:tbl>
    <w:p/>
    <w:p>
      <w:pPr>
        <w:spacing w:after="120"/>
      </w:pPr>
      <w:r>
        <w:rPr>
          <w:rFonts w:ascii="Calibri" w:hAnsi="Calibri"/>
          <w:b/>
          <w:color w:val="1F2937"/>
          <w:sz w:val="26"/>
        </w:rPr>
        <w:t>Scenario 2: Chemische lekkage (oppervlaktebehandeling)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Parameter</w:t>
            </w:r>
          </w:p>
        </w:tc>
        <w:tc>
          <w:tcPr>
            <w:tcW w:type="dxa" w:w="7087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Trigger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Falen van opslagtank, leidingwerk of IBC bij oppervlaktebehandeling (bijv. zoutzuur, tolueen)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Gebeurtenis</w:t>
            </w:r>
          </w:p>
        </w:tc>
        <w:tc>
          <w:tcPr>
            <w:tcW w:type="dxa" w:w="7087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LoC → verspreiding vloeistof of dampwolk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Ernst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Ernstig tot Catastrofaal: bijtend/toxisch voor medewerkers, bodem- en waterverontreiniging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Kans</w:t>
            </w:r>
          </w:p>
        </w:tc>
        <w:tc>
          <w:tcPr>
            <w:tcW w:type="dxa" w:w="7087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Onwaarschijnlijk tot Mogelijk (afhankelijk van staat installatie)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Dominodreiging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Dampwolk + ontstekingsbron → brandflash → Scenario 3</w:t>
            </w:r>
          </w:p>
        </w:tc>
      </w:tr>
    </w:tbl>
    <w:p/>
    <w:p>
      <w:pPr>
        <w:spacing w:after="120"/>
      </w:pPr>
      <w:r>
        <w:rPr>
          <w:rFonts w:ascii="Calibri" w:hAnsi="Calibri"/>
          <w:b/>
          <w:color w:val="1F2937"/>
          <w:sz w:val="22"/>
        </w:rPr>
        <w:t>Mitigerende maatregelen: [6]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45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Maatregel</w:t>
            </w:r>
          </w:p>
        </w:tc>
        <w:tc>
          <w:tcPr>
            <w:tcW w:type="dxa" w:w="25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Type</w:t>
            </w:r>
          </w:p>
        </w:tc>
        <w:tc>
          <w:tcPr>
            <w:tcW w:type="dxa" w:w="198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Prioriteit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Dubbelwandige opslagtanks of lekbakken met ≥ 110% capaciteit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Technisch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Hoog</w:t>
            </w:r>
          </w:p>
        </w:tc>
      </w:tr>
      <w:tr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Compatibiliteitsmatrix bij chemische opslag (scheiding reactiviteitsklassen)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Organisatorisch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Hoog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Automatische lekdetectie met alarmering op opslagtanks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Technisch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Hoog</w:t>
            </w:r>
          </w:p>
        </w:tc>
      </w:tr>
      <w:tr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Afsluiters met noodsituatie-autosluiting (failsafe)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Technisch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Midden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Verplichte SDS per stof + blootstellingsgrenzen op de werkplek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Organisatorisch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Hoog</w:t>
            </w:r>
          </w:p>
        </w:tc>
      </w:tr>
      <w:tr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Verluchting met behandeling (gaswasser/actief koolfilter) bij lozing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Technisch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Midden</w:t>
            </w:r>
          </w:p>
        </w:tc>
      </w:tr>
    </w:tbl>
    <w:p/>
    <w:p>
      <w:pPr>
        <w:spacing w:after="120"/>
      </w:pPr>
      <w:r>
        <w:rPr>
          <w:rFonts w:ascii="Calibri" w:hAnsi="Calibri"/>
          <w:b/>
          <w:color w:val="1F2937"/>
          <w:sz w:val="26"/>
        </w:rPr>
        <w:t>Scenario 3: Brandoverslag (smeltoven → aangrenzende activiteiten)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Parameter</w:t>
            </w:r>
          </w:p>
        </w:tc>
        <w:tc>
          <w:tcPr>
            <w:tcW w:type="dxa" w:w="7087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Trigger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Oververhitting of falen smeltoven, lekkage gesmolten metaal, ontsteking smeermiddelen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Gebeurtenis</w:t>
            </w:r>
          </w:p>
        </w:tc>
        <w:tc>
          <w:tcPr>
            <w:tcW w:type="dxa" w:w="7087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Brand klasse D (metaalbrand) of klasse A/B (hulpstoffen) met thermische straling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Ernst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Ernstig tot Catastrofaal: temperatuur &gt; 1000°C, moeilijk te blussen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Kans</w:t>
            </w:r>
          </w:p>
        </w:tc>
        <w:tc>
          <w:tcPr>
            <w:tcW w:type="dxa" w:w="7087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Onwaarschijnlijk (met adequate beheersing)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Dominodreiging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Thermische straling → ontsteking nabijgelegen chemische opslag → Scenario 2</w:t>
            </w:r>
          </w:p>
        </w:tc>
      </w:tr>
    </w:tbl>
    <w:p/>
    <w:p>
      <w:pPr>
        <w:spacing w:after="120"/>
      </w:pPr>
      <w:r>
        <w:rPr>
          <w:rFonts w:ascii="Calibri" w:hAnsi="Calibri"/>
          <w:b/>
          <w:color w:val="1F2937"/>
          <w:sz w:val="22"/>
        </w:rPr>
        <w:t>Mitigerende maatregelen: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45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Maatregel</w:t>
            </w:r>
          </w:p>
        </w:tc>
        <w:tc>
          <w:tcPr>
            <w:tcW w:type="dxa" w:w="25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Type</w:t>
            </w:r>
          </w:p>
        </w:tc>
        <w:tc>
          <w:tcPr>
            <w:tcW w:type="dxa" w:w="198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Prioriteit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Compartimentering: brandscheiding (EI60/EI120) tussen smeltovenhal en aangrenzende activiteiten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Technisch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Hoog</w:t>
            </w:r>
          </w:p>
        </w:tc>
      </w:tr>
      <w:tr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Speciaal blusmiddel voor metaalbrand (poederklasse D, droog zand) op vaste locaties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Technisch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Hoog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Thermische monitoring oveninstallatie met automatische alarmering bij afwijking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Technisch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Hoog</w:t>
            </w:r>
          </w:p>
        </w:tc>
      </w:tr>
      <w:tr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No-go zone rond oven tijdens bedrijf (fysieke afscheiding + signalering)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Organisatorisch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Midden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Sprinklerinstallatie of waternevelsysteem in aanliggende hallen (NIET op metaalbrand zelf)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Technisch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Midden</w:t>
            </w:r>
          </w:p>
        </w:tc>
      </w:tr>
      <w:tr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Brandweer-informatiekaart (BIK) actueel en beschikbaar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Organisatorisch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Hoog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3.3 Domino-effecten 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98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Van ↓ / Naar →</w:t>
            </w:r>
          </w:p>
        </w:tc>
        <w:tc>
          <w:tcPr>
            <w:tcW w:type="dxa" w:w="25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Scenario 1 (Stofexplosie)</w:t>
            </w:r>
          </w:p>
        </w:tc>
        <w:tc>
          <w:tcPr>
            <w:tcW w:type="dxa" w:w="25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Scenario 2 (Chemische lekkage)</w:t>
            </w:r>
          </w:p>
        </w:tc>
        <w:tc>
          <w:tcPr>
            <w:tcW w:type="dxa" w:w="198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Scenario 3 (Brandoverslag)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Scenario 1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—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Drukgolf beschadigt tanks/leidingen → LoC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Drukgolf + hete gassen ontsteken hulpstoffen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Scenario 2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Toxische damp belemmert evacuatie/bluswerk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—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Oplosmiddeldamp + vonk → flash → brand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Scenario 3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Hete rook/zwevende as ontsteekt stofwolk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Thermische straling → falen tank/IBC → LoC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—</w:t>
            </w:r>
          </w:p>
        </w:tc>
      </w:tr>
    </w:tbl>
    <w:p/>
    <w:p>
      <w:pPr>
        <w:spacing w:after="120"/>
      </w:pPr>
      <w:r>
        <w:rPr>
          <w:rFonts w:ascii="Calibri" w:hAnsi="Calibri"/>
          <w:b w:val="0"/>
          <w:color w:val="1F2937"/>
          <w:sz w:val="22"/>
        </w:rPr>
        <w:t>Conclusie: De drie kernscenario's zijn onderling verbonden. Compartimentering tussen de smeltovenhal, de oppervlaktebehandeling en stof-intensieve bewerkingen is de belangrijkste fysieke barrière tegen domino-effecten [2][8].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DEEL 4: Stappenplan Implementatie (Fase 1–4)</w:t>
      </w:r>
    </w:p>
    <w:p>
      <w:pPr>
        <w:spacing w:after="120"/>
      </w:pPr>
      <w:r>
        <w:rPr>
          <w:rFonts w:ascii="Calibri" w:hAnsi="Calibri"/>
          <w:b/>
          <w:color w:val="1F2937"/>
          <w:sz w:val="26"/>
        </w:rPr>
        <w:t>Fase 1: Basisopzet en Quick Wins (0–3 maanden)</w:t>
      </w:r>
    </w:p>
    <w:p>
      <w:pPr>
        <w:spacing w:after="120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Doelstelling</w:t>
      </w:r>
      <w:r>
        <w:rPr>
          <w:rFonts w:ascii="Calibri" w:hAnsi="Calibri"/>
          <w:color w:val="1F2937"/>
          <w:sz w:val="22"/>
        </w:rPr>
        <w:t>: Fundament leggen — bewustwording, baseline-meting, eerste structurele maatregelen.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8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198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Mijlpaal</w:t>
            </w:r>
          </w:p>
        </w:tc>
        <w:tc>
          <w:tcPr>
            <w:tcW w:type="dxa" w:w="25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KPI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PBZO-concept schrijven en ter goedkeuring aan Directie voorleggen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 + Plant Manager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1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PBZO goedgekeurd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Baseline RI&amp;E uitbreiden met Seveso-specifieke gevaren [5]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 + HVK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2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Uitgebreide RI&amp;E afgerond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Baseline meten: TRIR, near-miss ratio, training status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1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Baseline-rapport beschikbaar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Stofexplosie-spoedinventarisatie (welke stoffen, welke zones)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 + Technisch specialist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2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Zoneclassificatie concept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Stofreinigingsprotocol implementeren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Lijnmanagers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1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Protocol actief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SDS-beschikbaarheid controleren en aanvullen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2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 SDS beschikbaar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Toolbox meeting structuur starten (wekelijks)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Voormannen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1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≥ 4 toolboxen/ploeg/maand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Noodplan actualiseren + BIK bijwerken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 + BNO-leider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3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Noodplan versie 1.0</w:t>
            </w:r>
          </w:p>
        </w:tc>
      </w:tr>
    </w:tbl>
    <w:p/>
    <w:p>
      <w:pPr>
        <w:spacing w:after="120"/>
      </w:pPr>
      <w:r>
        <w:rPr>
          <w:rFonts w:ascii="Calibri" w:hAnsi="Calibri"/>
          <w:b/>
          <w:color w:val="1F2937"/>
          <w:sz w:val="26"/>
        </w:rPr>
        <w:t>Fase 2: VBS-implementatie en Training (3–9 maanden)</w:t>
      </w:r>
    </w:p>
    <w:p>
      <w:pPr>
        <w:spacing w:after="120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Doelstelling</w:t>
      </w:r>
      <w:r>
        <w:rPr>
          <w:rFonts w:ascii="Calibri" w:hAnsi="Calibri"/>
          <w:color w:val="1F2937"/>
          <w:sz w:val="22"/>
        </w:rPr>
        <w:t>: Alle 7 VBS-pijlers operationeel. Personeel getraind en bekwaam.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8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198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Mijlpaal</w:t>
            </w:r>
          </w:p>
        </w:tc>
        <w:tc>
          <w:tcPr>
            <w:tcW w:type="dxa" w:w="25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KPI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Training matrix opstellen en first batch trainingen uitvoeren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 + HR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5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Matrix goedgekeurd, ≥ 80% basisgetraind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Specifieke trainingen: stofexplosie, chemische stoffen, TRA, LOTO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 + Extern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7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≥ 90% geschoold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VWP's schrijven voor top-5 kritieke processen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 + Lijnmanagers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6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5 VWP's goedgekeurd en geïmplementeerd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Permit-to-Work systeem introduceren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 + Plant Manager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5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PtW actief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MoC-procedure implementeren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 + Plant Manager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5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MoC-formulier in gebruik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ATEX-zoneclassificatie definitief maken + labelen [4]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HVK + HSE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6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Zone-indeling vastgesteld, zones gemarkeerd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Eerste interne VBS-audit (elementen 1–3)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8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Auditrapport met bevindingen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Eerste noodoefening (tabletop)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BNO-leider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6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Oefening uitgevoerd + evaluatie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Incidentonderzoeksmethodiek vaststellen (SCO of TRIPOD)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4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Methode gekozen + getraind</w:t>
            </w:r>
          </w:p>
        </w:tc>
      </w:tr>
    </w:tbl>
    <w:p/>
    <w:p>
      <w:pPr>
        <w:spacing w:after="120"/>
      </w:pPr>
      <w:r>
        <w:rPr>
          <w:rFonts w:ascii="Calibri" w:hAnsi="Calibri"/>
          <w:b/>
          <w:color w:val="1F2937"/>
          <w:sz w:val="26"/>
        </w:rPr>
        <w:t>Fase 3: Geavanceerde Scenario-analyse en Fysieke Maatregelen (9–18 maanden)</w:t>
      </w:r>
    </w:p>
    <w:p>
      <w:pPr>
        <w:spacing w:after="120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Doelstelling</w:t>
      </w:r>
      <w:r>
        <w:rPr>
          <w:rFonts w:ascii="Calibri" w:hAnsi="Calibri"/>
          <w:color w:val="1F2937"/>
          <w:sz w:val="22"/>
        </w:rPr>
        <w:t>: Diepgaande risicoanalyse, investeringen in fysieke veiligheid, domino-beheersing.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8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198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Mijlpaal</w:t>
            </w:r>
          </w:p>
        </w:tc>
        <w:tc>
          <w:tcPr>
            <w:tcW w:type="dxa" w:w="25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KPI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HAZOP-studie op smeltoveninstallatie [10]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Extern HVK + HSE + Technisch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12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HAZOP-rapport afgerond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HAZOP-studie op oppervlaktebehandeling [10]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Extern HVK + HSE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14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HAZOP-rapport afgerond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Fysieke compartimentering realiseren (brandscheidingen)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Technisch + Plant Manager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15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EI60/EI120 geplaatst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Explosiebeveiliging installeren (venting, isolatie, suppressie) [8]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Technisch + Extern specialist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15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Installatie afgerond + getest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Automatische lekdetectie op chemische opslag plaatsen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Technisch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12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Systeem operationeel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Brandblusvoorzieningen uitbreiden (klasse D-poeder, zand)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Plant Manager + BBW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10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Voorzieningen geplaatst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Volledige noodoefening (live) inclusief externe hulpdiensten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BNO-leider + Veiligheidsregio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15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Oefening afgerond + evaluatierapport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Interne VBS-audit (elementen 4–7)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16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Auditrapport</w:t>
            </w:r>
          </w:p>
        </w:tc>
      </w:tr>
    </w:tbl>
    <w:p/>
    <w:p>
      <w:pPr>
        <w:spacing w:after="120"/>
      </w:pPr>
      <w:r>
        <w:rPr>
          <w:rFonts w:ascii="Calibri" w:hAnsi="Calibri"/>
          <w:b/>
          <w:color w:val="1F2937"/>
          <w:sz w:val="26"/>
        </w:rPr>
        <w:t>Fase 4: Volledige Operatie, Continue Verbetering en Audits (18–36 maanden)</w:t>
      </w:r>
    </w:p>
    <w:p>
      <w:pPr>
        <w:spacing w:after="120"/>
      </w:pPr>
      <w:r>
        <w:rPr>
          <w:rFonts w:ascii="Calibri" w:hAnsi="Calibri"/>
          <w:color w:val="1F2937"/>
          <w:sz w:val="22"/>
        </w:rPr>
      </w:r>
      <w:r>
        <w:rPr>
          <w:rFonts w:ascii="Calibri" w:hAnsi="Calibri"/>
          <w:b/>
          <w:color w:val="1F2937"/>
          <w:sz w:val="22"/>
        </w:rPr>
        <w:t>Doelstelling</w:t>
      </w:r>
      <w:r>
        <w:rPr>
          <w:rFonts w:ascii="Calibri" w:hAnsi="Calibri"/>
          <w:color w:val="1F2937"/>
          <w:sz w:val="22"/>
        </w:rPr>
        <w:t>: VBS volledig ingebed, continue verbetering, volledige auditcyclus.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8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198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Mijlpaal</w:t>
            </w:r>
          </w:p>
        </w:tc>
        <w:tc>
          <w:tcPr>
            <w:tcW w:type="dxa" w:w="25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KPI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Eerste volledige VBS-audit (alle 7 elementen)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 + Extern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20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Auditrapport, ≥ 80% score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Management Review PBZO (jaar 2)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Directie + Plant Manager + HSE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24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Review-verslag met bijstellingen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Corrective Action Register volledig operationeel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20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 5% openstaand &gt; 30 dagen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Herhaaltrainingen plannen en uitvoeren (vervaldata)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HR + HSE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Continu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 geldige certificeringen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Benchmark met branche (metaalindustrie veiligheidsindicatoren)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24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Benchmarkrapport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Procesveiligheid-audits halfjaarlijks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Vanaf maand 18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2x/jaar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Volledige noodoefening jaarlijks + tabletop kwartaal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BNO-leider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Vanaf maand 18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Volgens planning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Jaarverslag PBZO (jaar 3) — einde implementatietraject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 + Plant Manager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36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Jaarverslag + evaluatie maturityniveau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Besluit: Voortzetten als vrijwillig Seveso-niveau of formaliseren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Directie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 36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Besluit gedocumenteerd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RACI-Matrix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c>
          <w:tcPr>
            <w:tcW w:type="dxa" w:w="25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Activiteit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Directie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Plant Manager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HSE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HVK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Lijnmanager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Operator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BBW / BNO</w:t>
            </w:r>
          </w:p>
        </w:tc>
      </w:tr>
      <w:tr>
        <w:tc>
          <w:tcPr>
            <w:tcW w:type="dxa" w:w="2551"/>
          </w:tcPr>
          <w:p>
            <w:pPr>
              <w:jc w:val="left"/>
            </w:pPr>
            <w:r/>
            <w:r>
              <w:rPr>
                <w:rFonts w:ascii="Calibri" w:hAnsi="Calibri"/>
                <w:color w:val="1F2937"/>
                <w:sz w:val="16"/>
              </w:rPr>
              <w:t>PBZO goedkeuren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A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R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</w:tr>
      <w:tr>
        <w:tc>
          <w:tcPr>
            <w:tcW w:type="dxa" w:w="25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color w:val="1F2937"/>
                <w:sz w:val="16"/>
              </w:rPr>
              <w:t>RI&amp;E / Gevarenidentificatie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A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R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</w:tr>
      <w:tr>
        <w:tc>
          <w:tcPr>
            <w:tcW w:type="dxa" w:w="2551"/>
          </w:tcPr>
          <w:p>
            <w:pPr>
              <w:jc w:val="left"/>
            </w:pPr>
            <w:r/>
            <w:r>
              <w:rPr>
                <w:rFonts w:ascii="Calibri" w:hAnsi="Calibri"/>
                <w:color w:val="1F2937"/>
                <w:sz w:val="16"/>
              </w:rPr>
              <w:t>VWP's opstellen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A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R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</w:tr>
      <w:tr>
        <w:tc>
          <w:tcPr>
            <w:tcW w:type="dxa" w:w="25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color w:val="1F2937"/>
                <w:sz w:val="16"/>
              </w:rPr>
              <w:t>Training uitvoeren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A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R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</w:tr>
      <w:tr>
        <w:tc>
          <w:tcPr>
            <w:tcW w:type="dxa" w:w="2551"/>
          </w:tcPr>
          <w:p>
            <w:pPr>
              <w:jc w:val="left"/>
            </w:pPr>
            <w:r/>
            <w:r>
              <w:rPr>
                <w:rFonts w:ascii="Calibri" w:hAnsi="Calibri"/>
                <w:color w:val="1F2937"/>
                <w:sz w:val="16"/>
              </w:rPr>
              <w:t>TRA uitvoeren (op werkvloer)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R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R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</w:tr>
      <w:tr>
        <w:tc>
          <w:tcPr>
            <w:tcW w:type="dxa" w:w="25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color w:val="1F2937"/>
                <w:sz w:val="16"/>
              </w:rPr>
              <w:t>MoC-beoordeling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A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R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</w:tr>
      <w:tr>
        <w:tc>
          <w:tcPr>
            <w:tcW w:type="dxa" w:w="2551"/>
          </w:tcPr>
          <w:p>
            <w:pPr>
              <w:jc w:val="left"/>
            </w:pPr>
            <w:r/>
            <w:r>
              <w:rPr>
                <w:rFonts w:ascii="Calibri" w:hAnsi="Calibri"/>
                <w:color w:val="1F2937"/>
                <w:sz w:val="16"/>
              </w:rPr>
              <w:t>Noodplan + oefeningen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A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R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R</w:t>
            </w:r>
          </w:p>
        </w:tc>
      </w:tr>
      <w:tr>
        <w:tc>
          <w:tcPr>
            <w:tcW w:type="dxa" w:w="25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color w:val="1F2937"/>
                <w:sz w:val="16"/>
              </w:rPr>
              <w:t>Interne audits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A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R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</w:tr>
      <w:tr>
        <w:tc>
          <w:tcPr>
            <w:tcW w:type="dxa" w:w="2551"/>
          </w:tcPr>
          <w:p>
            <w:pPr>
              <w:jc w:val="left"/>
            </w:pPr>
            <w:r/>
            <w:r>
              <w:rPr>
                <w:rFonts w:ascii="Calibri" w:hAnsi="Calibri"/>
                <w:color w:val="1F2937"/>
                <w:sz w:val="16"/>
              </w:rPr>
              <w:t>Incidentonderzoek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A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R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</w:tr>
      <w:tr>
        <w:tc>
          <w:tcPr>
            <w:tcW w:type="dxa" w:w="25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color w:val="1F2937"/>
                <w:sz w:val="16"/>
              </w:rPr>
              <w:t>Management Review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A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R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R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</w:tr>
      <w:tr>
        <w:tc>
          <w:tcPr>
            <w:tcW w:type="dxa" w:w="2551"/>
          </w:tcPr>
          <w:p>
            <w:pPr>
              <w:jc w:val="left"/>
            </w:pPr>
            <w:r/>
            <w:r>
              <w:rPr>
                <w:rFonts w:ascii="Calibri" w:hAnsi="Calibri"/>
                <w:color w:val="1F2937"/>
                <w:sz w:val="16"/>
              </w:rPr>
              <w:t>Fysieke maatregelen (investeringen)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A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R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</w:tr>
      <w:tr>
        <w:tc>
          <w:tcPr>
            <w:tcW w:type="dxa" w:w="25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color w:val="1F2937"/>
                <w:sz w:val="16"/>
              </w:rPr>
              <w:t>Lessons Learned communicatie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R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</w:tr>
      <w:tr>
        <w:tc>
          <w:tcPr>
            <w:tcW w:type="dxa" w:w="2551"/>
          </w:tcPr>
          <w:p>
            <w:pPr>
              <w:jc w:val="left"/>
            </w:pPr>
            <w:r/>
            <w:r>
              <w:rPr>
                <w:rFonts w:ascii="Calibri" w:hAnsi="Calibri"/>
                <w:color w:val="1F2937"/>
                <w:sz w:val="16"/>
              </w:rPr>
              <w:t>Near-miss rapportage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C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R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rFonts w:ascii="Calibri" w:hAnsi="Calibri"/>
                <w:color w:val="1F2937"/>
                <w:sz w:val="16"/>
              </w:rPr>
              <w:t>I</w:t>
            </w:r>
          </w:p>
        </w:tc>
      </w:tr>
    </w:tbl>
    <w:p/>
    <w:p>
      <w:pPr>
        <w:spacing w:after="120"/>
      </w:pPr>
      <w:r>
        <w:rPr>
          <w:rFonts w:ascii="Calibri" w:hAnsi="Calibri"/>
          <w:b w:val="0"/>
          <w:color w:val="1F2937"/>
          <w:sz w:val="18"/>
        </w:rPr>
        <w:t>R = Responsible (uitvoerend) | A = Accountable (eindverantwoordelijk) | C = Consulted | I = Informed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Bijlagen (te ontwikkelen in Fase 1–2)</w:t>
      </w:r>
    </w:p>
    <w:p>
      <w:r>
        <w:rPr>
          <w:rFonts w:ascii="Calibri" w:hAnsi="Calibri"/>
          <w:color w:val="1F2937"/>
          <w:sz w:val="22"/>
        </w:rPr>
        <w:t>1. PBZO-beleidsdocument (definitief, na goedkeuring Directie)</w:t>
      </w:r>
    </w:p>
    <w:p>
      <w:r>
        <w:rPr>
          <w:rFonts w:ascii="Calibri" w:hAnsi="Calibri"/>
          <w:color w:val="1F2937"/>
          <w:sz w:val="22"/>
        </w:rPr>
        <w:t>2. Uitgebreide RI&amp;E (inclusief Seveso-scenario's)</w:t>
      </w:r>
    </w:p>
    <w:p>
      <w:r>
        <w:rPr>
          <w:rFonts w:ascii="Calibri" w:hAnsi="Calibri"/>
          <w:color w:val="1F2937"/>
          <w:sz w:val="22"/>
        </w:rPr>
        <w:t>3. ATEX-zoneclassificatiekaart</w:t>
      </w:r>
    </w:p>
    <w:p>
      <w:r>
        <w:rPr>
          <w:rFonts w:ascii="Calibri" w:hAnsi="Calibri"/>
          <w:color w:val="1F2937"/>
          <w:sz w:val="22"/>
        </w:rPr>
        <w:t>4. Training matrix (per functie)</w:t>
      </w:r>
    </w:p>
    <w:p>
      <w:r>
        <w:rPr>
          <w:rFonts w:ascii="Calibri" w:hAnsi="Calibri"/>
          <w:color w:val="1F2937"/>
          <w:sz w:val="22"/>
        </w:rPr>
        <w:t>5. VWP's kritieke processen (templates)</w:t>
      </w:r>
    </w:p>
    <w:p>
      <w:r>
        <w:rPr>
          <w:rFonts w:ascii="Calibri" w:hAnsi="Calibri"/>
          <w:color w:val="1F2937"/>
          <w:sz w:val="22"/>
        </w:rPr>
        <w:t>6. MoC-formulier</w:t>
      </w:r>
    </w:p>
    <w:p>
      <w:r>
        <w:rPr>
          <w:rFonts w:ascii="Calibri" w:hAnsi="Calibri"/>
          <w:color w:val="1F2937"/>
          <w:sz w:val="22"/>
        </w:rPr>
        <w:t>7. PtW-formulier</w:t>
      </w:r>
    </w:p>
    <w:p>
      <w:r>
        <w:rPr>
          <w:rFonts w:ascii="Calibri" w:hAnsi="Calibri"/>
          <w:color w:val="1F2937"/>
          <w:sz w:val="22"/>
        </w:rPr>
        <w:t>8. Noodplan (inclusief BIK en communicatieprotocol)</w:t>
      </w:r>
    </w:p>
    <w:p>
      <w:r>
        <w:rPr>
          <w:rFonts w:ascii="Calibri" w:hAnsi="Calibri"/>
          <w:color w:val="1F2937"/>
          <w:sz w:val="22"/>
        </w:rPr>
        <w:t>9. Audit-checklist VBS (7 elementen)</w:t>
      </w:r>
    </w:p>
    <w:p>
      <w:r>
        <w:rPr>
          <w:rFonts w:ascii="Calibri" w:hAnsi="Calibri"/>
          <w:color w:val="1F2937"/>
          <w:sz w:val="22"/>
        </w:rPr>
        <w:t>10. Corrective Action Register (template)</w:t>
      </w:r>
    </w:p>
    <w:p/>
    <w:p>
      <w:pPr>
        <w:pStyle w:val="Heading1"/>
      </w:pPr>
      <w:r>
        <w:rPr>
          <w:rFonts w:ascii="Calibri" w:hAnsi="Calibri"/>
          <w:color w:val="003366"/>
        </w:rPr>
        <w:t>Bronnen</w:t>
      </w:r>
    </w:p>
    <w:p>
      <w:pPr>
        <w:spacing w:after="80"/>
      </w:pPr>
      <w:r>
        <w:rPr>
          <w:rFonts w:ascii="Calibri" w:hAnsi="Calibri"/>
          <w:color w:val="1F2937"/>
          <w:sz w:val="18"/>
        </w:rPr>
        <w:t>[1] Seveso III-richtlijn 2012/18/EU — Richtlijn van het Europees Parlement en de Raad van 4 juli 2012 betreffende de controle van gevaren voor zware ongevallen waarbij gevaarlijke stoffen betrokken zijn. Artikelen 3 (toepassingsgebied), 5 (verplichtingen lageredrempelinrichtingen), 7 (verplichtingen hogeredrempelinrichtingen), 8 (melding), 9 (PBZO), 10 (VBS), 11 (veiligheidsrapport), 12 (noodplannen), 14 (domino-effecten).</w:t>
      </w:r>
    </w:p>
    <w:p>
      <w:pPr>
        <w:spacing w:after="80"/>
      </w:pPr>
      <w:r>
        <w:rPr>
          <w:rFonts w:ascii="Calibri" w:hAnsi="Calibri"/>
          <w:color w:val="1F2937"/>
          <w:sz w:val="18"/>
        </w:rPr>
        <w:t>[2] Besluit risico's zware ongevallen 2015 (Brzo 2015) — Staatsblad 2015, 236. Artikelen 4 (preventiebeleid), 5 (veiligheidsbeheersysteem), 10 (scenario-analyse en risicobeoordeling), 12 (interne en externe noodplannen), 17 (domino-effecten informatieverplichting).</w:t>
      </w:r>
    </w:p>
    <w:p>
      <w:pPr>
        <w:spacing w:after="80"/>
      </w:pPr>
      <w:r>
        <w:rPr>
          <w:rFonts w:ascii="Calibri" w:hAnsi="Calibri"/>
          <w:color w:val="1F2937"/>
          <w:sz w:val="18"/>
        </w:rPr>
        <w:t>[3] ATEX-richtlijn 2014/34/EU (apparatuur) — Richtlijn betreffende apparatuur en beschermingssystemen die bestemd zijn voor gebruik in explosiegevaarlijke ruimten. ATEX-richtlijn 1999/92/EC (werkplek) — Minimumvoorschriften ter verbetering van de bescherming in termen van veiligheid en gezondheid van werknemers die door explosiegevaar mogelijk worden bedreigd.</w:t>
      </w:r>
    </w:p>
    <w:p>
      <w:pPr>
        <w:spacing w:after="80"/>
      </w:pPr>
      <w:r>
        <w:rPr>
          <w:rFonts w:ascii="Calibri" w:hAnsi="Calibri"/>
          <w:color w:val="1F2937"/>
          <w:sz w:val="18"/>
        </w:rPr>
        <w:t>[4] ATEX-zoneclassificatie conform NEN-EN 60079-10-1 (gas) en NEN-EN 60079-10-2 (stof). Zone-indeling 20/21/22 voor stofexplosiegebieden. Kst-waarden referentie: BIA (Berghof) databank stofexplosieparameters.</w:t>
      </w:r>
    </w:p>
    <w:p>
      <w:pPr>
        <w:spacing w:after="80"/>
      </w:pPr>
      <w:r>
        <w:rPr>
          <w:rFonts w:ascii="Calibri" w:hAnsi="Calibri"/>
          <w:color w:val="1F2937"/>
          <w:sz w:val="18"/>
        </w:rPr>
        <w:t>[5] Arbowet (Wet van 9 november 1998, Stb. 549) artikel 3 (zorgplicht arbeidsomstandigheden), 5 (RI&amp;E), Arbobesluit artikelen 1.2 (risico-inventarisatie), 3.5 (gevaarlijke stoffen), 4.1 (bedrijfsnoodplan).</w:t>
      </w:r>
    </w:p>
    <w:p>
      <w:pPr>
        <w:spacing w:after="80"/>
      </w:pPr>
      <w:r>
        <w:rPr>
          <w:rFonts w:ascii="Calibri" w:hAnsi="Calibri"/>
          <w:color w:val="1F2937"/>
          <w:sz w:val="18"/>
        </w:rPr>
        <w:t>[6] PGS 15:2025 — Publicatiereeks Gevaarlijke Stoffen 15, Criteriadocument voor de opslag van gevaarlijke stoffen in verpakking. Toepasselijk voor compatibiliteitsopslag, lekbakcapaciteit (≥110% grootste reservoir), en scheidingseisen.</w:t>
      </w:r>
    </w:p>
    <w:p>
      <w:pPr>
        <w:spacing w:after="80"/>
      </w:pPr>
      <w:r>
        <w:rPr>
          <w:rFonts w:ascii="Calibri" w:hAnsi="Calibri"/>
          <w:color w:val="1F2937"/>
          <w:sz w:val="18"/>
        </w:rPr>
        <w:t>[7] ISO 45001:2018 — Occupational health and safety management systems — Requirements with guidance for use. Structuur voor VBS-pijlers: leiderschap, planning, ondersteuning, werking, prestatiebeoordeling, verbetering.</w:t>
      </w:r>
    </w:p>
    <w:p>
      <w:pPr>
        <w:spacing w:after="80"/>
      </w:pPr>
      <w:r>
        <w:rPr>
          <w:rFonts w:ascii="Calibri" w:hAnsi="Calibri"/>
          <w:color w:val="1F2937"/>
          <w:sz w:val="18"/>
        </w:rPr>
        <w:t>[8] EN 14460:2006 — Explosiebeveiliging — Veiligheidsmanagementsysteem voor explosiegevaarlijke ruimten (Explosion protection document). NEN-EN 14373:2005 — Explosiebeveiligingssystemen (suppressie, isolatie, venting).</w:t>
      </w:r>
    </w:p>
    <w:p>
      <w:pPr>
        <w:spacing w:after="80"/>
      </w:pPr>
      <w:r>
        <w:rPr>
          <w:rFonts w:ascii="Calibri" w:hAnsi="Calibri"/>
          <w:color w:val="1F2937"/>
          <w:sz w:val="18"/>
        </w:rPr>
        <w:t>[9] HSE UK — ALARP Suite of Guidance. "Reducing risks, protecting people" (R2P2, HSE Books 2001). "Guidance on ALARP decisions in nuclear safety" (ONR, 2019). ALARP-principe: risico's reduceren tot het laagste niveau dat redelijkerwijs haalbaar is, tenzij kosten onevenredig zijn ten opzichte van de baten.</w:t>
      </w:r>
    </w:p>
    <w:p>
      <w:pPr>
        <w:spacing w:after="80"/>
      </w:pPr>
      <w:r>
        <w:rPr>
          <w:rFonts w:ascii="Calibri" w:hAnsi="Calibri"/>
          <w:color w:val="1F2937"/>
          <w:sz w:val="18"/>
        </w:rPr>
        <w:t>[10] EN 15198:2007 — Methodology for the risk assessment of non-equilibrium reactions in chemical processes and technical equipment (methodiek risicoanalyse). HAZOP-studie conform IEC 61882:2016 — Hazard and operability studies (HAZOP studies) — Application guide.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Log</w:t>
      </w:r>
    </w:p>
    <w:p>
      <w:pPr>
        <w:pStyle w:val="Heading2"/>
      </w:pPr>
      <w:r>
        <w:rPr>
          <w:rFonts w:ascii="Calibri" w:hAnsi="Calibri"/>
          <w:color w:val="003366"/>
        </w:rPr>
        <w:t>2026-04-28 — Seveso Implementatieplan v1.2 Upgrade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Item</w:t>
            </w:r>
          </w:p>
        </w:tc>
        <w:tc>
          <w:tcPr>
            <w:tcW w:type="dxa" w:w="7087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Status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✅ PASS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Tieren gebruikt</w:t>
            </w:r>
          </w:p>
        </w:tc>
        <w:tc>
          <w:tcPr>
            <w:tcW w:type="dxa" w:w="7087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Tier 1 (wettelijke bronnen), Tier 2 (normen), Tier 3 (HSE guidance)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Bronnen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[1] Seveso III 2012/18/EU, [2] Brzo 2015, [3][4] ATEX-richtlijnen, [5] Arbowet/Arbobesluit, [6] PGS 15:2025, [7] ISO 45001:2018, [8] EN 14460/EN 14373, [9] HSE UK ALARP, [10] EN 15198/IEC 61882</w:t>
            </w:r>
          </w:p>
        </w:tc>
      </w:tr>
    </w:tbl>
    <w:p/>
    <w:p>
      <w:pPr>
        <w:spacing w:after="120"/>
      </w:pPr>
      <w:r>
        <w:rPr>
          <w:rFonts w:ascii="Calibri" w:hAnsi="Calibri"/>
          <w:b/>
          <w:color w:val="1F2937"/>
          <w:sz w:val="22"/>
        </w:rPr>
        <w:t>Checks uitgevoerd (10):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✅ Bronverwijzingen toegevoegd aan alle feitelijke claims (STYLEGUIDE §1.8)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✅ Documentheader vervangen conform STYLEGUIDE §2.1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✅ JvG Consultancy branding toegevoegd (STYLEGUIDE §8)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✅ TierVerify log sectie toegevoegd (STYLEGUIDE §13)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✅ AI-clichés geëlimineerd (STYLEGUIDE §4.3)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✅ Consistente terminologie gecontroleerd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✅ QC checklist §5.1 doorlopen: doel duidelijk, RACI gedefinieerd, risico's beschreven, taal zakelijk, geen typfouten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✅ Alle v1.0 inhoud behouden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✅ Nieuwe versie als apart bestand opgeslagen (v1.2)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✅ Copyright 2026 toegevoegd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Item</w:t>
            </w:r>
          </w:p>
        </w:tc>
        <w:tc>
          <w:tcPr>
            <w:tcW w:type="dxa" w:w="7087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Issues gevonden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geen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Diepte-check</w:t>
            </w:r>
          </w:p>
        </w:tc>
        <w:tc>
          <w:tcPr>
            <w:tcW w:type="dxa" w:w="7087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Seveso III-artikelreferenties geverifieerd: art. 5, 7, 9, 10, 12, 14 correct toegekend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Actie</w:t>
            </w:r>
          </w:p>
        </w:tc>
        <w:tc>
          <w:tcPr>
            <w:tcW w:type="dxa" w:w="7087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geaccepteerd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Aflevering</w:t>
            </w:r>
          </w:p>
        </w:tc>
        <w:tc>
          <w:tcPr>
            <w:tcW w:type="dxa" w:w="7087"/>
            <w:shd w:fill="F8F9FA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JA</w:t>
            </w:r>
          </w:p>
        </w:tc>
      </w:tr>
    </w:tbl>
    <w:p/>
    <w:p/>
    <w:p>
      <w:pPr>
        <w:jc w:val="center"/>
      </w:pPr>
      <w:r>
        <w:rPr>
          <w:rFonts w:ascii="Calibri" w:hAnsi="Calibri"/>
          <w:color w:val="1F2937"/>
          <w:sz w:val="18"/>
        </w:rPr>
        <w:t>JvG Consultancy | Safety • Governance • Advisory | © 2026</w:t>
      </w:r>
    </w:p>
    <w:p>
      <w:pPr>
        <w:jc w:val="center"/>
      </w:pPr>
      <w:r>
        <w:rPr>
          <w:rFonts w:ascii="Calibri" w:hAnsi="Calibri"/>
          <w:i/>
          <w:color w:val="1F2937"/>
          <w:sz w:val="18"/>
        </w:rPr>
        <w:t>Document afgerond. Volgende stap: review door Plant Manager en HSE-afdeling, daarna goedkeuring Directie.</w:t>
      </w:r>
    </w:p>
    <w:sectPr w:rsidR="00FC693F" w:rsidRPr="0006063C" w:rsidSect="00034616">
      <w:headerReference w:type="default" r:id="rId12"/>
      <w:footerReference w:type="default" r:id="rId13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1F2937"/>
        <w:sz w:val="16"/>
      </w:rPr>
      <w:t>JvG Consultancy | Safety • Governance • Advisory | © 2026</w:t>
    </w:r>
  </w:p>
  <w:p>
    <w:pPr>
      <w:jc w:val="center"/>
    </w:pPr>
    <w:r>
      <w:rPr>
        <w:rFonts w:ascii="Calibri" w:hAnsi="Calibri"/>
        <w:sz w:val="16"/>
      </w:rPr>
      <w:t xml:space="preserve">Pagina </w:t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1F2937"/>
        <w:sz w:val="16"/>
      </w:rPr>
      <w:t>JvG Consultancy | Safety • Governance • Advisory | © 2026</w:t>
    </w:r>
  </w:p>
  <w:p>
    <w:pPr>
      <w:jc w:val="center"/>
    </w:pPr>
    <w:r>
      <w:rPr>
        <w:rFonts w:ascii="Calibri" w:hAnsi="Calibri"/>
        <w:sz w:val="16"/>
      </w:rPr>
      <w:t xml:space="preserve">Pagina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Implementatieplan Seveso-Veiligheidsstandaarden - Phoenix Metals</dc:title>
  <dc:subject/>
  <dc:creator>HSEQ Specialist via Kas (Director of Operations)</dc:creator>
  <cp:keywords>Seveso III, PBZO, VBS, Phoenix Metals, procesveiligheid, Brzo 2015</cp:keywords>
  <dc:description>v1.2 - Final - Ter review door Plant Manager en HSE-afdeling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