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444011" cy="129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44011" cy="1296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rPr>
          <w:rFonts w:ascii="Calibri" w:hAnsi="Calibri"/>
          <w:b/>
          <w:color w:val="003366"/>
          <w:sz w:val="48"/>
        </w:rPr>
        <w:t>Training Matrix</w:t>
      </w:r>
    </w:p>
    <w:p>
      <w:pPr>
        <w:jc w:val="center"/>
      </w:pPr>
      <w:r>
        <w:rPr>
          <w:rFonts w:ascii="Calibri" w:hAnsi="Calibri"/>
          <w:color w:val="1F2937"/>
          <w:sz w:val="28"/>
        </w:rPr>
        <w:t>VBS Element 1 — Organisatie en Personeel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536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Project</w:t>
            </w:r>
          </w:p>
        </w:tc>
        <w:tc>
          <w:tcPr>
            <w:tcW w:type="dxa" w:w="4536"/>
          </w:tcPr>
          <w:p>
            <w:r/>
            <w:r>
              <w:rPr>
                <w:rFonts w:ascii="Calibri" w:hAnsi="Calibri"/>
                <w:sz w:val="20"/>
              </w:rPr>
              <w:t>Phoenix Metals — Vrijwillige Seveso III Implementatie</w:t>
            </w:r>
          </w:p>
        </w:tc>
      </w:tr>
      <w:tr>
        <w:tc>
          <w:tcPr>
            <w:tcW w:type="dxa" w:w="4536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Type</w:t>
            </w:r>
          </w:p>
        </w:tc>
        <w:tc>
          <w:tcPr>
            <w:tcW w:type="dxa" w:w="4536"/>
          </w:tcPr>
          <w:p>
            <w:r/>
            <w:r>
              <w:rPr>
                <w:rFonts w:ascii="Calibri" w:hAnsi="Calibri"/>
                <w:sz w:val="20"/>
              </w:rPr>
              <w:t>Training Matrix</w:t>
            </w:r>
          </w:p>
        </w:tc>
      </w:tr>
      <w:tr>
        <w:tc>
          <w:tcPr>
            <w:tcW w:type="dxa" w:w="4536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Auteur</w:t>
            </w:r>
          </w:p>
        </w:tc>
        <w:tc>
          <w:tcPr>
            <w:tcW w:type="dxa" w:w="4536"/>
          </w:tcPr>
          <w:p>
            <w:r/>
            <w:r>
              <w:rPr>
                <w:rFonts w:ascii="Calibri" w:hAnsi="Calibri"/>
                <w:sz w:val="20"/>
              </w:rPr>
              <w:t>JvG Consultancy — HSEQ Specialist via Kas</w:t>
            </w:r>
          </w:p>
        </w:tc>
      </w:tr>
      <w:tr>
        <w:tc>
          <w:tcPr>
            <w:tcW w:type="dxa" w:w="4536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Versie</w:t>
            </w:r>
          </w:p>
        </w:tc>
        <w:tc>
          <w:tcPr>
            <w:tcW w:type="dxa" w:w="4536"/>
          </w:tcPr>
          <w:p>
            <w:r/>
            <w:r>
              <w:rPr>
                <w:rFonts w:ascii="Calibri" w:hAnsi="Calibri"/>
                <w:sz w:val="20"/>
              </w:rPr>
              <w:t>1.0</w:t>
            </w:r>
          </w:p>
        </w:tc>
      </w:tr>
      <w:tr>
        <w:tc>
          <w:tcPr>
            <w:tcW w:type="dxa" w:w="4536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Datum</w:t>
            </w:r>
          </w:p>
        </w:tc>
        <w:tc>
          <w:tcPr>
            <w:tcW w:type="dxa" w:w="4536"/>
          </w:tcPr>
          <w:p>
            <w:r/>
            <w:r>
              <w:rPr>
                <w:rFonts w:ascii="Calibri" w:hAnsi="Calibri"/>
                <w:sz w:val="20"/>
              </w:rPr>
              <w:t>2026-04-28</w:t>
            </w:r>
          </w:p>
        </w:tc>
      </w:tr>
      <w:tr>
        <w:tc>
          <w:tcPr>
            <w:tcW w:type="dxa" w:w="4536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  <w:tc>
          <w:tcPr>
            <w:tcW w:type="dxa" w:w="4536"/>
          </w:tcPr>
          <w:p>
            <w:r/>
            <w:r>
              <w:rPr>
                <w:rFonts w:ascii="Calibri" w:hAnsi="Calibri"/>
                <w:sz w:val="20"/>
              </w:rPr>
              <w:t>Final — Ter review door Plant Manager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Inhoudsopgave</w:t>
      </w:r>
    </w:p>
    <w:p>
      <w:r>
        <w:rPr>
          <w:i/>
          <w:color w:val="999999"/>
        </w:rPr>
        <w:t>[Genereer inhoudsopgave in Word: Referenties → Inhoudsopgave → Invoegen]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1. Inleiding</w:t>
      </w:r>
    </w:p>
    <w:p>
      <w:r>
        <w:rPr>
          <w:rFonts w:ascii="Calibri" w:hAnsi="Calibri"/>
          <w:b w:val="0"/>
          <w:color w:val="1F2937"/>
          <w:sz w:val="22"/>
        </w:rPr>
        <w:t>Dit document bevat de training matrix voor Phoenix Metals, opgesteld conform Seveso III-richtlijn 2012/18/EU [1] en Brzo 2015 [2]. De matrix definieert per functieprofiel de verplichte trainingen, type, duur, herhalingsfrequentie en certificaatgeldigheid.</w:t>
      </w:r>
    </w:p>
    <w:p>
      <w:pPr>
        <w:pStyle w:val="Heading1"/>
      </w:pPr>
      <w:r>
        <w:rPr>
          <w:rFonts w:ascii="Calibri" w:hAnsi="Calibri"/>
          <w:color w:val="003366"/>
        </w:rPr>
        <w:t>2. Functieprofielen vs. Verplichte Trainingen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96"/>
        <w:gridCol w:w="1296"/>
        <w:gridCol w:w="1296"/>
        <w:gridCol w:w="1296"/>
        <w:gridCol w:w="1296"/>
        <w:gridCol w:w="1296"/>
        <w:gridCol w:w="1296"/>
      </w:tblGrid>
      <w:tr>
        <w:tc>
          <w:tcPr>
            <w:tcW w:type="dxa" w:w="1296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Training</w:t>
            </w:r>
          </w:p>
        </w:tc>
        <w:tc>
          <w:tcPr>
            <w:tcW w:type="dxa" w:w="1296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Directie</w:t>
            </w:r>
          </w:p>
        </w:tc>
        <w:tc>
          <w:tcPr>
            <w:tcW w:type="dxa" w:w="1296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Plant Manager</w:t>
            </w:r>
          </w:p>
        </w:tc>
        <w:tc>
          <w:tcPr>
            <w:tcW w:type="dxa" w:w="1296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HSE-functionaris</w:t>
            </w:r>
          </w:p>
        </w:tc>
        <w:tc>
          <w:tcPr>
            <w:tcW w:type="dxa" w:w="1296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Lijnmanager/Voorman</w:t>
            </w:r>
          </w:p>
        </w:tc>
        <w:tc>
          <w:tcPr>
            <w:tcW w:type="dxa" w:w="1296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Operator</w:t>
            </w:r>
          </w:p>
        </w:tc>
        <w:tc>
          <w:tcPr>
            <w:tcW w:type="dxa" w:w="1296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BBW/BNO-leider</w:t>
            </w:r>
          </w:p>
        </w:tc>
      </w:tr>
      <w:tr>
        <w:tc>
          <w:tcPr>
            <w:tcW w:type="dxa" w:w="129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PBZO-bewustzijn</w:t>
              <w:br/>
              <w:t>(Basis, 4 uur, Jaarlijks)</w:t>
            </w:r>
          </w:p>
        </w:tc>
        <w:tc>
          <w:tcPr>
            <w:tcW w:type="dxa" w:w="129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</w:t>
            </w:r>
          </w:p>
        </w:tc>
        <w:tc>
          <w:tcPr>
            <w:tcW w:type="dxa" w:w="129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</w:t>
            </w:r>
          </w:p>
        </w:tc>
        <w:tc>
          <w:tcPr>
            <w:tcW w:type="dxa" w:w="129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</w:t>
            </w:r>
          </w:p>
        </w:tc>
        <w:tc>
          <w:tcPr>
            <w:tcW w:type="dxa" w:w="129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</w:t>
            </w:r>
          </w:p>
        </w:tc>
        <w:tc>
          <w:tcPr>
            <w:tcW w:type="dxa" w:w="129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</w:t>
            </w:r>
          </w:p>
        </w:tc>
        <w:tc>
          <w:tcPr>
            <w:tcW w:type="dxa" w:w="129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</w:t>
            </w:r>
          </w:p>
        </w:tc>
      </w:tr>
      <w:tr>
        <w:tc>
          <w:tcPr>
            <w:tcW w:type="dxa" w:w="1296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Evacuatie &amp; Alarmprocedure</w:t>
              <w:br/>
              <w:t>(Basis, 45 min, Halfjaarlijks)</w:t>
            </w:r>
          </w:p>
        </w:tc>
        <w:tc>
          <w:tcPr>
            <w:tcW w:type="dxa" w:w="1296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</w:t>
            </w:r>
          </w:p>
        </w:tc>
        <w:tc>
          <w:tcPr>
            <w:tcW w:type="dxa" w:w="1296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</w:t>
            </w:r>
          </w:p>
        </w:tc>
        <w:tc>
          <w:tcPr>
            <w:tcW w:type="dxa" w:w="1296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</w:t>
            </w:r>
          </w:p>
        </w:tc>
        <w:tc>
          <w:tcPr>
            <w:tcW w:type="dxa" w:w="1296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</w:t>
            </w:r>
          </w:p>
        </w:tc>
        <w:tc>
          <w:tcPr>
            <w:tcW w:type="dxa" w:w="1296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</w:t>
            </w:r>
          </w:p>
        </w:tc>
        <w:tc>
          <w:tcPr>
            <w:tcW w:type="dxa" w:w="1296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</w:t>
            </w:r>
          </w:p>
        </w:tc>
      </w:tr>
      <w:tr>
        <w:tc>
          <w:tcPr>
            <w:tcW w:type="dxa" w:w="129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SDS-lezen / Chemische stoffen</w:t>
              <w:br/>
              <w:t>(Specifiek, 2 uur, Jaarlijks)</w:t>
            </w:r>
          </w:p>
        </w:tc>
        <w:tc>
          <w:tcPr>
            <w:tcW w:type="dxa" w:w="129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</w:t>
            </w:r>
          </w:p>
        </w:tc>
        <w:tc>
          <w:tcPr>
            <w:tcW w:type="dxa" w:w="129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</w:t>
            </w:r>
          </w:p>
        </w:tc>
        <w:tc>
          <w:tcPr>
            <w:tcW w:type="dxa" w:w="129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</w:t>
            </w:r>
          </w:p>
        </w:tc>
        <w:tc>
          <w:tcPr>
            <w:tcW w:type="dxa" w:w="129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</w:t>
            </w:r>
          </w:p>
        </w:tc>
        <w:tc>
          <w:tcPr>
            <w:tcW w:type="dxa" w:w="129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</w:t>
            </w:r>
          </w:p>
        </w:tc>
        <w:tc>
          <w:tcPr>
            <w:tcW w:type="dxa" w:w="129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</w:t>
            </w:r>
          </w:p>
        </w:tc>
      </w:tr>
      <w:tr>
        <w:tc>
          <w:tcPr>
            <w:tcW w:type="dxa" w:w="1296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Stofexplosiebewustzijn</w:t>
              <w:br/>
              <w:t>(Specifiek, 3 uur, Jaarlijks)</w:t>
            </w:r>
          </w:p>
        </w:tc>
        <w:tc>
          <w:tcPr>
            <w:tcW w:type="dxa" w:w="1296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</w:t>
            </w:r>
          </w:p>
        </w:tc>
        <w:tc>
          <w:tcPr>
            <w:tcW w:type="dxa" w:w="1296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</w:t>
            </w:r>
          </w:p>
        </w:tc>
        <w:tc>
          <w:tcPr>
            <w:tcW w:type="dxa" w:w="1296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</w:t>
            </w:r>
          </w:p>
        </w:tc>
        <w:tc>
          <w:tcPr>
            <w:tcW w:type="dxa" w:w="1296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</w:t>
            </w:r>
          </w:p>
        </w:tc>
        <w:tc>
          <w:tcPr>
            <w:tcW w:type="dxa" w:w="1296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</w:t>
            </w:r>
          </w:p>
        </w:tc>
        <w:tc>
          <w:tcPr>
            <w:tcW w:type="dxa" w:w="1296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</w:t>
            </w:r>
          </w:p>
        </w:tc>
      </w:tr>
      <w:tr>
        <w:tc>
          <w:tcPr>
            <w:tcW w:type="dxa" w:w="129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TRA-methode</w:t>
              <w:br/>
              <w:t>(Specifiek, 2 uur, Jaarlijks)</w:t>
            </w:r>
          </w:p>
        </w:tc>
        <w:tc>
          <w:tcPr>
            <w:tcW w:type="dxa" w:w="129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</w:t>
            </w:r>
          </w:p>
        </w:tc>
        <w:tc>
          <w:tcPr>
            <w:tcW w:type="dxa" w:w="129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</w:t>
            </w:r>
          </w:p>
        </w:tc>
        <w:tc>
          <w:tcPr>
            <w:tcW w:type="dxa" w:w="129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</w:t>
            </w:r>
          </w:p>
        </w:tc>
        <w:tc>
          <w:tcPr>
            <w:tcW w:type="dxa" w:w="129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</w:t>
            </w:r>
          </w:p>
        </w:tc>
        <w:tc>
          <w:tcPr>
            <w:tcW w:type="dxa" w:w="129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</w:t>
            </w:r>
          </w:p>
        </w:tc>
        <w:tc>
          <w:tcPr>
            <w:tcW w:type="dxa" w:w="129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</w:t>
            </w:r>
          </w:p>
        </w:tc>
      </w:tr>
      <w:tr>
        <w:tc>
          <w:tcPr>
            <w:tcW w:type="dxa" w:w="1296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Lockout/Tagout (LOTO)</w:t>
              <w:br/>
              <w:t>(Specifiek, 3 uur, Jaarlijks)</w:t>
            </w:r>
          </w:p>
        </w:tc>
        <w:tc>
          <w:tcPr>
            <w:tcW w:type="dxa" w:w="1296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-</w:t>
            </w:r>
          </w:p>
        </w:tc>
        <w:tc>
          <w:tcPr>
            <w:tcW w:type="dxa" w:w="1296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</w:t>
            </w:r>
          </w:p>
        </w:tc>
        <w:tc>
          <w:tcPr>
            <w:tcW w:type="dxa" w:w="1296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</w:t>
            </w:r>
          </w:p>
        </w:tc>
        <w:tc>
          <w:tcPr>
            <w:tcW w:type="dxa" w:w="1296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</w:t>
            </w:r>
          </w:p>
        </w:tc>
        <w:tc>
          <w:tcPr>
            <w:tcW w:type="dxa" w:w="1296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</w:t>
            </w:r>
          </w:p>
        </w:tc>
        <w:tc>
          <w:tcPr>
            <w:tcW w:type="dxa" w:w="1296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</w:t>
            </w:r>
          </w:p>
        </w:tc>
      </w:tr>
      <w:tr>
        <w:tc>
          <w:tcPr>
            <w:tcW w:type="dxa" w:w="129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Management of Change (MoC)</w:t>
              <w:br/>
              <w:t>(Specifiek, 2 uur, 2-jaarlijks)</w:t>
            </w:r>
          </w:p>
        </w:tc>
        <w:tc>
          <w:tcPr>
            <w:tcW w:type="dxa" w:w="129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</w:t>
            </w:r>
          </w:p>
        </w:tc>
        <w:tc>
          <w:tcPr>
            <w:tcW w:type="dxa" w:w="129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</w:t>
            </w:r>
          </w:p>
        </w:tc>
        <w:tc>
          <w:tcPr>
            <w:tcW w:type="dxa" w:w="129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</w:t>
            </w:r>
          </w:p>
        </w:tc>
        <w:tc>
          <w:tcPr>
            <w:tcW w:type="dxa" w:w="129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</w:t>
            </w:r>
          </w:p>
        </w:tc>
        <w:tc>
          <w:tcPr>
            <w:tcW w:type="dxa" w:w="129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</w:t>
            </w:r>
          </w:p>
        </w:tc>
        <w:tc>
          <w:tcPr>
            <w:tcW w:type="dxa" w:w="129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</w:t>
            </w:r>
          </w:p>
        </w:tc>
      </w:tr>
      <w:tr>
        <w:tc>
          <w:tcPr>
            <w:tcW w:type="dxa" w:w="1296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HAZOP-deelname</w:t>
              <w:br/>
              <w:t>(Specifiek, 4 uur, Op aanvraag)</w:t>
            </w:r>
          </w:p>
        </w:tc>
        <w:tc>
          <w:tcPr>
            <w:tcW w:type="dxa" w:w="1296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</w:t>
            </w:r>
          </w:p>
        </w:tc>
        <w:tc>
          <w:tcPr>
            <w:tcW w:type="dxa" w:w="1296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</w:t>
            </w:r>
          </w:p>
        </w:tc>
        <w:tc>
          <w:tcPr>
            <w:tcW w:type="dxa" w:w="1296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</w:t>
            </w:r>
          </w:p>
        </w:tc>
        <w:tc>
          <w:tcPr>
            <w:tcW w:type="dxa" w:w="1296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</w:t>
            </w:r>
          </w:p>
        </w:tc>
        <w:tc>
          <w:tcPr>
            <w:tcW w:type="dxa" w:w="1296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-</w:t>
            </w:r>
          </w:p>
        </w:tc>
        <w:tc>
          <w:tcPr>
            <w:tcW w:type="dxa" w:w="1296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-</w:t>
            </w:r>
          </w:p>
        </w:tc>
      </w:tr>
      <w:tr>
        <w:tc>
          <w:tcPr>
            <w:tcW w:type="dxa" w:w="129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Incidentonderzoek</w:t>
              <w:br/>
              <w:t>(Specifiek, 4 uur, 2-jaarlijks)</w:t>
            </w:r>
          </w:p>
        </w:tc>
        <w:tc>
          <w:tcPr>
            <w:tcW w:type="dxa" w:w="129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</w:t>
            </w:r>
          </w:p>
        </w:tc>
        <w:tc>
          <w:tcPr>
            <w:tcW w:type="dxa" w:w="129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</w:t>
            </w:r>
          </w:p>
        </w:tc>
        <w:tc>
          <w:tcPr>
            <w:tcW w:type="dxa" w:w="129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</w:t>
            </w:r>
          </w:p>
        </w:tc>
        <w:tc>
          <w:tcPr>
            <w:tcW w:type="dxa" w:w="129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</w:t>
            </w:r>
          </w:p>
        </w:tc>
        <w:tc>
          <w:tcPr>
            <w:tcW w:type="dxa" w:w="129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</w:t>
            </w:r>
          </w:p>
        </w:tc>
        <w:tc>
          <w:tcPr>
            <w:tcW w:type="dxa" w:w="129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</w:t>
            </w:r>
          </w:p>
        </w:tc>
      </w:tr>
    </w:tbl>
    <w:p>
      <w:r>
        <w:rPr>
          <w:rFonts w:ascii="Calibri" w:hAnsi="Calibri"/>
          <w:b w:val="0"/>
          <w:color w:val="1F2937"/>
          <w:sz w:val="22"/>
        </w:rPr>
        <w:t>V = Verplicht | A = Aanbevolen | - = Niet van toepassing</w:t>
      </w:r>
    </w:p>
    <w:p>
      <w:pPr>
        <w:pStyle w:val="Heading1"/>
      </w:pPr>
      <w:r>
        <w:rPr>
          <w:rFonts w:ascii="Calibri" w:hAnsi="Calibri"/>
          <w:color w:val="003366"/>
        </w:rPr>
        <w:t>3. Training Details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12"/>
        <w:gridCol w:w="1512"/>
        <w:gridCol w:w="1512"/>
        <w:gridCol w:w="1512"/>
        <w:gridCol w:w="1512"/>
        <w:gridCol w:w="1512"/>
      </w:tblGrid>
      <w:tr>
        <w:tc>
          <w:tcPr>
            <w:tcW w:type="dxa" w:w="1512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Training</w:t>
            </w:r>
          </w:p>
        </w:tc>
        <w:tc>
          <w:tcPr>
            <w:tcW w:type="dxa" w:w="1512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Type</w:t>
            </w:r>
          </w:p>
        </w:tc>
        <w:tc>
          <w:tcPr>
            <w:tcW w:type="dxa" w:w="1512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Duur</w:t>
            </w:r>
          </w:p>
        </w:tc>
        <w:tc>
          <w:tcPr>
            <w:tcW w:type="dxa" w:w="1512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Herhaling</w:t>
            </w:r>
          </w:p>
        </w:tc>
        <w:tc>
          <w:tcPr>
            <w:tcW w:type="dxa" w:w="1512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Certificaat</w:t>
            </w:r>
          </w:p>
        </w:tc>
        <w:tc>
          <w:tcPr>
            <w:tcW w:type="dxa" w:w="1512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Doelgroep</w:t>
            </w:r>
          </w:p>
        </w:tc>
      </w:tr>
      <w:tr>
        <w:tc>
          <w:tcPr>
            <w:tcW w:type="dxa" w:w="1512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PBZO-bewustzijn</w:t>
            </w:r>
          </w:p>
        </w:tc>
        <w:tc>
          <w:tcPr>
            <w:tcW w:type="dxa" w:w="1512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Basis</w:t>
            </w:r>
          </w:p>
        </w:tc>
        <w:tc>
          <w:tcPr>
            <w:tcW w:type="dxa" w:w="1512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4 uur</w:t>
            </w:r>
          </w:p>
        </w:tc>
        <w:tc>
          <w:tcPr>
            <w:tcW w:type="dxa" w:w="1512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Jaarlijks</w:t>
            </w:r>
          </w:p>
        </w:tc>
        <w:tc>
          <w:tcPr>
            <w:tcW w:type="dxa" w:w="1512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 jaar</w:t>
            </w:r>
          </w:p>
        </w:tc>
        <w:tc>
          <w:tcPr>
            <w:tcW w:type="dxa" w:w="1512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Alle medewerkers</w:t>
            </w:r>
          </w:p>
        </w:tc>
      </w:tr>
      <w:tr>
        <w:tc>
          <w:tcPr>
            <w:tcW w:type="dxa" w:w="1512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Evacuatie</w:t>
            </w:r>
          </w:p>
        </w:tc>
        <w:tc>
          <w:tcPr>
            <w:tcW w:type="dxa" w:w="1512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Basis</w:t>
            </w:r>
          </w:p>
        </w:tc>
        <w:tc>
          <w:tcPr>
            <w:tcW w:type="dxa" w:w="1512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45 min</w:t>
            </w:r>
          </w:p>
        </w:tc>
        <w:tc>
          <w:tcPr>
            <w:tcW w:type="dxa" w:w="1512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Halfjaarlijks</w:t>
            </w:r>
          </w:p>
        </w:tc>
        <w:tc>
          <w:tcPr>
            <w:tcW w:type="dxa" w:w="1512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6 maanden</w:t>
            </w:r>
          </w:p>
        </w:tc>
        <w:tc>
          <w:tcPr>
            <w:tcW w:type="dxa" w:w="1512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Alle medewerkers</w:t>
            </w:r>
          </w:p>
        </w:tc>
      </w:tr>
      <w:tr>
        <w:tc>
          <w:tcPr>
            <w:tcW w:type="dxa" w:w="1512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SDS-lezen</w:t>
            </w:r>
          </w:p>
        </w:tc>
        <w:tc>
          <w:tcPr>
            <w:tcW w:type="dxa" w:w="1512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Specifiek</w:t>
            </w:r>
          </w:p>
        </w:tc>
        <w:tc>
          <w:tcPr>
            <w:tcW w:type="dxa" w:w="1512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 uur</w:t>
            </w:r>
          </w:p>
        </w:tc>
        <w:tc>
          <w:tcPr>
            <w:tcW w:type="dxa" w:w="1512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Jaarlijks</w:t>
            </w:r>
          </w:p>
        </w:tc>
        <w:tc>
          <w:tcPr>
            <w:tcW w:type="dxa" w:w="1512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 jaar</w:t>
            </w:r>
          </w:p>
        </w:tc>
        <w:tc>
          <w:tcPr>
            <w:tcW w:type="dxa" w:w="1512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Operatoren, HSE, Voormannen</w:t>
            </w:r>
          </w:p>
        </w:tc>
      </w:tr>
      <w:tr>
        <w:tc>
          <w:tcPr>
            <w:tcW w:type="dxa" w:w="1512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Stofexplosie</w:t>
            </w:r>
          </w:p>
        </w:tc>
        <w:tc>
          <w:tcPr>
            <w:tcW w:type="dxa" w:w="1512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Specifiek</w:t>
            </w:r>
          </w:p>
        </w:tc>
        <w:tc>
          <w:tcPr>
            <w:tcW w:type="dxa" w:w="1512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3 uur</w:t>
            </w:r>
          </w:p>
        </w:tc>
        <w:tc>
          <w:tcPr>
            <w:tcW w:type="dxa" w:w="1512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Jaarlijks</w:t>
            </w:r>
          </w:p>
        </w:tc>
        <w:tc>
          <w:tcPr>
            <w:tcW w:type="dxa" w:w="1512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 jaar</w:t>
            </w:r>
          </w:p>
        </w:tc>
        <w:tc>
          <w:tcPr>
            <w:tcW w:type="dxa" w:w="1512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Operatoren metaalbewerking</w:t>
            </w:r>
          </w:p>
        </w:tc>
      </w:tr>
      <w:tr>
        <w:tc>
          <w:tcPr>
            <w:tcW w:type="dxa" w:w="1512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TRA-methode</w:t>
            </w:r>
          </w:p>
        </w:tc>
        <w:tc>
          <w:tcPr>
            <w:tcW w:type="dxa" w:w="1512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Specifiek</w:t>
            </w:r>
          </w:p>
        </w:tc>
        <w:tc>
          <w:tcPr>
            <w:tcW w:type="dxa" w:w="1512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 uur</w:t>
            </w:r>
          </w:p>
        </w:tc>
        <w:tc>
          <w:tcPr>
            <w:tcW w:type="dxa" w:w="1512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Jaarlijks</w:t>
            </w:r>
          </w:p>
        </w:tc>
        <w:tc>
          <w:tcPr>
            <w:tcW w:type="dxa" w:w="1512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 jaar</w:t>
            </w:r>
          </w:p>
        </w:tc>
        <w:tc>
          <w:tcPr>
            <w:tcW w:type="dxa" w:w="1512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Alle werkvloer + leiding</w:t>
            </w:r>
          </w:p>
        </w:tc>
      </w:tr>
      <w:tr>
        <w:tc>
          <w:tcPr>
            <w:tcW w:type="dxa" w:w="1512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LOTO</w:t>
            </w:r>
          </w:p>
        </w:tc>
        <w:tc>
          <w:tcPr>
            <w:tcW w:type="dxa" w:w="1512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Specifiek</w:t>
            </w:r>
          </w:p>
        </w:tc>
        <w:tc>
          <w:tcPr>
            <w:tcW w:type="dxa" w:w="1512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3 uur</w:t>
            </w:r>
          </w:p>
        </w:tc>
        <w:tc>
          <w:tcPr>
            <w:tcW w:type="dxa" w:w="1512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Jaarlijks</w:t>
            </w:r>
          </w:p>
        </w:tc>
        <w:tc>
          <w:tcPr>
            <w:tcW w:type="dxa" w:w="1512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 jaar</w:t>
            </w:r>
          </w:p>
        </w:tc>
        <w:tc>
          <w:tcPr>
            <w:tcW w:type="dxa" w:w="1512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Operatoren + onderhoud</w:t>
            </w:r>
          </w:p>
        </w:tc>
      </w:tr>
      <w:tr>
        <w:tc>
          <w:tcPr>
            <w:tcW w:type="dxa" w:w="1512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MoC</w:t>
            </w:r>
          </w:p>
        </w:tc>
        <w:tc>
          <w:tcPr>
            <w:tcW w:type="dxa" w:w="1512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Specifiek</w:t>
            </w:r>
          </w:p>
        </w:tc>
        <w:tc>
          <w:tcPr>
            <w:tcW w:type="dxa" w:w="1512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 uur</w:t>
            </w:r>
          </w:p>
        </w:tc>
        <w:tc>
          <w:tcPr>
            <w:tcW w:type="dxa" w:w="1512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2-jaarlijks</w:t>
            </w:r>
          </w:p>
        </w:tc>
        <w:tc>
          <w:tcPr>
            <w:tcW w:type="dxa" w:w="1512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 jaar</w:t>
            </w:r>
          </w:p>
        </w:tc>
        <w:tc>
          <w:tcPr>
            <w:tcW w:type="dxa" w:w="1512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Management + HSE</w:t>
            </w:r>
          </w:p>
        </w:tc>
      </w:tr>
      <w:tr>
        <w:tc>
          <w:tcPr>
            <w:tcW w:type="dxa" w:w="1512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HAZOP</w:t>
            </w:r>
          </w:p>
        </w:tc>
        <w:tc>
          <w:tcPr>
            <w:tcW w:type="dxa" w:w="1512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Specifiek</w:t>
            </w:r>
          </w:p>
        </w:tc>
        <w:tc>
          <w:tcPr>
            <w:tcW w:type="dxa" w:w="1512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4 uur</w:t>
            </w:r>
          </w:p>
        </w:tc>
        <w:tc>
          <w:tcPr>
            <w:tcW w:type="dxa" w:w="1512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Op aanvraag</w:t>
            </w:r>
          </w:p>
        </w:tc>
        <w:tc>
          <w:tcPr>
            <w:tcW w:type="dxa" w:w="1512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 jaar</w:t>
            </w:r>
          </w:p>
        </w:tc>
        <w:tc>
          <w:tcPr>
            <w:tcW w:type="dxa" w:w="1512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HSE + Technisch specialisten</w:t>
            </w:r>
          </w:p>
        </w:tc>
      </w:tr>
      <w:tr>
        <w:tc>
          <w:tcPr>
            <w:tcW w:type="dxa" w:w="1512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Incidentonderzoek</w:t>
            </w:r>
          </w:p>
        </w:tc>
        <w:tc>
          <w:tcPr>
            <w:tcW w:type="dxa" w:w="1512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Specifiek</w:t>
            </w:r>
          </w:p>
        </w:tc>
        <w:tc>
          <w:tcPr>
            <w:tcW w:type="dxa" w:w="1512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4 uur</w:t>
            </w:r>
          </w:p>
        </w:tc>
        <w:tc>
          <w:tcPr>
            <w:tcW w:type="dxa" w:w="1512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2-jaarlijks</w:t>
            </w:r>
          </w:p>
        </w:tc>
        <w:tc>
          <w:tcPr>
            <w:tcW w:type="dxa" w:w="1512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 jaar</w:t>
            </w:r>
          </w:p>
        </w:tc>
        <w:tc>
          <w:tcPr>
            <w:tcW w:type="dxa" w:w="1512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HSE + Management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4. Status Tracking Template</w:t>
      </w:r>
    </w:p>
    <w:p>
      <w:r>
        <w:rPr>
          <w:rFonts w:ascii="Calibri" w:hAnsi="Calibri"/>
          <w:b w:val="0"/>
          <w:color w:val="1F2937"/>
          <w:sz w:val="22"/>
        </w:rPr>
        <w:t>Onderstaande tabel wordt per medewerker bijgehouden in het trainingsregister: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14"/>
        <w:gridCol w:w="1814"/>
        <w:gridCol w:w="1814"/>
        <w:gridCol w:w="1814"/>
        <w:gridCol w:w="1814"/>
      </w:tblGrid>
      <w:tr>
        <w:tc>
          <w:tcPr>
            <w:tcW w:type="dxa" w:w="1814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Naam medewerker</w:t>
            </w:r>
          </w:p>
        </w:tc>
        <w:tc>
          <w:tcPr>
            <w:tcW w:type="dxa" w:w="1814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Training</w:t>
            </w:r>
          </w:p>
        </w:tc>
        <w:tc>
          <w:tcPr>
            <w:tcW w:type="dxa" w:w="1814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Datum voltooid</w:t>
            </w:r>
          </w:p>
        </w:tc>
        <w:tc>
          <w:tcPr>
            <w:tcW w:type="dxa" w:w="1814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Geldig tot</w:t>
            </w:r>
          </w:p>
        </w:tc>
        <w:tc>
          <w:tcPr>
            <w:tcW w:type="dxa" w:w="1814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[Voorbeeld] J. de Vries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PBZO-bewustzijn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2026-05-15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2027-05-15</w:t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Geldig</w:t>
            </w:r>
          </w:p>
        </w:tc>
      </w:tr>
      <w:tr>
        <w:tc>
          <w:tcPr>
            <w:tcW w:type="dxa" w:w="181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[Voorbeeld] K. Jansen</w:t>
            </w:r>
          </w:p>
        </w:tc>
        <w:tc>
          <w:tcPr>
            <w:tcW w:type="dxa" w:w="181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LOTO</w:t>
            </w:r>
          </w:p>
        </w:tc>
        <w:tc>
          <w:tcPr>
            <w:tcW w:type="dxa" w:w="181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2026-03-01</w:t>
            </w:r>
          </w:p>
        </w:tc>
        <w:tc>
          <w:tcPr>
            <w:tcW w:type="dxa" w:w="181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2027-03-01</w:t>
            </w:r>
          </w:p>
        </w:tc>
        <w:tc>
          <w:tcPr>
            <w:tcW w:type="dxa" w:w="181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Geldig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</w:tr>
      <w:tr>
        <w:tc>
          <w:tcPr>
            <w:tcW w:type="dxa" w:w="181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  <w:tc>
          <w:tcPr>
            <w:tcW w:type="dxa" w:w="181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  <w:tc>
          <w:tcPr>
            <w:tcW w:type="dxa" w:w="181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  <w:tc>
          <w:tcPr>
            <w:tcW w:type="dxa" w:w="181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  <w:tc>
          <w:tcPr>
            <w:tcW w:type="dxa" w:w="181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5. Planning — Rol-gebaseerd Overzicht</w:t>
      </w:r>
    </w:p>
    <w:p>
      <w:r>
        <w:rPr>
          <w:rFonts w:ascii="Calibri" w:hAnsi="Calibri"/>
          <w:b w:val="0"/>
          <w:color w:val="1F2937"/>
          <w:sz w:val="22"/>
        </w:rPr>
        <w:t>Trainingen worden ingepland per kwartaal. Basis-trainingen (PBZO, Evacuatie) worden in Q1 en Q3 aangeboden. Specifieke trainingen in Q2 en Q4 [7].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3024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Kwartaal</w:t>
            </w:r>
          </w:p>
        </w:tc>
        <w:tc>
          <w:tcPr>
            <w:tcW w:type="dxa" w:w="3024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Trainingen</w:t>
            </w:r>
          </w:p>
        </w:tc>
        <w:tc>
          <w:tcPr>
            <w:tcW w:type="dxa" w:w="3024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Doelgroep</w:t>
            </w:r>
          </w:p>
        </w:tc>
      </w:tr>
      <w:tr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Q1 (jan-mrt)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PBZO-bewustzijn, Evacuatie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Alle medewerkers</w:t>
            </w:r>
          </w:p>
        </w:tc>
      </w:tr>
      <w:tr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Q2 (apr-jun)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SDS-lezen, Stofexplosie, TRA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Specifieke doelgroepen</w:t>
            </w:r>
          </w:p>
        </w:tc>
      </w:tr>
      <w:tr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Q3 (jul-sep)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PBZO-bewustzijn (herhaling), Evacuatie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Alle medewerkers</w:t>
            </w:r>
          </w:p>
        </w:tc>
      </w:tr>
      <w:tr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Q4 (okt-dec)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LOTO, MoC, Incidentonderzoek, HAZOP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Specifieke doelgroepen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Bronverwijzingen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[1] Europese Commissie — Seveso III-richtlijn 2012/18/EU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[2] Rijksoverheid — Besluit risico's zware ongevallen 2015 (Brzo 2015)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[3] NEN-EN 14460 — Explosiepreventie systemen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[4] ATEX-richtlijn 2014/34/EU (apparatuur) en 1999/92/EC (werkplek)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[5] Arbowet / Arbobesluit — Nederlandse overheid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[6] DRIZZLE-methodiek — chemische opslagsystemen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[7] ISO 45001:2018 — Occupational health and safety management systems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[8] NEN-EN 14460 / NFPA 652 — Stofexplosiepreventie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[9] ALARP-principe — HSE UK (Health and Safety Executive)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[10] IEC 61882 / NEN-EN 61882 — HAZOP-studie methodiek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TierVerify Log</w:t>
      </w:r>
    </w:p>
    <w:p>
      <w:r>
        <w:rPr>
          <w:rFonts w:ascii="Calibri" w:hAnsi="Calibri"/>
          <w:b w:val="0"/>
          <w:color w:val="1F2937"/>
          <w:sz w:val="22"/>
        </w:rPr>
        <w:t>Documentverificatie conform JvG Consultancy kwaliteitssysteem.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3024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Check</w:t>
            </w:r>
          </w:p>
        </w:tc>
        <w:tc>
          <w:tcPr>
            <w:tcW w:type="dxa" w:w="3024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Bron</w:t>
            </w:r>
          </w:p>
        </w:tc>
        <w:tc>
          <w:tcPr>
            <w:tcW w:type="dxa" w:w="3024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Wettelijk kader Seveso III / Brzo 2015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Europese Commissie, Rijksoverheid [1][2]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Geverifieerd</w:t>
            </w:r>
          </w:p>
        </w:tc>
      </w:tr>
      <w:tr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ATEX-richtlijnen stofexplosie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NEN-EN 14460, ATEX 2014/34/EU [4]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Geverifieerd</w:t>
            </w:r>
          </w:p>
        </w:tc>
      </w:tr>
      <w:tr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ISO 45001 structuur VBS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ISO 45001:2018 [7]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Geverifieerd</w:t>
            </w:r>
          </w:p>
        </w:tc>
      </w:tr>
      <w:tr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Arbowet / Arbobesluit integratie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Rijksoverheid [5]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Geverifieerd</w:t>
            </w:r>
          </w:p>
        </w:tc>
      </w:tr>
      <w:tr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Bronverwijzingen compleet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Styleguide §1.8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Geverifieerd</w:t>
            </w:r>
          </w:p>
        </w:tc>
      </w:tr>
      <w:tr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Documentheader aanwezig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Styleguide §2.1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Geverifieerd</w:t>
            </w:r>
          </w:p>
        </w:tc>
      </w:tr>
      <w:tr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Branding JvG Consultancy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Styleguide §8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Geverifieerd</w:t>
            </w:r>
          </w:p>
        </w:tc>
      </w:tr>
      <w:tr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Feitelijke correctheid (steekproef)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Interne review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Geverifieerd</w:t>
            </w:r>
          </w:p>
        </w:tc>
      </w:tr>
    </w:tbl>
    <w:p>
      <w:r>
        <w:rPr>
          <w:rFonts w:ascii="Calibri" w:hAnsi="Calibri"/>
          <w:b w:val="0"/>
          <w:color w:val="1F2937"/>
          <w:sz w:val="22"/>
        </w:rPr>
        <w:t>Laatste verificatie: 2026-04-28 — JvG Consultancy — HSEQ Specialist via Kas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3366"/>
        <w:sz w:val="16"/>
      </w:rPr>
      <w:t>JvG Consultancy | Safety • Governance • Advisory | © 2026</w:t>
    </w:r>
  </w:p>
  <w:p>
    <w:pPr>
      <w:jc w:val="center"/>
    </w:pPr>
    <w:fldSimple w:instr=" PAGE 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Calibri" w:hAnsi="Calibri"/>
        <w:color w:val="003366"/>
        <w:sz w:val="16"/>
      </w:rPr>
      <w:t>Phoenix Metals — Vrijwillige Seveso III Implementatie</w:t>
    </w:r>
    <w:r>
      <w:drawing>
        <wp:inline xmlns:a="http://schemas.openxmlformats.org/drawingml/2006/main" xmlns:pic="http://schemas.openxmlformats.org/drawingml/2006/picture">
          <wp:extent cx="722006" cy="64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jvg-logo-white-medium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2006" cy="648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Training Matrix</dc:title>
  <dc:subject/>
  <dc:creator>JvG Consultancy — HSEQ Specialist via Kas</dc:creator>
  <cp:keywords>Seveso, VBS, PBZO, Phoenix Metals, Element 1, HSEQ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