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6 Maatregelenanalyse</w:t>
      </w:r>
    </w:p>
    <w:p>
      <w:r>
        <w:t>Deze paragraaf toetst twaalf kernmaatregelen uit PGS 15:2025 aan de huidige opssituatie bij Phoenix Metals IJmuiden. Per maatregel wordt de PGS 15-referentie, het vereiste, de PM-status en een toelichting met prioriteit weergegeven. De statusindeling is: ✅ compliant, ⚠️ toetsing vereist, ❌ niet-compliant.</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tcPr>
          <w:p>
            <w:pPr>
              <w:jc w:val="center"/>
            </w:pPr>
            <w:r/>
            <w:r>
              <w:rPr>
                <w:rFonts w:ascii="Calibri" w:hAnsi="Calibri"/>
                <w:b/>
                <w:color w:val="FFFFFF"/>
                <w:sz w:val="20"/>
              </w:rPr>
              <w:t>Maatregel</w:t>
            </w:r>
          </w:p>
        </w:tc>
        <w:tc>
          <w:tcPr>
            <w:tcW w:type="dxa" w:w="1440"/>
            <w:shd w:fill="003366"/>
          </w:tcPr>
          <w:p>
            <w:pPr>
              <w:jc w:val="center"/>
            </w:pPr>
            <w:r/>
            <w:r>
              <w:rPr>
                <w:rFonts w:ascii="Calibri" w:hAnsi="Calibri"/>
                <w:b/>
                <w:color w:val="FFFFFF"/>
                <w:sz w:val="20"/>
              </w:rPr>
              <w:t>PGS 15 Ref.</w:t>
            </w:r>
          </w:p>
        </w:tc>
        <w:tc>
          <w:tcPr>
            <w:tcW w:type="dxa" w:w="1440"/>
            <w:shd w:fill="003366"/>
          </w:tcPr>
          <w:p>
            <w:pPr>
              <w:jc w:val="center"/>
            </w:pPr>
            <w:r/>
            <w:r>
              <w:rPr>
                <w:rFonts w:ascii="Calibri" w:hAnsi="Calibri"/>
                <w:b/>
                <w:color w:val="FFFFFF"/>
                <w:sz w:val="20"/>
              </w:rPr>
              <w:t>Vereiste</w:t>
            </w:r>
          </w:p>
        </w:tc>
        <w:tc>
          <w:tcPr>
            <w:tcW w:type="dxa" w:w="1440"/>
            <w:shd w:fill="003366"/>
          </w:tcPr>
          <w:p>
            <w:pPr>
              <w:jc w:val="center"/>
            </w:pPr>
            <w:r/>
            <w:r>
              <w:rPr>
                <w:rFonts w:ascii="Calibri" w:hAnsi="Calibri"/>
                <w:b/>
                <w:color w:val="FFFFFF"/>
                <w:sz w:val="20"/>
              </w:rPr>
              <w:t>Status</w:t>
            </w:r>
          </w:p>
        </w:tc>
        <w:tc>
          <w:tcPr>
            <w:tcW w:type="dxa" w:w="1440"/>
            <w:shd w:fill="003366"/>
          </w:tcPr>
          <w:p>
            <w:pPr>
              <w:jc w:val="center"/>
            </w:pPr>
            <w:r/>
            <w:r>
              <w:rPr>
                <w:rFonts w:ascii="Calibri" w:hAnsi="Calibri"/>
                <w:b/>
                <w:color w:val="FFFFFF"/>
                <w:sz w:val="20"/>
              </w:rPr>
              <w:t>Toelichting</w:t>
            </w:r>
          </w:p>
        </w:tc>
        <w:tc>
          <w:tcPr>
            <w:tcW w:type="dxa" w:w="1440"/>
            <w:shd w:fill="003366"/>
          </w:tcPr>
          <w:p>
            <w:pPr>
              <w:jc w:val="center"/>
            </w:pPr>
            <w:r/>
            <w:r>
              <w:rPr>
                <w:rFonts w:ascii="Calibri" w:hAnsi="Calibri"/>
                <w:b/>
                <w:color w:val="FFFFFF"/>
                <w:sz w:val="20"/>
              </w:rPr>
              <w:t>Prio</w:t>
            </w:r>
          </w:p>
        </w:tc>
      </w:tr>
      <w:tr>
        <w:tc>
          <w:tcPr>
            <w:tcW w:type="dxa" w:w="1440"/>
          </w:tcPr>
          <w:p>
            <w:r/>
            <w:r>
              <w:rPr>
                <w:rFonts w:ascii="Calibri" w:hAnsi="Calibri"/>
                <w:b/>
                <w:sz w:val="18"/>
              </w:rPr>
              <w:t>MW1</w:t>
            </w:r>
          </w:p>
        </w:tc>
        <w:tc>
          <w:tcPr>
            <w:tcW w:type="dxa" w:w="1440"/>
          </w:tcPr>
          <w:p>
            <w:r/>
            <w:r>
              <w:rPr>
                <w:rFonts w:ascii="Calibri" w:hAnsi="Calibri"/>
                <w:sz w:val="18"/>
              </w:rPr>
              <w:t>§4.1</w:t>
            </w:r>
          </w:p>
        </w:tc>
        <w:tc>
          <w:tcPr>
            <w:tcW w:type="dxa" w:w="1440"/>
          </w:tcPr>
          <w:p>
            <w:r/>
            <w:r>
              <w:rPr>
                <w:rFonts w:ascii="Calibri" w:hAnsi="Calibri"/>
                <w:sz w:val="18"/>
              </w:rPr>
              <w:t>Zorgplicht basisveiligheid aantoonbaar</w:t>
            </w:r>
          </w:p>
        </w:tc>
        <w:tc>
          <w:tcPr>
            <w:tcW w:type="dxa" w:w="1440"/>
          </w:tcPr>
          <w:p>
            <w:r/>
            <w:r>
              <w:rPr>
                <w:rFonts w:ascii="Calibri" w:hAnsi="Calibri"/>
                <w:sz w:val="18"/>
              </w:rPr>
              <w:t>⚠️</w:t>
            </w:r>
          </w:p>
        </w:tc>
        <w:tc>
          <w:tcPr>
            <w:tcW w:type="dxa" w:w="1440"/>
          </w:tcPr>
          <w:p>
            <w:r/>
            <w:r>
              <w:rPr>
                <w:rFonts w:ascii="Calibri" w:hAnsi="Calibri"/>
                <w:sz w:val="18"/>
              </w:rPr>
              <w:t>Basisveiligheid niet formeel gedocumenteerd; RI&amp;E deels aanwezig</w:t>
            </w:r>
          </w:p>
        </w:tc>
        <w:tc>
          <w:tcPr>
            <w:tcW w:type="dxa" w:w="1440"/>
          </w:tcPr>
          <w:p>
            <w:r/>
            <w:r>
              <w:rPr>
                <w:rFonts w:ascii="Calibri" w:hAnsi="Calibri"/>
                <w:sz w:val="18"/>
              </w:rPr>
              <w:t>HOOG</w:t>
            </w:r>
          </w:p>
        </w:tc>
      </w:tr>
      <w:tr>
        <w:tc>
          <w:tcPr>
            <w:tcW w:type="dxa" w:w="1440"/>
          </w:tcPr>
          <w:p>
            <w:r/>
            <w:r>
              <w:rPr>
                <w:rFonts w:ascii="Calibri" w:hAnsi="Calibri"/>
                <w:b/>
                <w:sz w:val="18"/>
              </w:rPr>
              <w:t>M2</w:t>
            </w:r>
          </w:p>
        </w:tc>
        <w:tc>
          <w:tcPr>
            <w:tcW w:type="dxa" w:w="1440"/>
          </w:tcPr>
          <w:p>
            <w:r/>
            <w:r>
              <w:rPr>
                <w:rFonts w:ascii="Calibri" w:hAnsi="Calibri"/>
                <w:sz w:val="18"/>
              </w:rPr>
              <w:t>§4.2</w:t>
            </w:r>
          </w:p>
        </w:tc>
        <w:tc>
          <w:tcPr>
            <w:tcW w:type="dxa" w:w="1440"/>
          </w:tcPr>
          <w:p>
            <w:r/>
            <w:r>
              <w:rPr>
                <w:rFonts w:ascii="Calibri" w:hAnsi="Calibri"/>
                <w:sz w:val="18"/>
              </w:rPr>
              <w:t>Opslag in daarvoor bestemde voorziening</w:t>
            </w:r>
          </w:p>
        </w:tc>
        <w:tc>
          <w:tcPr>
            <w:tcW w:type="dxa" w:w="1440"/>
          </w:tcPr>
          <w:p>
            <w:r/>
            <w:r>
              <w:rPr>
                <w:rFonts w:ascii="Calibri" w:hAnsi="Calibri"/>
                <w:sz w:val="18"/>
              </w:rPr>
              <w:t>⚠️</w:t>
            </w:r>
          </w:p>
        </w:tc>
        <w:tc>
          <w:tcPr>
            <w:tcW w:type="dxa" w:w="1440"/>
          </w:tcPr>
          <w:p>
            <w:r/>
            <w:r>
              <w:rPr>
                <w:rFonts w:ascii="Calibri" w:hAnsi="Calibri"/>
                <w:sz w:val="18"/>
              </w:rPr>
              <w:t>Rack in labgebied; formeel geen opslagruimte</w:t>
            </w:r>
          </w:p>
        </w:tc>
        <w:tc>
          <w:tcPr>
            <w:tcW w:type="dxa" w:w="1440"/>
          </w:tcPr>
          <w:p>
            <w:r/>
            <w:r>
              <w:rPr>
                <w:rFonts w:ascii="Calibri" w:hAnsi="Calibri"/>
                <w:sz w:val="18"/>
              </w:rPr>
              <w:t>HOOG</w:t>
            </w:r>
          </w:p>
        </w:tc>
      </w:tr>
      <w:tr>
        <w:tc>
          <w:tcPr>
            <w:tcW w:type="dxa" w:w="1440"/>
          </w:tcPr>
          <w:p>
            <w:r/>
            <w:r>
              <w:rPr>
                <w:rFonts w:ascii="Calibri" w:hAnsi="Calibri"/>
                <w:b/>
                <w:sz w:val="18"/>
              </w:rPr>
              <w:t>M3</w:t>
            </w:r>
          </w:p>
        </w:tc>
        <w:tc>
          <w:tcPr>
            <w:tcW w:type="dxa" w:w="1440"/>
          </w:tcPr>
          <w:p>
            <w:r/>
            <w:r>
              <w:rPr>
                <w:rFonts w:ascii="Calibri" w:hAnsi="Calibri"/>
                <w:sz w:val="18"/>
              </w:rPr>
              <w:t>§4.3</w:t>
            </w:r>
          </w:p>
        </w:tc>
        <w:tc>
          <w:tcPr>
            <w:tcW w:type="dxa" w:w="1440"/>
          </w:tcPr>
          <w:p>
            <w:r/>
            <w:r>
              <w:rPr>
                <w:rFonts w:ascii="Calibri" w:hAnsi="Calibri"/>
                <w:sz w:val="18"/>
              </w:rPr>
              <w:t>Risico-inventarisatie opslag</w:t>
            </w:r>
          </w:p>
        </w:tc>
        <w:tc>
          <w:tcPr>
            <w:tcW w:type="dxa" w:w="1440"/>
          </w:tcPr>
          <w:p>
            <w:r/>
            <w:r>
              <w:rPr>
                <w:rFonts w:ascii="Calibri" w:hAnsi="Calibri"/>
                <w:sz w:val="18"/>
              </w:rPr>
              <w:t>⚠️</w:t>
            </w:r>
          </w:p>
        </w:tc>
        <w:tc>
          <w:tcPr>
            <w:tcW w:type="dxa" w:w="1440"/>
          </w:tcPr>
          <w:p>
            <w:r/>
            <w:r>
              <w:rPr>
                <w:rFonts w:ascii="Calibri" w:hAnsi="Calibri"/>
                <w:sz w:val="18"/>
              </w:rPr>
              <w:t>Geen specifieke RI&amp;E voor gevaarlijke stoffenopslag</w:t>
            </w:r>
          </w:p>
        </w:tc>
        <w:tc>
          <w:tcPr>
            <w:tcW w:type="dxa" w:w="1440"/>
          </w:tcPr>
          <w:p>
            <w:r/>
            <w:r>
              <w:rPr>
                <w:rFonts w:ascii="Calibri" w:hAnsi="Calibri"/>
                <w:sz w:val="18"/>
              </w:rPr>
              <w:t>HOOG</w:t>
            </w:r>
          </w:p>
        </w:tc>
      </w:tr>
      <w:tr>
        <w:tc>
          <w:tcPr>
            <w:tcW w:type="dxa" w:w="1440"/>
          </w:tcPr>
          <w:p>
            <w:r/>
            <w:r>
              <w:rPr>
                <w:rFonts w:ascii="Calibri" w:hAnsi="Calibri"/>
                <w:b/>
                <w:sz w:val="18"/>
              </w:rPr>
              <w:t>M14</w:t>
            </w:r>
          </w:p>
        </w:tc>
        <w:tc>
          <w:tcPr>
            <w:tcW w:type="dxa" w:w="1440"/>
          </w:tcPr>
          <w:p>
            <w:r/>
            <w:r>
              <w:rPr>
                <w:rFonts w:ascii="Calibri" w:hAnsi="Calibri"/>
                <w:sz w:val="18"/>
              </w:rPr>
              <w:t>§5.4</w:t>
            </w:r>
          </w:p>
        </w:tc>
        <w:tc>
          <w:tcPr>
            <w:tcW w:type="dxa" w:w="1440"/>
          </w:tcPr>
          <w:p>
            <w:r/>
            <w:r>
              <w:rPr>
                <w:rFonts w:ascii="Calibri" w:hAnsi="Calibri"/>
                <w:sz w:val="18"/>
              </w:rPr>
              <w:t>Werkvoorraadregeling</w:t>
            </w:r>
          </w:p>
        </w:tc>
        <w:tc>
          <w:tcPr>
            <w:tcW w:type="dxa" w:w="1440"/>
          </w:tcPr>
          <w:p>
            <w:r/>
            <w:r>
              <w:rPr>
                <w:rFonts w:ascii="Calibri" w:hAnsi="Calibri"/>
                <w:sz w:val="18"/>
              </w:rPr>
              <w:t>⚠️</w:t>
            </w:r>
          </w:p>
        </w:tc>
        <w:tc>
          <w:tcPr>
            <w:tcW w:type="dxa" w:w="1440"/>
          </w:tcPr>
          <w:p>
            <w:r/>
            <w:r>
              <w:rPr>
                <w:rFonts w:ascii="Calibri" w:hAnsi="Calibri"/>
                <w:sz w:val="18"/>
              </w:rPr>
              <w:t>Geen maximum werkvoorraad gedefinieerd</w:t>
            </w:r>
          </w:p>
        </w:tc>
        <w:tc>
          <w:tcPr>
            <w:tcW w:type="dxa" w:w="1440"/>
          </w:tcPr>
          <w:p>
            <w:r/>
            <w:r>
              <w:rPr>
                <w:rFonts w:ascii="Calibri" w:hAnsi="Calibri"/>
                <w:sz w:val="18"/>
              </w:rPr>
              <w:t>MIDDEL</w:t>
            </w:r>
          </w:p>
        </w:tc>
      </w:tr>
      <w:tr>
        <w:tc>
          <w:tcPr>
            <w:tcW w:type="dxa" w:w="1440"/>
          </w:tcPr>
          <w:p>
            <w:r/>
            <w:r>
              <w:rPr>
                <w:rFonts w:ascii="Calibri" w:hAnsi="Calibri"/>
                <w:b/>
                <w:sz w:val="18"/>
              </w:rPr>
              <w:t>M15</w:t>
            </w:r>
          </w:p>
        </w:tc>
        <w:tc>
          <w:tcPr>
            <w:tcW w:type="dxa" w:w="1440"/>
          </w:tcPr>
          <w:p>
            <w:r/>
            <w:r>
              <w:rPr>
                <w:rFonts w:ascii="Calibri" w:hAnsi="Calibri"/>
                <w:sz w:val="18"/>
              </w:rPr>
              <w:t>§5.5</w:t>
            </w:r>
          </w:p>
        </w:tc>
        <w:tc>
          <w:tcPr>
            <w:tcW w:type="dxa" w:w="1440"/>
          </w:tcPr>
          <w:p>
            <w:r/>
            <w:r>
              <w:rPr>
                <w:rFonts w:ascii="Calibri" w:hAnsi="Calibri"/>
                <w:sz w:val="18"/>
              </w:rPr>
              <w:t>Max. opp. brandcompartiment</w:t>
            </w:r>
          </w:p>
        </w:tc>
        <w:tc>
          <w:tcPr>
            <w:tcW w:type="dxa" w:w="1440"/>
          </w:tcPr>
          <w:p>
            <w:r/>
            <w:r>
              <w:rPr>
                <w:rFonts w:ascii="Calibri" w:hAnsi="Calibri"/>
                <w:sz w:val="18"/>
              </w:rPr>
              <w:t>✅</w:t>
            </w:r>
          </w:p>
        </w:tc>
        <w:tc>
          <w:tcPr>
            <w:tcW w:type="dxa" w:w="1440"/>
          </w:tcPr>
          <w:p>
            <w:r/>
            <w:r>
              <w:rPr>
                <w:rFonts w:ascii="Calibri" w:hAnsi="Calibri"/>
                <w:sz w:val="18"/>
              </w:rPr>
              <w:t>Volume &lt;10.000 kg; oppervlak binnen norm</w:t>
            </w:r>
          </w:p>
        </w:tc>
        <w:tc>
          <w:tcPr>
            <w:tcW w:type="dxa" w:w="1440"/>
          </w:tcPr>
          <w:p>
            <w:r/>
            <w:r>
              <w:rPr>
                <w:rFonts w:ascii="Calibri" w:hAnsi="Calibri"/>
                <w:sz w:val="18"/>
              </w:rPr>
              <w:t>LAAG</w:t>
            </w:r>
          </w:p>
        </w:tc>
      </w:tr>
      <w:tr>
        <w:tc>
          <w:tcPr>
            <w:tcW w:type="dxa" w:w="1440"/>
          </w:tcPr>
          <w:p>
            <w:r/>
            <w:r>
              <w:rPr>
                <w:rFonts w:ascii="Calibri" w:hAnsi="Calibri"/>
                <w:b/>
                <w:sz w:val="18"/>
              </w:rPr>
              <w:t>M30</w:t>
            </w:r>
          </w:p>
        </w:tc>
        <w:tc>
          <w:tcPr>
            <w:tcW w:type="dxa" w:w="1440"/>
          </w:tcPr>
          <w:p>
            <w:r/>
            <w:r>
              <w:rPr>
                <w:rFonts w:ascii="Calibri" w:hAnsi="Calibri"/>
                <w:sz w:val="18"/>
              </w:rPr>
              <w:t>§6.1</w:t>
            </w:r>
          </w:p>
        </w:tc>
        <w:tc>
          <w:tcPr>
            <w:tcW w:type="dxa" w:w="1440"/>
          </w:tcPr>
          <w:p>
            <w:r/>
            <w:r>
              <w:rPr>
                <w:rFonts w:ascii="Calibri" w:hAnsi="Calibri"/>
                <w:sz w:val="18"/>
              </w:rPr>
              <w:t>Vloeistofopvang + ventilatie</w:t>
            </w:r>
          </w:p>
        </w:tc>
        <w:tc>
          <w:tcPr>
            <w:tcW w:type="dxa" w:w="1440"/>
          </w:tcPr>
          <w:p>
            <w:r/>
            <w:r>
              <w:rPr>
                <w:rFonts w:ascii="Calibri" w:hAnsi="Calibri"/>
                <w:sz w:val="18"/>
              </w:rPr>
              <w:t>❌</w:t>
            </w:r>
          </w:p>
        </w:tc>
        <w:tc>
          <w:tcPr>
            <w:tcW w:type="dxa" w:w="1440"/>
          </w:tcPr>
          <w:p>
            <w:r/>
            <w:r>
              <w:rPr>
                <w:rFonts w:ascii="Calibri" w:hAnsi="Calibri"/>
                <w:sz w:val="18"/>
              </w:rPr>
              <w:t>Geen lekbakken gedocumenteerd; ventilatie onbekend</w:t>
            </w:r>
          </w:p>
        </w:tc>
        <w:tc>
          <w:tcPr>
            <w:tcW w:type="dxa" w:w="1440"/>
          </w:tcPr>
          <w:p>
            <w:r/>
            <w:r>
              <w:rPr>
                <w:rFonts w:ascii="Calibri" w:hAnsi="Calibri"/>
                <w:sz w:val="18"/>
              </w:rPr>
              <w:t>HOOG</w:t>
            </w:r>
          </w:p>
        </w:tc>
      </w:tr>
      <w:tr>
        <w:tc>
          <w:tcPr>
            <w:tcW w:type="dxa" w:w="1440"/>
          </w:tcPr>
          <w:p>
            <w:r/>
            <w:r>
              <w:rPr>
                <w:rFonts w:ascii="Calibri" w:hAnsi="Calibri"/>
                <w:b/>
                <w:sz w:val="18"/>
              </w:rPr>
              <w:t>M35</w:t>
            </w:r>
          </w:p>
        </w:tc>
        <w:tc>
          <w:tcPr>
            <w:tcW w:type="dxa" w:w="1440"/>
          </w:tcPr>
          <w:p>
            <w:r/>
            <w:r>
              <w:rPr>
                <w:rFonts w:ascii="Calibri" w:hAnsi="Calibri"/>
                <w:sz w:val="18"/>
              </w:rPr>
              <w:t>§6.3 + Bijl. E</w:t>
            </w:r>
          </w:p>
        </w:tc>
        <w:tc>
          <w:tcPr>
            <w:tcW w:type="dxa" w:w="1440"/>
          </w:tcPr>
          <w:p>
            <w:r/>
            <w:r>
              <w:rPr>
                <w:rFonts w:ascii="Calibri" w:hAnsi="Calibri"/>
                <w:sz w:val="18"/>
              </w:rPr>
              <w:t>Stoffenscheiding conform Tabel 9</w:t>
            </w:r>
          </w:p>
        </w:tc>
        <w:tc>
          <w:tcPr>
            <w:tcW w:type="dxa" w:w="1440"/>
          </w:tcPr>
          <w:p>
            <w:r/>
            <w:r>
              <w:rPr>
                <w:rFonts w:ascii="Calibri" w:hAnsi="Calibri"/>
                <w:sz w:val="18"/>
              </w:rPr>
              <w:t>❌</w:t>
            </w:r>
          </w:p>
        </w:tc>
        <w:tc>
          <w:tcPr>
            <w:tcW w:type="dxa" w:w="1440"/>
          </w:tcPr>
          <w:p>
            <w:r/>
            <w:r>
              <w:rPr>
                <w:rFonts w:ascii="Calibri" w:hAnsi="Calibri"/>
                <w:sz w:val="18"/>
              </w:rPr>
              <w:t>NaOH en H₂SO₄ inzelfde rack; A-scheiding vereist</w:t>
            </w:r>
          </w:p>
        </w:tc>
        <w:tc>
          <w:tcPr>
            <w:tcW w:type="dxa" w:w="1440"/>
          </w:tcPr>
          <w:p>
            <w:r/>
            <w:r>
              <w:rPr>
                <w:rFonts w:ascii="Calibri" w:hAnsi="Calibri"/>
                <w:sz w:val="18"/>
              </w:rPr>
              <w:t>Kritiek</w:t>
            </w:r>
          </w:p>
        </w:tc>
      </w:tr>
      <w:tr>
        <w:tc>
          <w:tcPr>
            <w:tcW w:type="dxa" w:w="1440"/>
          </w:tcPr>
          <w:p>
            <w:r/>
            <w:r>
              <w:rPr>
                <w:rFonts w:ascii="Calibri" w:hAnsi="Calibri"/>
                <w:b/>
                <w:sz w:val="18"/>
              </w:rPr>
              <w:t>M36</w:t>
            </w:r>
          </w:p>
        </w:tc>
        <w:tc>
          <w:tcPr>
            <w:tcW w:type="dxa" w:w="1440"/>
          </w:tcPr>
          <w:p>
            <w:r/>
            <w:r>
              <w:rPr>
                <w:rFonts w:ascii="Calibri" w:hAnsi="Calibri"/>
                <w:sz w:val="18"/>
              </w:rPr>
              <w:t>§6.4</w:t>
            </w:r>
          </w:p>
        </w:tc>
        <w:tc>
          <w:tcPr>
            <w:tcW w:type="dxa" w:w="1440"/>
          </w:tcPr>
          <w:p>
            <w:r/>
            <w:r>
              <w:rPr>
                <w:rFonts w:ascii="Calibri" w:hAnsi="Calibri"/>
                <w:sz w:val="18"/>
              </w:rPr>
              <w:t>Verpakkingsintegriteit</w:t>
            </w:r>
          </w:p>
        </w:tc>
        <w:tc>
          <w:tcPr>
            <w:tcW w:type="dxa" w:w="1440"/>
          </w:tcPr>
          <w:p>
            <w:r/>
            <w:r>
              <w:rPr>
                <w:rFonts w:ascii="Calibri" w:hAnsi="Calibri"/>
                <w:sz w:val="18"/>
              </w:rPr>
              <w:t>⚠️</w:t>
            </w:r>
          </w:p>
        </w:tc>
        <w:tc>
          <w:tcPr>
            <w:tcW w:type="dxa" w:w="1440"/>
          </w:tcPr>
          <w:p>
            <w:r/>
            <w:r>
              <w:rPr>
                <w:rFonts w:ascii="Calibri" w:hAnsi="Calibri"/>
                <w:sz w:val="18"/>
              </w:rPr>
              <w:t>Jerrycans visueel OK; geen formeel inspectieregime</w:t>
            </w:r>
          </w:p>
        </w:tc>
        <w:tc>
          <w:tcPr>
            <w:tcW w:type="dxa" w:w="1440"/>
          </w:tcPr>
          <w:p>
            <w:r/>
            <w:r>
              <w:rPr>
                <w:rFonts w:ascii="Calibri" w:hAnsi="Calibri"/>
                <w:sz w:val="18"/>
              </w:rPr>
              <w:t>MIDDEL</w:t>
            </w:r>
          </w:p>
        </w:tc>
      </w:tr>
      <w:tr>
        <w:tc>
          <w:tcPr>
            <w:tcW w:type="dxa" w:w="1440"/>
          </w:tcPr>
          <w:p>
            <w:r/>
            <w:r>
              <w:rPr>
                <w:rFonts w:ascii="Calibri" w:hAnsi="Calibri"/>
                <w:b/>
                <w:sz w:val="18"/>
              </w:rPr>
              <w:t>M45</w:t>
            </w:r>
          </w:p>
        </w:tc>
        <w:tc>
          <w:tcPr>
            <w:tcW w:type="dxa" w:w="1440"/>
          </w:tcPr>
          <w:p>
            <w:r/>
            <w:r>
              <w:rPr>
                <w:rFonts w:ascii="Calibri" w:hAnsi="Calibri"/>
                <w:sz w:val="18"/>
              </w:rPr>
              <w:t>§7.1</w:t>
            </w:r>
          </w:p>
        </w:tc>
        <w:tc>
          <w:tcPr>
            <w:tcW w:type="dxa" w:w="1440"/>
          </w:tcPr>
          <w:p>
            <w:r/>
            <w:r>
              <w:rPr>
                <w:rFonts w:ascii="Calibri" w:hAnsi="Calibri"/>
                <w:sz w:val="18"/>
              </w:rPr>
              <w:t>Etikettering + signalering</w:t>
            </w:r>
          </w:p>
        </w:tc>
        <w:tc>
          <w:tcPr>
            <w:tcW w:type="dxa" w:w="1440"/>
          </w:tcPr>
          <w:p>
            <w:r/>
            <w:r>
              <w:rPr>
                <w:rFonts w:ascii="Calibri" w:hAnsi="Calibri"/>
                <w:sz w:val="18"/>
              </w:rPr>
              <w:t>⚠️</w:t>
            </w:r>
          </w:p>
        </w:tc>
        <w:tc>
          <w:tcPr>
            <w:tcW w:type="dxa" w:w="1440"/>
          </w:tcPr>
          <w:p>
            <w:r/>
            <w:r>
              <w:rPr>
                <w:rFonts w:ascii="Calibri" w:hAnsi="Calibri"/>
                <w:sz w:val="18"/>
              </w:rPr>
              <w:t>Etiketten aanwezig; geen vloermarkering of GHS-borden</w:t>
            </w:r>
          </w:p>
        </w:tc>
        <w:tc>
          <w:tcPr>
            <w:tcW w:type="dxa" w:w="1440"/>
          </w:tcPr>
          <w:p>
            <w:r/>
            <w:r>
              <w:rPr>
                <w:rFonts w:ascii="Calibri" w:hAnsi="Calibri"/>
                <w:sz w:val="18"/>
              </w:rPr>
              <w:t>MIDDEL</w:t>
            </w:r>
          </w:p>
        </w:tc>
      </w:tr>
      <w:tr>
        <w:tc>
          <w:tcPr>
            <w:tcW w:type="dxa" w:w="1440"/>
          </w:tcPr>
          <w:p>
            <w:r/>
            <w:r>
              <w:rPr>
                <w:rFonts w:ascii="Calibri" w:hAnsi="Calibri"/>
                <w:b/>
                <w:sz w:val="18"/>
              </w:rPr>
              <w:t>M77</w:t>
            </w:r>
          </w:p>
        </w:tc>
        <w:tc>
          <w:tcPr>
            <w:tcW w:type="dxa" w:w="1440"/>
          </w:tcPr>
          <w:p>
            <w:r/>
            <w:r>
              <w:rPr>
                <w:rFonts w:ascii="Calibri" w:hAnsi="Calibri"/>
                <w:sz w:val="18"/>
              </w:rPr>
              <w:t>§8.2</w:t>
            </w:r>
          </w:p>
        </w:tc>
        <w:tc>
          <w:tcPr>
            <w:tcW w:type="dxa" w:w="1440"/>
          </w:tcPr>
          <w:p>
            <w:r/>
            <w:r>
              <w:rPr>
                <w:rFonts w:ascii="Calibri" w:hAnsi="Calibri"/>
                <w:sz w:val="18"/>
              </w:rPr>
              <w:t>Fysieke bescherming (botsbeveiliging)</w:t>
            </w:r>
          </w:p>
        </w:tc>
        <w:tc>
          <w:tcPr>
            <w:tcW w:type="dxa" w:w="1440"/>
          </w:tcPr>
          <w:p>
            <w:r/>
            <w:r>
              <w:rPr>
                <w:rFonts w:ascii="Calibri" w:hAnsi="Calibri"/>
                <w:sz w:val="18"/>
              </w:rPr>
              <w:t>⚠️</w:t>
            </w:r>
          </w:p>
        </w:tc>
        <w:tc>
          <w:tcPr>
            <w:tcW w:type="dxa" w:w="1440"/>
          </w:tcPr>
          <w:p>
            <w:r/>
            <w:r>
              <w:rPr>
                <w:rFonts w:ascii="Calibri" w:hAnsi="Calibri"/>
                <w:sz w:val="18"/>
              </w:rPr>
              <w:t>Geen stootbeveiliging rond rack aanwezig</w:t>
            </w:r>
          </w:p>
        </w:tc>
        <w:tc>
          <w:tcPr>
            <w:tcW w:type="dxa" w:w="1440"/>
          </w:tcPr>
          <w:p>
            <w:r/>
            <w:r>
              <w:rPr>
                <w:rFonts w:ascii="Calibri" w:hAnsi="Calibri"/>
                <w:sz w:val="18"/>
              </w:rPr>
              <w:t>MIDDEL</w:t>
            </w:r>
          </w:p>
        </w:tc>
      </w:tr>
      <w:tr>
        <w:tc>
          <w:tcPr>
            <w:tcW w:type="dxa" w:w="1440"/>
          </w:tcPr>
          <w:p>
            <w:r/>
            <w:r>
              <w:rPr>
                <w:rFonts w:ascii="Calibri" w:hAnsi="Calibri"/>
                <w:b/>
                <w:sz w:val="18"/>
              </w:rPr>
              <w:t>M85</w:t>
            </w:r>
          </w:p>
        </w:tc>
        <w:tc>
          <w:tcPr>
            <w:tcW w:type="dxa" w:w="1440"/>
          </w:tcPr>
          <w:p>
            <w:r/>
            <w:r>
              <w:rPr>
                <w:rFonts w:ascii="Calibri" w:hAnsi="Calibri"/>
                <w:sz w:val="18"/>
              </w:rPr>
              <w:t>§9.1</w:t>
            </w:r>
          </w:p>
        </w:tc>
        <w:tc>
          <w:tcPr>
            <w:tcW w:type="dxa" w:w="1440"/>
          </w:tcPr>
          <w:p>
            <w:r/>
            <w:r>
              <w:rPr>
                <w:rFonts w:ascii="Calibri" w:hAnsi="Calibri"/>
                <w:sz w:val="18"/>
              </w:rPr>
              <w:t>Deskundigheid + SDS beschikbaarheid</w:t>
            </w:r>
          </w:p>
        </w:tc>
        <w:tc>
          <w:tcPr>
            <w:tcW w:type="dxa" w:w="1440"/>
          </w:tcPr>
          <w:p>
            <w:r/>
            <w:r>
              <w:rPr>
                <w:rFonts w:ascii="Calibri" w:hAnsi="Calibri"/>
                <w:sz w:val="18"/>
              </w:rPr>
              <w:t>⚠️</w:t>
            </w:r>
          </w:p>
        </w:tc>
        <w:tc>
          <w:tcPr>
            <w:tcW w:type="dxa" w:w="1440"/>
          </w:tcPr>
          <w:p>
            <w:r/>
            <w:r>
              <w:rPr>
                <w:rFonts w:ascii="Calibri" w:hAnsi="Calibri"/>
                <w:sz w:val="18"/>
              </w:rPr>
              <w:t>SDS-niet gestructureerd raadpleegbaar; geen opleidingsplan</w:t>
            </w:r>
          </w:p>
        </w:tc>
        <w:tc>
          <w:tcPr>
            <w:tcW w:type="dxa" w:w="1440"/>
          </w:tcPr>
          <w:p>
            <w:r/>
            <w:r>
              <w:rPr>
                <w:rFonts w:ascii="Calibri" w:hAnsi="Calibri"/>
                <w:sz w:val="18"/>
              </w:rPr>
              <w:t>HOOG</w:t>
            </w:r>
          </w:p>
        </w:tc>
      </w:tr>
      <w:tr>
        <w:tc>
          <w:tcPr>
            <w:tcW w:type="dxa" w:w="1440"/>
          </w:tcPr>
          <w:p>
            <w:r/>
            <w:r>
              <w:rPr>
                <w:rFonts w:ascii="Calibri" w:hAnsi="Calibri"/>
                <w:b/>
                <w:sz w:val="18"/>
              </w:rPr>
              <w:t>M109</w:t>
            </w:r>
          </w:p>
        </w:tc>
        <w:tc>
          <w:tcPr>
            <w:tcW w:type="dxa" w:w="1440"/>
          </w:tcPr>
          <w:p>
            <w:r/>
            <w:r>
              <w:rPr>
                <w:rFonts w:ascii="Calibri" w:hAnsi="Calibri"/>
                <w:sz w:val="18"/>
              </w:rPr>
              <w:t>§10.3</w:t>
            </w:r>
          </w:p>
        </w:tc>
        <w:tc>
          <w:tcPr>
            <w:tcW w:type="dxa" w:w="1440"/>
          </w:tcPr>
          <w:p>
            <w:r/>
            <w:r>
              <w:rPr>
                <w:rFonts w:ascii="Calibri" w:hAnsi="Calibri"/>
                <w:sz w:val="18"/>
              </w:rPr>
              <w:t>Toegankelijkheid hulpdiensten</w:t>
            </w:r>
          </w:p>
        </w:tc>
        <w:tc>
          <w:tcPr>
            <w:tcW w:type="dxa" w:w="1440"/>
          </w:tcPr>
          <w:p>
            <w:r/>
            <w:r>
              <w:rPr>
                <w:rFonts w:ascii="Calibri" w:hAnsi="Calibri"/>
                <w:sz w:val="18"/>
              </w:rPr>
              <w:t>⚠️</w:t>
            </w:r>
          </w:p>
        </w:tc>
        <w:tc>
          <w:tcPr>
            <w:tcW w:type="dxa" w:w="1440"/>
          </w:tcPr>
          <w:p>
            <w:r/>
            <w:r>
              <w:rPr>
                <w:rFonts w:ascii="Calibri" w:hAnsi="Calibri"/>
                <w:sz w:val="18"/>
              </w:rPr>
              <w:t>Bereikbaarheid onvoldoende getoetst</w:t>
            </w:r>
          </w:p>
        </w:tc>
        <w:tc>
          <w:tcPr>
            <w:tcW w:type="dxa" w:w="1440"/>
          </w:tcPr>
          <w:p>
            <w:r/>
            <w:r>
              <w:rPr>
                <w:rFonts w:ascii="Calibri" w:hAnsi="Calibri"/>
                <w:sz w:val="18"/>
              </w:rPr>
              <w:t>MIDDEL</w:t>
            </w:r>
          </w:p>
        </w:tc>
      </w:tr>
    </w:tbl>
    <w:p/>
    <w:p>
      <w:pPr>
        <w:pStyle w:val="Heading1"/>
      </w:pPr>
      <w:r>
        <w:t>7 Brandpreventie Analyse</w:t>
      </w:r>
    </w:p>
    <w:p>
      <w:pPr>
        <w:pStyle w:val="Heading2"/>
      </w:pPr>
      <w:r>
        <w:t>7.1 Doelen D8–D12</w:t>
      </w:r>
    </w:p>
    <w:p>
      <w:r>
        <w:t>PGS 15:2025 definieert vijf preventiedoelen (D8–D12) die per veiligheidsniveau activeren: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
              <w:rPr>
                <w:rFonts w:ascii="Calibri" w:hAnsi="Calibri"/>
                <w:b/>
                <w:color w:val="FFFFFF"/>
                <w:sz w:val="20"/>
              </w:rPr>
              <w:t>Doel</w:t>
            </w:r>
          </w:p>
        </w:tc>
        <w:tc>
          <w:tcPr>
            <w:tcW w:type="dxa" w:w="1728"/>
            <w:shd w:fill="003366"/>
          </w:tcPr>
          <w:p>
            <w:pPr>
              <w:jc w:val="center"/>
            </w:pPr>
            <w:r/>
            <w:r>
              <w:rPr>
                <w:rFonts w:ascii="Calibri" w:hAnsi="Calibri"/>
                <w:b/>
                <w:color w:val="FFFFFF"/>
                <w:sz w:val="20"/>
              </w:rPr>
              <w:t>Omschrijving</w:t>
            </w:r>
          </w:p>
        </w:tc>
        <w:tc>
          <w:tcPr>
            <w:tcW w:type="dxa" w:w="1728"/>
            <w:shd w:fill="003366"/>
          </w:tcPr>
          <w:p>
            <w:pPr>
              <w:jc w:val="center"/>
            </w:pPr>
            <w:r/>
            <w:r>
              <w:rPr>
                <w:rFonts w:ascii="Calibri" w:hAnsi="Calibri"/>
                <w:b/>
                <w:color w:val="FFFFFF"/>
                <w:sz w:val="20"/>
              </w:rPr>
              <w:t>Niveau</w:t>
            </w:r>
          </w:p>
        </w:tc>
        <w:tc>
          <w:tcPr>
            <w:tcW w:type="dxa" w:w="1728"/>
            <w:shd w:fill="003366"/>
          </w:tcPr>
          <w:p>
            <w:pPr>
              <w:jc w:val="center"/>
            </w:pPr>
            <w:r/>
            <w:r>
              <w:rPr>
                <w:rFonts w:ascii="Calibri" w:hAnsi="Calibri"/>
                <w:b/>
                <w:color w:val="FFFFFF"/>
                <w:sz w:val="20"/>
              </w:rPr>
              <w:t>Trigger</w:t>
            </w:r>
          </w:p>
        </w:tc>
        <w:tc>
          <w:tcPr>
            <w:tcW w:type="dxa" w:w="1728"/>
            <w:shd w:fill="003366"/>
          </w:tcPr>
          <w:p>
            <w:pPr>
              <w:jc w:val="center"/>
            </w:pPr>
            <w:r/>
            <w:r>
              <w:rPr>
                <w:rFonts w:ascii="Calibri" w:hAnsi="Calibri"/>
                <w:b/>
                <w:color w:val="FFFFFF"/>
                <w:sz w:val="20"/>
              </w:rPr>
              <w:t>Toelichting Phoenix Metals</w:t>
            </w:r>
          </w:p>
        </w:tc>
      </w:tr>
      <w:tr>
        <w:tc>
          <w:tcPr>
            <w:tcW w:type="dxa" w:w="1728"/>
          </w:tcPr>
          <w:p>
            <w:r/>
            <w:r>
              <w:rPr>
                <w:rFonts w:ascii="Calibri" w:hAnsi="Calibri"/>
                <w:sz w:val="18"/>
              </w:rPr>
              <w:t>D8</w:t>
            </w:r>
          </w:p>
        </w:tc>
        <w:tc>
          <w:tcPr>
            <w:tcW w:type="dxa" w:w="1728"/>
          </w:tcPr>
          <w:p>
            <w:r/>
            <w:r>
              <w:rPr>
                <w:rFonts w:ascii="Calibri" w:hAnsi="Calibri"/>
                <w:sz w:val="18"/>
              </w:rPr>
              <w:t>Voorkomen ontstaan brand</w:t>
            </w:r>
          </w:p>
        </w:tc>
        <w:tc>
          <w:tcPr>
            <w:tcW w:type="dxa" w:w="1728"/>
          </w:tcPr>
          <w:p>
            <w:r/>
            <w:r>
              <w:rPr>
                <w:rFonts w:ascii="Calibri" w:hAnsi="Calibri"/>
                <w:sz w:val="18"/>
              </w:rPr>
              <w:t>Basis</w:t>
            </w:r>
          </w:p>
        </w:tc>
        <w:tc>
          <w:tcPr>
            <w:tcW w:type="dxa" w:w="1728"/>
          </w:tcPr>
          <w:p>
            <w:r/>
            <w:r>
              <w:rPr>
                <w:rFonts w:ascii="Calibri" w:hAnsi="Calibri"/>
                <w:sz w:val="18"/>
              </w:rPr>
              <w:t>Altijd</w:t>
            </w:r>
          </w:p>
        </w:tc>
        <w:tc>
          <w:tcPr>
            <w:tcW w:type="dxa" w:w="1728"/>
          </w:tcPr>
          <w:p>
            <w:r/>
            <w:r>
              <w:rPr>
                <w:rFonts w:ascii="Calibri" w:hAnsi="Calibri"/>
                <w:sz w:val="18"/>
              </w:rPr>
              <w:t>Bbl-eis volstaat voor onbrandbare ADR 8-stoffen</w:t>
            </w:r>
          </w:p>
        </w:tc>
      </w:tr>
      <w:tr>
        <w:tc>
          <w:tcPr>
            <w:tcW w:type="dxa" w:w="1728"/>
          </w:tcPr>
          <w:p>
            <w:r/>
            <w:r>
              <w:rPr>
                <w:rFonts w:ascii="Calibri" w:hAnsi="Calibri"/>
                <w:sz w:val="18"/>
              </w:rPr>
              <w:t>D9</w:t>
            </w:r>
          </w:p>
        </w:tc>
        <w:tc>
          <w:tcPr>
            <w:tcW w:type="dxa" w:w="1728"/>
          </w:tcPr>
          <w:p>
            <w:r/>
            <w:r>
              <w:rPr>
                <w:rFonts w:ascii="Calibri" w:hAnsi="Calibri"/>
                <w:sz w:val="18"/>
              </w:rPr>
              <w:t>Beperken branduitbreiding (intern)</w:t>
            </w:r>
          </w:p>
        </w:tc>
        <w:tc>
          <w:tcPr>
            <w:tcW w:type="dxa" w:w="1728"/>
          </w:tcPr>
          <w:p>
            <w:r/>
            <w:r>
              <w:rPr>
                <w:rFonts w:ascii="Calibri" w:hAnsi="Calibri"/>
                <w:sz w:val="18"/>
              </w:rPr>
              <w:t>Basis</w:t>
            </w:r>
          </w:p>
        </w:tc>
        <w:tc>
          <w:tcPr>
            <w:tcW w:type="dxa" w:w="1728"/>
          </w:tcPr>
          <w:p>
            <w:r/>
            <w:r>
              <w:rPr>
                <w:rFonts w:ascii="Calibri" w:hAnsi="Calibri"/>
                <w:sz w:val="18"/>
              </w:rPr>
              <w:t>Altijd</w:t>
            </w:r>
          </w:p>
        </w:tc>
        <w:tc>
          <w:tcPr>
            <w:tcW w:type="dxa" w:w="1728"/>
          </w:tcPr>
          <w:p>
            <w:r/>
            <w:r>
              <w:rPr>
                <w:rFonts w:ascii="Calibri" w:hAnsi="Calibri"/>
                <w:sz w:val="18"/>
              </w:rPr>
              <w:t>Brandcompartimentering conform Bouwbesluit</w:t>
            </w:r>
          </w:p>
        </w:tc>
      </w:tr>
      <w:tr>
        <w:tc>
          <w:tcPr>
            <w:tcW w:type="dxa" w:w="1728"/>
          </w:tcPr>
          <w:p>
            <w:r/>
            <w:r>
              <w:rPr>
                <w:rFonts w:ascii="Calibri" w:hAnsi="Calibri"/>
                <w:sz w:val="18"/>
              </w:rPr>
              <w:t>D10</w:t>
            </w:r>
          </w:p>
        </w:tc>
        <w:tc>
          <w:tcPr>
            <w:tcW w:type="dxa" w:w="1728"/>
          </w:tcPr>
          <w:p>
            <w:r/>
            <w:r>
              <w:rPr>
                <w:rFonts w:ascii="Calibri" w:hAnsi="Calibri"/>
                <w:sz w:val="18"/>
              </w:rPr>
              <w:t>Beperken branduitbreiding (extern)</w:t>
            </w:r>
          </w:p>
        </w:tc>
        <w:tc>
          <w:tcPr>
            <w:tcW w:type="dxa" w:w="1728"/>
          </w:tcPr>
          <w:p>
            <w:r/>
            <w:r>
              <w:rPr>
                <w:rFonts w:ascii="Calibri" w:hAnsi="Calibri"/>
                <w:sz w:val="18"/>
              </w:rPr>
              <w:t>VN-B</w:t>
            </w:r>
          </w:p>
        </w:tc>
        <w:tc>
          <w:tcPr>
            <w:tcW w:type="dxa" w:w="1728"/>
          </w:tcPr>
          <w:p>
            <w:r/>
            <w:r>
              <w:rPr>
                <w:rFonts w:ascii="Calibri" w:hAnsi="Calibri"/>
                <w:sz w:val="18"/>
              </w:rPr>
              <w:t>≥10.000 kg</w:t>
            </w:r>
          </w:p>
        </w:tc>
        <w:tc>
          <w:tcPr>
            <w:tcW w:type="dxa" w:w="1728"/>
          </w:tcPr>
          <w:p>
            <w:r/>
            <w:r>
              <w:rPr>
                <w:rFonts w:ascii="Calibri" w:hAnsi="Calibri"/>
                <w:sz w:val="18"/>
              </w:rPr>
              <w:t>Wbdbo 60 min bij drempelwaarde</w:t>
            </w:r>
          </w:p>
        </w:tc>
      </w:tr>
      <w:tr>
        <w:tc>
          <w:tcPr>
            <w:tcW w:type="dxa" w:w="1728"/>
          </w:tcPr>
          <w:p>
            <w:r/>
            <w:r>
              <w:rPr>
                <w:rFonts w:ascii="Calibri" w:hAnsi="Calibri"/>
                <w:sz w:val="18"/>
              </w:rPr>
              <w:t>D11</w:t>
            </w:r>
          </w:p>
        </w:tc>
        <w:tc>
          <w:tcPr>
            <w:tcW w:type="dxa" w:w="1728"/>
          </w:tcPr>
          <w:p>
            <w:r/>
            <w:r>
              <w:rPr>
                <w:rFonts w:ascii="Calibri" w:hAnsi="Calibri"/>
                <w:sz w:val="18"/>
              </w:rPr>
              <w:t>Beschermen fatale slachtoffers</w:t>
            </w:r>
          </w:p>
        </w:tc>
        <w:tc>
          <w:tcPr>
            <w:tcW w:type="dxa" w:w="1728"/>
          </w:tcPr>
          <w:p>
            <w:r/>
            <w:r>
              <w:rPr>
                <w:rFonts w:ascii="Calibri" w:hAnsi="Calibri"/>
                <w:sz w:val="18"/>
              </w:rPr>
              <w:t>VN-B</w:t>
            </w:r>
          </w:p>
        </w:tc>
        <w:tc>
          <w:tcPr>
            <w:tcW w:type="dxa" w:w="1728"/>
          </w:tcPr>
          <w:p>
            <w:r/>
            <w:r>
              <w:rPr>
                <w:rFonts w:ascii="Calibri" w:hAnsi="Calibri"/>
                <w:sz w:val="18"/>
              </w:rPr>
              <w:t>≥10.000 kg</w:t>
            </w:r>
          </w:p>
        </w:tc>
        <w:tc>
          <w:tcPr>
            <w:tcW w:type="dxa" w:w="1728"/>
          </w:tcPr>
          <w:p>
            <w:r/>
            <w:r>
              <w:rPr>
                <w:rFonts w:ascii="Calibri" w:hAnsi="Calibri"/>
                <w:sz w:val="18"/>
              </w:rPr>
              <w:t>Externe veiligheidsafstanden Bkl</w:t>
            </w:r>
          </w:p>
        </w:tc>
      </w:tr>
      <w:tr>
        <w:tc>
          <w:tcPr>
            <w:tcW w:type="dxa" w:w="1728"/>
          </w:tcPr>
          <w:p>
            <w:r/>
            <w:r>
              <w:rPr>
                <w:rFonts w:ascii="Calibri" w:hAnsi="Calibri"/>
                <w:sz w:val="18"/>
              </w:rPr>
              <w:t>D12</w:t>
            </w:r>
          </w:p>
        </w:tc>
        <w:tc>
          <w:tcPr>
            <w:tcW w:type="dxa" w:w="1728"/>
          </w:tcPr>
          <w:p>
            <w:r/>
            <w:r>
              <w:rPr>
                <w:rFonts w:ascii="Calibri" w:hAnsi="Calibri"/>
                <w:sz w:val="18"/>
              </w:rPr>
              <w:t>Semi-automatische blussing</w:t>
            </w:r>
          </w:p>
        </w:tc>
        <w:tc>
          <w:tcPr>
            <w:tcW w:type="dxa" w:w="1728"/>
          </w:tcPr>
          <w:p>
            <w:r/>
            <w:r>
              <w:rPr>
                <w:rFonts w:ascii="Calibri" w:hAnsi="Calibri"/>
                <w:sz w:val="18"/>
              </w:rPr>
              <w:t>VN-A</w:t>
            </w:r>
          </w:p>
        </w:tc>
        <w:tc>
          <w:tcPr>
            <w:tcW w:type="dxa" w:w="1728"/>
          </w:tcPr>
          <w:p>
            <w:r/>
            <w:r>
              <w:rPr>
                <w:rFonts w:ascii="Calibri" w:hAnsi="Calibri"/>
                <w:sz w:val="18"/>
              </w:rPr>
              <w:t>≥20.000 kg</w:t>
            </w:r>
          </w:p>
        </w:tc>
        <w:tc>
          <w:tcPr>
            <w:tcW w:type="dxa" w:w="1728"/>
          </w:tcPr>
          <w:p>
            <w:r/>
            <w:r>
              <w:rPr>
                <w:rFonts w:ascii="Calibri" w:hAnsi="Calibri"/>
                <w:sz w:val="18"/>
              </w:rPr>
              <w:t>VBB-installatie + PAC-doormelding</w:t>
            </w:r>
          </w:p>
        </w:tc>
      </w:tr>
    </w:tbl>
    <w:p/>
    <w:p>
      <w:pPr>
        <w:pStyle w:val="Heading2"/>
      </w:pPr>
      <w:r>
        <w:t>7.2 Wettelijke brandcompartimentering (Wbdbo)</w:t>
      </w:r>
    </w:p>
    <w:p>
      <w:r>
        <w:t>Voor de huidige opslag (~390 kg ADR 8, onbrandbaar) geldt het basisveiligheidsniveau. De Wbdbo-eis (Weerstand tegen branddoorbraak) wordt hier volledig gedekt door het Bouwbesluit (Bbl). De huidige situatie (één brandcompartiment) voldoet, mits de functie "opslag" in het Bouwbesluit is toegestaan. Dit is een punt van aandacht: het rack staat momenteel in een labgebied, niet in een formele opslagruimte.</w:t>
      </w:r>
    </w:p>
    <w:p>
      <w:pPr>
        <w:pStyle w:val="Heading2"/>
      </w:pPr>
      <w:r>
        <w:t>7.3 Blusmiddelen en bereikbaarheid</w:t>
      </w:r>
    </w:p>
    <w:p>
      <w:r>
        <w:t>Basisniveau vereist geen automatisch blussysteem. Handblusmiddelen (poeder/CO₂) dienen conform NEN-EN 3 aanwezig te zijn. De bereikbaarheid voor hulpdiensten (M109) moet worden getoetst: minimum deurbreedte ≥0,9 m, vrije toegangswegen, en duidelijke adressering/wegwijzing conform RI&amp;E-brandveiligheid.</w:t>
      </w:r>
    </w:p>
    <w:p>
      <w:pPr>
        <w:pStyle w:val="Heading1"/>
      </w:pPr>
      <w:r>
        <w:t>8 Schaalfasen</w:t>
      </w:r>
    </w:p>
    <w:p>
      <w:r>
        <w:t>Onderstaand overzicht toont de drie schaalfasen voor ADR 8 VG II/III opslag bij Phoenix Metals, inclusief vereisten en indicatieve investeringen.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tcPr>
          <w:p>
            <w:pPr>
              <w:jc w:val="center"/>
            </w:pPr>
            <w:r/>
            <w:r>
              <w:rPr>
                <w:rFonts w:ascii="Calibri" w:hAnsi="Calibri"/>
                <w:b/>
                <w:color w:val="FFFFFF"/>
                <w:sz w:val="20"/>
              </w:rPr>
              <w:t>Fase</w:t>
            </w:r>
          </w:p>
        </w:tc>
        <w:tc>
          <w:tcPr>
            <w:tcW w:type="dxa" w:w="1440"/>
            <w:shd w:fill="003366"/>
          </w:tcPr>
          <w:p>
            <w:pPr>
              <w:jc w:val="center"/>
            </w:pPr>
            <w:r/>
            <w:r>
              <w:rPr>
                <w:rFonts w:ascii="Calibri" w:hAnsi="Calibri"/>
                <w:b/>
                <w:color w:val="FFFFFF"/>
                <w:sz w:val="20"/>
              </w:rPr>
              <w:t>Volume</w:t>
            </w:r>
          </w:p>
        </w:tc>
        <w:tc>
          <w:tcPr>
            <w:tcW w:type="dxa" w:w="1440"/>
            <w:shd w:fill="003366"/>
          </w:tcPr>
          <w:p>
            <w:pPr>
              <w:jc w:val="center"/>
            </w:pPr>
            <w:r/>
            <w:r>
              <w:rPr>
                <w:rFonts w:ascii="Calibri" w:hAnsi="Calibri"/>
                <w:b/>
                <w:color w:val="FFFFFF"/>
                <w:sz w:val="20"/>
              </w:rPr>
              <w:t>Niveau</w:t>
            </w:r>
          </w:p>
        </w:tc>
        <w:tc>
          <w:tcPr>
            <w:tcW w:type="dxa" w:w="1440"/>
            <w:shd w:fill="003366"/>
          </w:tcPr>
          <w:p>
            <w:pPr>
              <w:jc w:val="center"/>
            </w:pPr>
            <w:r/>
            <w:r>
              <w:rPr>
                <w:rFonts w:ascii="Calibri" w:hAnsi="Calibri"/>
                <w:b/>
                <w:color w:val="FFFFFF"/>
                <w:sz w:val="20"/>
              </w:rPr>
              <w:t>Kernvereisten</w:t>
            </w:r>
          </w:p>
        </w:tc>
        <w:tc>
          <w:tcPr>
            <w:tcW w:type="dxa" w:w="1440"/>
            <w:shd w:fill="003366"/>
          </w:tcPr>
          <w:p>
            <w:pPr>
              <w:jc w:val="center"/>
            </w:pPr>
            <w:r/>
            <w:r>
              <w:rPr>
                <w:rFonts w:ascii="Calibri" w:hAnsi="Calibri"/>
                <w:b/>
                <w:color w:val="FFFFFF"/>
                <w:sz w:val="20"/>
              </w:rPr>
              <w:t>Investeringsrange</w:t>
            </w:r>
          </w:p>
        </w:tc>
        <w:tc>
          <w:tcPr>
            <w:tcW w:type="dxa" w:w="1440"/>
            <w:shd w:fill="003366"/>
          </w:tcPr>
          <w:p>
            <w:pPr>
              <w:jc w:val="center"/>
            </w:pPr>
            <w:r/>
            <w:r>
              <w:rPr>
                <w:rFonts w:ascii="Calibri" w:hAnsi="Calibri"/>
                <w:b/>
                <w:color w:val="FFFFFF"/>
                <w:sz w:val="20"/>
              </w:rPr>
              <w:t>Trigger</w:t>
            </w:r>
          </w:p>
        </w:tc>
      </w:tr>
      <w:tr>
        <w:tc>
          <w:tcPr>
            <w:tcW w:type="dxa" w:w="1440"/>
          </w:tcPr>
          <w:p>
            <w:r/>
            <w:r>
              <w:rPr>
                <w:rFonts w:ascii="Calibri" w:hAnsi="Calibri"/>
                <w:sz w:val="18"/>
              </w:rPr>
              <w:t>Fase 1</w:t>
            </w:r>
          </w:p>
        </w:tc>
        <w:tc>
          <w:tcPr>
            <w:tcW w:type="dxa" w:w="1440"/>
          </w:tcPr>
          <w:p>
            <w:r/>
            <w:r>
              <w:rPr>
                <w:rFonts w:ascii="Calibri" w:hAnsi="Calibri"/>
                <w:sz w:val="18"/>
              </w:rPr>
              <w:t>&lt;10.000 kg</w:t>
            </w:r>
          </w:p>
        </w:tc>
        <w:tc>
          <w:tcPr>
            <w:tcW w:type="dxa" w:w="1440"/>
          </w:tcPr>
          <w:p>
            <w:r/>
            <w:r>
              <w:rPr>
                <w:rFonts w:ascii="Calibri" w:hAnsi="Calibri"/>
                <w:sz w:val="18"/>
              </w:rPr>
              <w:t>Basis</w:t>
            </w:r>
          </w:p>
        </w:tc>
        <w:tc>
          <w:tcPr>
            <w:tcW w:type="dxa" w:w="1440"/>
          </w:tcPr>
          <w:p>
            <w:r/>
            <w:r>
              <w:rPr>
                <w:rFonts w:ascii="Calibri" w:hAnsi="Calibri"/>
                <w:sz w:val="18"/>
              </w:rPr>
              <w:t>Lekbakken, scheiding Tabel 9, RI&amp;E, SDS, vloermarkering</w:t>
            </w:r>
          </w:p>
        </w:tc>
        <w:tc>
          <w:tcPr>
            <w:tcW w:type="dxa" w:w="1440"/>
          </w:tcPr>
          <w:p>
            <w:r/>
            <w:r>
              <w:rPr>
                <w:rFonts w:ascii="Calibri" w:hAnsi="Calibri"/>
                <w:sz w:val="18"/>
              </w:rPr>
              <w:t>€5K–15K</w:t>
            </w:r>
          </w:p>
        </w:tc>
        <w:tc>
          <w:tcPr>
            <w:tcW w:type="dxa" w:w="1440"/>
          </w:tcPr>
          <w:p>
            <w:r/>
            <w:r>
              <w:rPr>
                <w:rFonts w:ascii="Calibri" w:hAnsi="Calibri"/>
                <w:sz w:val="18"/>
              </w:rPr>
              <w:t>Huidig (~390 kg)</w:t>
            </w:r>
          </w:p>
        </w:tc>
      </w:tr>
      <w:tr>
        <w:tc>
          <w:tcPr>
            <w:tcW w:type="dxa" w:w="1440"/>
          </w:tcPr>
          <w:p>
            <w:r/>
            <w:r>
              <w:rPr>
                <w:rFonts w:ascii="Calibri" w:hAnsi="Calibri"/>
                <w:sz w:val="18"/>
              </w:rPr>
              <w:t>Fase 2</w:t>
            </w:r>
          </w:p>
        </w:tc>
        <w:tc>
          <w:tcPr>
            <w:tcW w:type="dxa" w:w="1440"/>
          </w:tcPr>
          <w:p>
            <w:r/>
            <w:r>
              <w:rPr>
                <w:rFonts w:ascii="Calibri" w:hAnsi="Calibri"/>
                <w:sz w:val="18"/>
              </w:rPr>
              <w:t>10.000–20.000 kg</w:t>
            </w:r>
          </w:p>
        </w:tc>
        <w:tc>
          <w:tcPr>
            <w:tcW w:type="dxa" w:w="1440"/>
          </w:tcPr>
          <w:p>
            <w:r/>
            <w:r>
              <w:rPr>
                <w:rFonts w:ascii="Calibri" w:hAnsi="Calibri"/>
                <w:sz w:val="18"/>
              </w:rPr>
              <w:t>VN-B</w:t>
            </w:r>
          </w:p>
        </w:tc>
        <w:tc>
          <w:tcPr>
            <w:tcW w:type="dxa" w:w="1440"/>
          </w:tcPr>
          <w:p>
            <w:r/>
            <w:r>
              <w:rPr>
                <w:rFonts w:ascii="Calibri" w:hAnsi="Calibri"/>
                <w:sz w:val="18"/>
              </w:rPr>
              <w:t>Fase 1 + 60 min Wbdbo, branddetectie, blusinstallatie M103, D6/D10/D11</w:t>
            </w:r>
          </w:p>
        </w:tc>
        <w:tc>
          <w:tcPr>
            <w:tcW w:type="dxa" w:w="1440"/>
          </w:tcPr>
          <w:p>
            <w:r/>
            <w:r>
              <w:rPr>
                <w:rFonts w:ascii="Calibri" w:hAnsi="Calibri"/>
                <w:sz w:val="18"/>
              </w:rPr>
              <w:t>€25K–75K</w:t>
            </w:r>
          </w:p>
        </w:tc>
        <w:tc>
          <w:tcPr>
            <w:tcW w:type="dxa" w:w="1440"/>
          </w:tcPr>
          <w:p>
            <w:r/>
            <w:r>
              <w:rPr>
                <w:rFonts w:ascii="Calibri" w:hAnsi="Calibri"/>
                <w:sz w:val="18"/>
              </w:rPr>
              <w:t>Uitbreiding bijtende stoffen</w:t>
            </w:r>
          </w:p>
        </w:tc>
      </w:tr>
      <w:tr>
        <w:tc>
          <w:tcPr>
            <w:tcW w:type="dxa" w:w="1440"/>
          </w:tcPr>
          <w:p>
            <w:r/>
            <w:r>
              <w:rPr>
                <w:rFonts w:ascii="Calibri" w:hAnsi="Calibri"/>
                <w:sz w:val="18"/>
              </w:rPr>
              <w:t>Fase 3</w:t>
            </w:r>
          </w:p>
        </w:tc>
        <w:tc>
          <w:tcPr>
            <w:tcW w:type="dxa" w:w="1440"/>
          </w:tcPr>
          <w:p>
            <w:r/>
            <w:r>
              <w:rPr>
                <w:rFonts w:ascii="Calibri" w:hAnsi="Calibri"/>
                <w:sz w:val="18"/>
              </w:rPr>
              <w:t>&gt;20.000 kg</w:t>
            </w:r>
          </w:p>
        </w:tc>
        <w:tc>
          <w:tcPr>
            <w:tcW w:type="dxa" w:w="1440"/>
          </w:tcPr>
          <w:p>
            <w:r/>
            <w:r>
              <w:rPr>
                <w:rFonts w:ascii="Calibri" w:hAnsi="Calibri"/>
                <w:sz w:val="18"/>
              </w:rPr>
              <w:t>VN-A</w:t>
            </w:r>
          </w:p>
        </w:tc>
        <w:tc>
          <w:tcPr>
            <w:tcW w:type="dxa" w:w="1440"/>
          </w:tcPr>
          <w:p>
            <w:r/>
            <w:r>
              <w:rPr>
                <w:rFonts w:ascii="Calibri" w:hAnsi="Calibri"/>
                <w:sz w:val="18"/>
              </w:rPr>
              <w:t>Fase 2 + VBB-installatie (M96), PAC-doormelding (M97), D12</w:t>
            </w:r>
          </w:p>
        </w:tc>
        <w:tc>
          <w:tcPr>
            <w:tcW w:type="dxa" w:w="1440"/>
          </w:tcPr>
          <w:p>
            <w:r/>
            <w:r>
              <w:rPr>
                <w:rFonts w:ascii="Calibri" w:hAnsi="Calibri"/>
                <w:sz w:val="18"/>
              </w:rPr>
              <w:t>€100K–300K+</w:t>
            </w:r>
          </w:p>
        </w:tc>
        <w:tc>
          <w:tcPr>
            <w:tcW w:type="dxa" w:w="1440"/>
          </w:tcPr>
          <w:p>
            <w:r/>
            <w:r>
              <w:rPr>
                <w:rFonts w:ascii="Calibri" w:hAnsi="Calibri"/>
                <w:sz w:val="18"/>
              </w:rPr>
              <w:t>Grootschalige opslag</w:t>
            </w:r>
          </w:p>
        </w:tc>
      </w:tr>
    </w:tbl>
    <w:p/>
    <w:p>
      <w:r>
        <w:t>Fase 1 is direct actueel: de huidige 390 kg valt binnen het basisniveau, maar vereist wel directe implementatie van lekbakken, stoffenscheiding en documentatie. Fase 2 en 3 zijn toekomstscenario's bij significante opslaguitbreiding.</w:t>
      </w:r>
    </w:p>
    <w:p>
      <w:pPr>
        <w:pStyle w:val="Heading1"/>
      </w:pPr>
      <w:r>
        <w:t>9 Conclusie en Aanbevelingen</w:t>
      </w:r>
    </w:p>
    <w:p>
      <w:r>
        <w:t>Het META-dossier toont dat Phoenix Metals IJmuiden met ~390 kg ADR 8-stoffen ver onder alle PGS 15-drempelwaarden operateert. Het basisveiligheidsniveau volstaat. Echter, twee kritieke niet-compliancies zijn geconstateerd: de stoffenscheiding (NaOH ↔ H₂SO₄) en de afwezigheid van lekbakken. Deze vereisen onmiddellijke correctie. Daarnaast is een aantal maatregelen nog niet formeel gedocumenteerd of getoetst.</w:t>
      </w:r>
    </w:p>
    <w:p>
      <w:pPr>
        <w:pStyle w:val="Heading2"/>
      </w:pPr>
      <w:r>
        <w:t>9.1 Aanbevelingen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
              <w:rPr>
                <w:rFonts w:ascii="Calibri" w:hAnsi="Calibri"/>
                <w:b/>
                <w:color w:val="FFFFFF"/>
                <w:sz w:val="20"/>
              </w:rPr>
              <w:t>#</w:t>
            </w:r>
          </w:p>
        </w:tc>
        <w:tc>
          <w:tcPr>
            <w:tcW w:type="dxa" w:w="1728"/>
            <w:shd w:fill="003366"/>
          </w:tcPr>
          <w:p>
            <w:pPr>
              <w:jc w:val="center"/>
            </w:pPr>
            <w:r/>
            <w:r>
              <w:rPr>
                <w:rFonts w:ascii="Calibri" w:hAnsi="Calibri"/>
                <w:b/>
                <w:color w:val="FFFFFF"/>
                <w:sz w:val="20"/>
              </w:rPr>
              <w:t>Aanbeveling</w:t>
            </w:r>
          </w:p>
        </w:tc>
        <w:tc>
          <w:tcPr>
            <w:tcW w:type="dxa" w:w="1728"/>
            <w:shd w:fill="003366"/>
          </w:tcPr>
          <w:p>
            <w:pPr>
              <w:jc w:val="center"/>
            </w:pPr>
            <w:r/>
            <w:r>
              <w:rPr>
                <w:rFonts w:ascii="Calibri" w:hAnsi="Calibri"/>
                <w:b/>
                <w:color w:val="FFFFFF"/>
                <w:sz w:val="20"/>
              </w:rPr>
              <w:t>Prioriteit</w:t>
            </w:r>
          </w:p>
        </w:tc>
        <w:tc>
          <w:tcPr>
            <w:tcW w:type="dxa" w:w="1728"/>
            <w:shd w:fill="003366"/>
          </w:tcPr>
          <w:p>
            <w:pPr>
              <w:jc w:val="center"/>
            </w:pPr>
            <w:r/>
            <w:r>
              <w:rPr>
                <w:rFonts w:ascii="Calibri" w:hAnsi="Calibri"/>
                <w:b/>
                <w:color w:val="FFFFFF"/>
                <w:sz w:val="20"/>
              </w:rPr>
              <w:t>Budget (indicatief)</w:t>
            </w:r>
          </w:p>
        </w:tc>
        <w:tc>
          <w:tcPr>
            <w:tcW w:type="dxa" w:w="1728"/>
            <w:shd w:fill="003366"/>
          </w:tcPr>
          <w:p>
            <w:pPr>
              <w:jc w:val="center"/>
            </w:pPr>
            <w:r/>
            <w:r>
              <w:rPr>
                <w:rFonts w:ascii="Calibri" w:hAnsi="Calibri"/>
                <w:b/>
                <w:color w:val="FFFFFF"/>
                <w:sz w:val="20"/>
              </w:rPr>
              <w:t>Termijn</w:t>
            </w:r>
          </w:p>
        </w:tc>
      </w:tr>
      <w:tr>
        <w:tc>
          <w:tcPr>
            <w:tcW w:type="dxa" w:w="1728"/>
          </w:tcPr>
          <w:p>
            <w:r/>
            <w:r>
              <w:rPr>
                <w:rFonts w:ascii="Calibri" w:hAnsi="Calibri"/>
                <w:sz w:val="18"/>
              </w:rPr>
              <w:t>1</w:t>
            </w:r>
          </w:p>
        </w:tc>
        <w:tc>
          <w:tcPr>
            <w:tcW w:type="dxa" w:w="1728"/>
          </w:tcPr>
          <w:p>
            <w:r/>
            <w:r>
              <w:rPr>
                <w:rFonts w:ascii="Calibri" w:hAnsi="Calibri"/>
                <w:sz w:val="18"/>
              </w:rPr>
              <w:t>Implementeer stoffenscheiding: aparte lekbakken + 2 m afstand NaOH/H₂SO₄; CaO apart van H₂SO₄</w:t>
            </w:r>
          </w:p>
        </w:tc>
        <w:tc>
          <w:tcPr>
            <w:tcW w:type="dxa" w:w="1728"/>
          </w:tcPr>
          <w:p>
            <w:r/>
            <w:r>
              <w:rPr>
                <w:rFonts w:ascii="Calibri" w:hAnsi="Calibri"/>
                <w:sz w:val="18"/>
              </w:rPr>
              <w:t>Kritiek</w:t>
            </w:r>
          </w:p>
        </w:tc>
        <w:tc>
          <w:tcPr>
            <w:tcW w:type="dxa" w:w="1728"/>
          </w:tcPr>
          <w:p>
            <w:r/>
            <w:r>
              <w:rPr>
                <w:rFonts w:ascii="Calibri" w:hAnsi="Calibri"/>
                <w:sz w:val="18"/>
              </w:rPr>
              <w:t>€200–500</w:t>
            </w:r>
          </w:p>
        </w:tc>
        <w:tc>
          <w:tcPr>
            <w:tcW w:type="dxa" w:w="1728"/>
          </w:tcPr>
          <w:p>
            <w:r/>
            <w:r>
              <w:rPr>
                <w:rFonts w:ascii="Calibri" w:hAnsi="Calibri"/>
                <w:sz w:val="18"/>
              </w:rPr>
              <w:t>Direct (1 week)</w:t>
            </w:r>
          </w:p>
        </w:tc>
      </w:tr>
      <w:tr>
        <w:tc>
          <w:tcPr>
            <w:tcW w:type="dxa" w:w="1728"/>
          </w:tcPr>
          <w:p>
            <w:r/>
            <w:r>
              <w:rPr>
                <w:rFonts w:ascii="Calibri" w:hAnsi="Calibri"/>
                <w:sz w:val="18"/>
              </w:rPr>
              <w:t>2</w:t>
            </w:r>
          </w:p>
        </w:tc>
        <w:tc>
          <w:tcPr>
            <w:tcW w:type="dxa" w:w="1728"/>
          </w:tcPr>
          <w:p>
            <w:r/>
            <w:r>
              <w:rPr>
                <w:rFonts w:ascii="Calibri" w:hAnsi="Calibri"/>
                <w:sz w:val="18"/>
              </w:rPr>
              <w:t>Plaats lekbakken voor alle vloeibare ADR 8-stoffen (min. 110% grootste verpakking)</w:t>
            </w:r>
          </w:p>
        </w:tc>
        <w:tc>
          <w:tcPr>
            <w:tcW w:type="dxa" w:w="1728"/>
          </w:tcPr>
          <w:p>
            <w:r/>
            <w:r>
              <w:rPr>
                <w:rFonts w:ascii="Calibri" w:hAnsi="Calibri"/>
                <w:sz w:val="18"/>
              </w:rPr>
              <w:t>Kritiek</w:t>
            </w:r>
          </w:p>
        </w:tc>
        <w:tc>
          <w:tcPr>
            <w:tcW w:type="dxa" w:w="1728"/>
          </w:tcPr>
          <w:p>
            <w:r/>
            <w:r>
              <w:rPr>
                <w:rFonts w:ascii="Calibri" w:hAnsi="Calibri"/>
                <w:sz w:val="18"/>
              </w:rPr>
              <w:t>€300–600</w:t>
            </w:r>
          </w:p>
        </w:tc>
        <w:tc>
          <w:tcPr>
            <w:tcW w:type="dxa" w:w="1728"/>
          </w:tcPr>
          <w:p>
            <w:r/>
            <w:r>
              <w:rPr>
                <w:rFonts w:ascii="Calibri" w:hAnsi="Calibri"/>
                <w:sz w:val="18"/>
              </w:rPr>
              <w:t>Direct (1 week)</w:t>
            </w:r>
          </w:p>
        </w:tc>
      </w:tr>
      <w:tr>
        <w:tc>
          <w:tcPr>
            <w:tcW w:type="dxa" w:w="1728"/>
          </w:tcPr>
          <w:p>
            <w:r/>
            <w:r>
              <w:rPr>
                <w:rFonts w:ascii="Calibri" w:hAnsi="Calibri"/>
                <w:sz w:val="18"/>
              </w:rPr>
              <w:t>3</w:t>
            </w:r>
          </w:p>
        </w:tc>
        <w:tc>
          <w:tcPr>
            <w:tcW w:type="dxa" w:w="1728"/>
          </w:tcPr>
          <w:p>
            <w:r/>
            <w:r>
              <w:rPr>
                <w:rFonts w:ascii="Calibri" w:hAnsi="Calibri"/>
                <w:sz w:val="18"/>
              </w:rPr>
              <w:t>Stel RI&amp;E gevaarlijke stoffen op + SDS-map (6 VIB's) + instructiekaart lekkage</w:t>
            </w:r>
          </w:p>
        </w:tc>
        <w:tc>
          <w:tcPr>
            <w:tcW w:type="dxa" w:w="1728"/>
          </w:tcPr>
          <w:p>
            <w:r/>
            <w:r>
              <w:rPr>
                <w:rFonts w:ascii="Calibri" w:hAnsi="Calibri"/>
                <w:sz w:val="18"/>
              </w:rPr>
              <w:t>HOOG</w:t>
            </w:r>
          </w:p>
        </w:tc>
        <w:tc>
          <w:tcPr>
            <w:tcW w:type="dxa" w:w="1728"/>
          </w:tcPr>
          <w:p>
            <w:r/>
            <w:r>
              <w:rPr>
                <w:rFonts w:ascii="Calibri" w:hAnsi="Calibri"/>
                <w:sz w:val="18"/>
              </w:rPr>
              <w:t>€500–2.000</w:t>
            </w:r>
          </w:p>
        </w:tc>
        <w:tc>
          <w:tcPr>
            <w:tcW w:type="dxa" w:w="1728"/>
          </w:tcPr>
          <w:p>
            <w:r/>
            <w:r>
              <w:rPr>
                <w:rFonts w:ascii="Calibri" w:hAnsi="Calibri"/>
                <w:sz w:val="18"/>
              </w:rPr>
              <w:t>2–4 weken</w:t>
            </w:r>
          </w:p>
        </w:tc>
      </w:tr>
      <w:tr>
        <w:tc>
          <w:tcPr>
            <w:tcW w:type="dxa" w:w="1728"/>
          </w:tcPr>
          <w:p>
            <w:r/>
            <w:r>
              <w:rPr>
                <w:rFonts w:ascii="Calibri" w:hAnsi="Calibri"/>
                <w:sz w:val="18"/>
              </w:rPr>
              <w:t>4</w:t>
            </w:r>
          </w:p>
        </w:tc>
        <w:tc>
          <w:tcPr>
            <w:tcW w:type="dxa" w:w="1728"/>
          </w:tcPr>
          <w:p>
            <w:r/>
            <w:r>
              <w:rPr>
                <w:rFonts w:ascii="Calibri" w:hAnsi="Calibri"/>
                <w:sz w:val="18"/>
              </w:rPr>
              <w:t>Implementeer vloermarkering, GHS-borden, botsbeveiliging rond rack</w:t>
            </w:r>
          </w:p>
        </w:tc>
        <w:tc>
          <w:tcPr>
            <w:tcW w:type="dxa" w:w="1728"/>
          </w:tcPr>
          <w:p>
            <w:r/>
            <w:r>
              <w:rPr>
                <w:rFonts w:ascii="Calibri" w:hAnsi="Calibri"/>
                <w:sz w:val="18"/>
              </w:rPr>
              <w:t>MIDDEL</w:t>
            </w:r>
          </w:p>
        </w:tc>
        <w:tc>
          <w:tcPr>
            <w:tcW w:type="dxa" w:w="1728"/>
          </w:tcPr>
          <w:p>
            <w:r/>
            <w:r>
              <w:rPr>
                <w:rFonts w:ascii="Calibri" w:hAnsi="Calibri"/>
                <w:sz w:val="18"/>
              </w:rPr>
              <w:t>€500–1.500</w:t>
            </w:r>
          </w:p>
        </w:tc>
        <w:tc>
          <w:tcPr>
            <w:tcW w:type="dxa" w:w="1728"/>
          </w:tcPr>
          <w:p>
            <w:r/>
            <w:r>
              <w:rPr>
                <w:rFonts w:ascii="Calibri" w:hAnsi="Calibri"/>
                <w:sz w:val="18"/>
              </w:rPr>
              <w:t>4–8 weken</w:t>
            </w:r>
          </w:p>
        </w:tc>
      </w:tr>
      <w:tr>
        <w:tc>
          <w:tcPr>
            <w:tcW w:type="dxa" w:w="1728"/>
          </w:tcPr>
          <w:p>
            <w:r/>
            <w:r>
              <w:rPr>
                <w:rFonts w:ascii="Calibri" w:hAnsi="Calibri"/>
                <w:sz w:val="18"/>
              </w:rPr>
              <w:t>5</w:t>
            </w:r>
          </w:p>
        </w:tc>
        <w:tc>
          <w:tcPr>
            <w:tcW w:type="dxa" w:w="1728"/>
          </w:tcPr>
          <w:p>
            <w:r/>
            <w:r>
              <w:rPr>
                <w:rFonts w:ascii="Calibri" w:hAnsi="Calibri"/>
                <w:sz w:val="18"/>
              </w:rPr>
              <w:t>Toets formele opslagfunctie met Bouwbesluit; ruimte aanwijzen als opslagruimte</w:t>
            </w:r>
          </w:p>
        </w:tc>
        <w:tc>
          <w:tcPr>
            <w:tcW w:type="dxa" w:w="1728"/>
          </w:tcPr>
          <w:p>
            <w:r/>
            <w:r>
              <w:rPr>
                <w:rFonts w:ascii="Calibri" w:hAnsi="Calibri"/>
                <w:sz w:val="18"/>
              </w:rPr>
              <w:t>MIDDEL</w:t>
            </w:r>
          </w:p>
        </w:tc>
        <w:tc>
          <w:tcPr>
            <w:tcW w:type="dxa" w:w="1728"/>
          </w:tcPr>
          <w:p>
            <w:r/>
            <w:r>
              <w:rPr>
                <w:rFonts w:ascii="Calibri" w:hAnsi="Calibri"/>
                <w:sz w:val="18"/>
              </w:rPr>
              <w:t>€0–500</w:t>
            </w:r>
          </w:p>
        </w:tc>
        <w:tc>
          <w:tcPr>
            <w:tcW w:type="dxa" w:w="1728"/>
          </w:tcPr>
          <w:p>
            <w:r/>
            <w:r>
              <w:rPr>
                <w:rFonts w:ascii="Calibri" w:hAnsi="Calibri"/>
                <w:sz w:val="18"/>
              </w:rPr>
              <w:t>4–8 weken</w:t>
            </w:r>
          </w:p>
        </w:tc>
      </w:tr>
    </w:tbl>
    <w:p/>
    <w:p>
      <w:r>
        <w:t>Implementatie van aanbevelingen 1 en 2 brengt Phoenix Metals op het niveau van formele PGS 15-basiscompliance. De overige aanbevelingen zijn noodzakelijk voor volledige aantoonbaarheid en audit-readiness.</w:t>
      </w:r>
    </w:p>
    <w:p>
      <w:pPr>
        <w:pStyle w:val="Heading1"/>
      </w:pPr>
      <w:r>
        <w:t>Bijlagen</w:t>
      </w:r>
    </w:p>
    <w:p>
      <w:pPr>
        <w:pStyle w:val="Heading2"/>
      </w:pPr>
      <w:r>
        <w:t>Bijlage A: Bronverwijzingen</w:t>
      </w:r>
    </w:p>
    <w:p>
      <w:pPr>
        <w:spacing w:after="40"/>
      </w:pPr>
      <w:r>
        <w:t>[1] PGS 15:2025 v1.0 — Publicatiereeks Gevaarlijke Stoffen 15, "Opslag van verpakte gevaarlijke stoffen", 238 pp.</w:t>
      </w:r>
    </w:p>
    <w:p>
      <w:pPr>
        <w:spacing w:after="40"/>
      </w:pPr>
      <w:r>
        <w:t>[2] Phoenix Metals Chemical Register v2.1.0 — Intern stoffenregister, 26 april 2026.</w:t>
      </w:r>
    </w:p>
    <w:p>
      <w:pPr>
        <w:spacing w:after="40"/>
      </w:pPr>
      <w:r>
        <w:t>[3] REACH Scanner Data — Automatische classificatie-uitdraai, april 2026.</w:t>
      </w:r>
    </w:p>
    <w:p>
      <w:pPr>
        <w:spacing w:after="40"/>
      </w:pPr>
      <w:r>
        <w:t>[4] Omgevingswet — Bbl (BouwbESluit) / Bkl (Besluit kwaliteit leefomgeving), wetten.overheid.nl.</w:t>
      </w:r>
    </w:p>
    <w:p>
      <w:pPr>
        <w:spacing w:after="40"/>
      </w:pPr>
      <w:r>
        <w:t>[5] Arbowet / Arbobesluit art. 4.1c — Risico-inventarisatie en -evaluatie.</w:t>
      </w:r>
    </w:p>
    <w:p>
      <w:pPr>
        <w:spacing w:after="40"/>
      </w:pPr>
      <w:r>
        <w:t>[6] ADR 2025 — Accord européen relatif au transport international des marchandises dangereuses par route.</w:t>
      </w:r>
    </w:p>
    <w:p>
      <w:pPr>
        <w:spacing w:after="40"/>
      </w:pPr>
      <w:r>
        <w:t>[7] CLP-Verordening (EG 1272/2008) — Classification, Labelling and Packaging.</w:t>
      </w:r>
    </w:p>
    <w:p>
      <w:pPr>
        <w:spacing w:after="40"/>
      </w:pPr>
      <w:r>
        <w:t>[8] NEN-EN 3: Draagbare brandblusapparaten — Eisen en keuring.</w:t>
      </w:r>
    </w:p>
    <w:p>
      <w:pPr>
        <w:pStyle w:val="Heading2"/>
      </w:pPr>
      <w:r>
        <w:t>Bijlage B: PGS 15:2025 Paragraafreferenties</w:t>
      </w:r>
    </w:p>
    <w:p>
      <w:pPr>
        <w:spacing w:after="40"/>
      </w:pPr>
      <w:r>
        <w:t>§4.1–4.3 — Algemene zorgplicht en risico-inventarisatie (MW1, M2, M3)</w:t>
      </w:r>
    </w:p>
    <w:p>
      <w:pPr>
        <w:spacing w:after="40"/>
      </w:pPr>
      <w:r>
        <w:t>§5.4–5.5 — Werkvoorraad en brandcompartimentering (M14, M15)</w:t>
      </w:r>
    </w:p>
    <w:p>
      <w:pPr>
        <w:spacing w:after="40"/>
      </w:pPr>
      <w:r>
        <w:t>§6.1 — Vloeistofopvang en ventilatie (M30)</w:t>
      </w:r>
    </w:p>
    <w:p>
      <w:pPr>
        <w:spacing w:after="40"/>
      </w:pPr>
      <w:r>
        <w:t>§6.3 + Bijlage E — Stoffenscheiding Tabel 9 (M35)</w:t>
      </w:r>
    </w:p>
    <w:p>
      <w:pPr>
        <w:spacing w:after="40"/>
      </w:pPr>
      <w:r>
        <w:t>§6.4 — Verpakkingsintegriteit (M36)</w:t>
      </w:r>
    </w:p>
    <w:p>
      <w:pPr>
        <w:spacing w:after="40"/>
      </w:pPr>
      <w:r>
        <w:t>§7.1 — Etikettering en signalering (M45)</w:t>
      </w:r>
    </w:p>
    <w:p>
      <w:pPr>
        <w:spacing w:after="40"/>
      </w:pPr>
      <w:r>
        <w:t>§8.2 — Fysieke bescherming (M77/M78)</w:t>
      </w:r>
    </w:p>
    <w:p>
      <w:pPr>
        <w:spacing w:after="40"/>
      </w:pPr>
      <w:r>
        <w:t>§9.1 — Deskundigheid en informatieverstrekking (M85/M86)</w:t>
      </w:r>
    </w:p>
    <w:p>
      <w:pPr>
        <w:spacing w:after="40"/>
      </w:pPr>
      <w:r>
        <w:t>§10.3 — Toegankelijkheid hulpdiensten (M109)</w:t>
      </w:r>
    </w:p>
    <w:p>
      <w:pPr>
        <w:spacing w:after="40"/>
      </w:pPr>
      <w:r>
        <w:t>Tabel 6 — Drempelwaarden veiligheidsniveaus</w:t>
      </w:r>
    </w:p>
    <w:p>
      <w:pPr>
        <w:spacing w:after="40"/>
      </w:pPr>
      <w:r>
        <w:t>Tabel 7 — Ondergrenzen per ADR-klasse</w:t>
      </w:r>
    </w:p>
    <w:p>
      <w:pPr>
        <w:spacing w:after="40"/>
      </w:pPr>
      <w:r>
        <w:t>Tabel 9 — Compatibiliteitsmatrix opslag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