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10. Noodprocedures</w:t>
      </w:r>
    </w:p>
    <w:p>
      <w:r>
        <w:t>Dit hoofdstuk beschrijft de calamiteitenprocedures voor de opslag van gevaarlijke stoffen bij Phoenix Metals IJmuiden. Alle medewerkers met toegang tot de opslaglocatie moeten deze procedures kennen en kunnen uitvoeren. Bij twijfel geldt altijd: prioriteit op evacuatie en persoonlijke veiligheid boven materiaalschade.</w:t>
      </w:r>
    </w:p>
    <w:p>
      <w:pPr>
        <w:pStyle w:val="Heading2"/>
      </w:pPr>
      <w:r>
        <w:t>10.1 Lekkage</w:t>
      </w:r>
    </w:p>
    <w:p>
      <w:r>
        <w:t>Kleine lekkage (&lt; 1 liter, beperkt tot lekbak):</w:t>
      </w:r>
    </w:p>
    <w:p>
      <w:pPr>
        <w:pStyle w:val="ListNumber"/>
      </w:pPr>
      <w:r>
        <w:t>1. Draag verplichte PBM: zuurbestendige handschoenen (nitril, ≥0,5 mm), veiligheidsbril, labjas.</w:t>
        <w:br/>
        <w:t>2. Absorbeer het gemorste product met chemisch absorptiemateriaal (universaldrijfmiddel).</w:t>
        <w:br/>
        <w:t>3. Breng het verzadigde absorptiemateriaal over in een goedgekeurde afvalcontainer (ADR-verpakking).</w:t>
        <w:br/>
        <w:t>4. Reinig de ondergrond met water (NaOH) of neutrale instelling (H₂SO₄). Droog na.</w:t>
        <w:br/>
        <w:t>5. Vervang de lekbakindeling indien de lekbak is aangetast.</w:t>
        <w:br/>
        <w:t>6. Rapporteer het incident via het interne incidentenformulier.</w:t>
      </w:r>
    </w:p>
    <w:p>
      <w:r>
        <w:t>Grote lekkage (&gt; 1 liter of lekkage buiten lekbak):</w:t>
      </w:r>
    </w:p>
    <w:p>
      <w:pPr>
        <w:pStyle w:val="ListNumber"/>
      </w:pPr>
      <w:r>
        <w:t>1. Waarschuw direct alle aanwezigen in de nabijheid.</w:t>
        <w:br/>
        <w:t>2. Begin evacuatie van het directe opslaggebied (minimaal 10 meter afstand).</w:t>
        <w:br/>
        <w:t>3. Bel 112 en meld: locatie (Phoenix Metals IJmuiden), stofnaam (raadpleeg etiket), geschat volume.</w:t>
        <w:br/>
        <w:t>4. Sluit de deur van het opslaggebied na evacuatie.</w:t>
        <w:br/>
        <w:t>5. Wacht op de brandweer; begin niet zelf met opruiming.</w:t>
        <w:br/>
        <w:t>6. De Lab Manager of HSEQ-coördinator fungeert als aanspreekpunt voor hulpdiensten.</w:t>
      </w:r>
    </w:p>
    <w:p>
      <w:pPr>
        <w:pStyle w:val="Heading2"/>
      </w:pPr>
      <w:r>
        <w:t>10.2 Brand in opslag</w:t>
      </w:r>
    </w:p>
    <w:p>
      <w:r>
        <w:t>De opgeslagen stoffen (ADR-klasse 8, bijtend) zijn classificatievol onbrandbaar. Brandontstaan is dan ook onwaarschijnlijk maar niet uitgesloten bij externe brandinvloed.</w:t>
      </w:r>
    </w:p>
    <w:p>
      <w:pPr>
        <w:pStyle w:val="ListBullet"/>
      </w:pPr>
      <w:r>
        <w:t>Procedure bij brand:</w:t>
      </w:r>
    </w:p>
    <w:p>
      <w:pPr>
        <w:pStyle w:val="ListNumber"/>
      </w:pPr>
      <w:r>
        <w:t>1. Constateer rookontwikkeling of vuur in/nabij de opslag.</w:t>
        <w:br/>
        <w:t>2. Activeer het brandalarm en begin onmiddellijk evacuatie.</w:t>
        <w:br/>
        <w:t>3. Bel 112 — meld: brand bij gevaarlijke stoffenopslag, aanwezigheid van bijtende vloeistoffen.</w:t>
        <w:br/>
        <w:t>4. Sluit deuren bij het verlaten om brandverspreiding te beperken.</w:t>
        <w:br/>
        <w:t>5. Blus alleen met draagbaar blustoestel (poeder of CO₂) indien de brand klein is, je een vluchtroute hebt, en je getraind bent.</w:t>
        <w:br/>
        <w:t>6. Blus NOOIT een grote brand of een brand met zichtbare giftige dampen zelf.</w:t>
        <w:br/>
        <w:t>7. Verzamel bij de verzamelpost en doe een telling.</w:t>
      </w:r>
    </w:p>
    <w:p>
      <w:pPr>
        <w:pStyle w:val="Heading2"/>
      </w:pPr>
      <w:r>
        <w:t>10.3 Meng-incident NaOH + H₂SO₄</w:t>
      </w:r>
    </w:p>
    <w:p>
      <w:r>
        <w:t>Het mengen van natriumhydroxide (NaOH 50%) en zwavelzuur (H₂SO₄) resulteert in een sterk exotherme neutralisatiereactie met risico op spattering, corrosieve aerosolvorming en hitte-ontwikkeling. Dit is het kritiekste scenario voor Phoenix Metals.</w:t>
      </w:r>
    </w:p>
    <w:p>
      <w:pPr>
        <w:pStyle w:val="ListBullet"/>
      </w:pPr>
      <w:r>
        <w:t>Phoenix Metals specifieke procedure:</w:t>
      </w:r>
    </w:p>
    <w:p>
      <w:pPr>
        <w:pStyle w:val="ListNumber"/>
      </w:pPr>
      <w:r>
        <w:t>1. Bij vermoeden van menging: direct afstand nemen (minimaal 5 meter).</w:t>
        <w:br/>
        <w:t>2. Waarschuw alle aanwezigen en begin evacuatie opslaggebied.</w:t>
        <w:br/>
        <w:t>3. Bel 112 — specificeer: menging bijtende stoffen (NaOH + H₂SO₄), mogelijk spattergevaar.</w:t>
        <w:br/>
        <w:t>4. Verleen geen eerste hulp bij blootstelling aan het mengsel zonder PBM; wacht op professionele hulp.</w:t>
        <w:br/>
        <w:t>5. De HSEQ-coördinator documenteert het incident inclusief oorzaak, volume en genomen maatregelen.</w:t>
        <w:br/>
        <w:t>6. Na het incident: professionele reiniging en herkeuring van de opslaglocatie vóór heringebruikname.</w:t>
      </w:r>
    </w:p>
    <w:p>
      <w:pPr>
        <w:pStyle w:val="Heading2"/>
      </w:pPr>
      <w:r>
        <w:t>10.4 Noodcontacten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003366"/>
          </w:tcPr>
          <w:p>
            <w:r>
              <w:rPr>
                <w:b/>
                <w:color w:val="FFFFFF"/>
                <w:sz w:val="20"/>
              </w:rPr>
              <w:t>Functie</w:t>
            </w:r>
          </w:p>
        </w:tc>
        <w:tc>
          <w:tcPr>
            <w:tcW w:type="dxa" w:w="2160"/>
            <w:shd w:val="clear" w:color="auto" w:fill="003366"/>
          </w:tcPr>
          <w:p>
            <w:r>
              <w:rPr>
                <w:b/>
                <w:color w:val="FFFFFF"/>
                <w:sz w:val="20"/>
              </w:rPr>
              <w:t>Naam</w:t>
            </w:r>
          </w:p>
        </w:tc>
        <w:tc>
          <w:tcPr>
            <w:tcW w:type="dxa" w:w="2160"/>
            <w:shd w:val="clear" w:color="auto" w:fill="003366"/>
          </w:tcPr>
          <w:p>
            <w:r>
              <w:rPr>
                <w:b/>
                <w:color w:val="FFFFFF"/>
                <w:sz w:val="20"/>
              </w:rPr>
              <w:t>Telefoon</w:t>
            </w:r>
          </w:p>
        </w:tc>
        <w:tc>
          <w:tcPr>
            <w:tcW w:type="dxa" w:w="2160"/>
            <w:shd w:val="clear" w:color="auto" w:fill="003366"/>
          </w:tcPr>
          <w:p>
            <w:r>
              <w:rPr>
                <w:b/>
                <w:color w:val="FFFFFF"/>
                <w:sz w:val="20"/>
              </w:rPr>
              <w:t>Beschikbaarheid</w:t>
            </w:r>
          </w:p>
        </w:tc>
      </w:tr>
      <w:tr>
        <w:tc>
          <w:tcPr>
            <w:tcW w:type="dxa" w:w="2160"/>
          </w:tcPr>
          <w:p>
            <w:r>
              <w:rPr>
                <w:sz w:val="20"/>
              </w:rPr>
              <w:t>Lab Manager</w:t>
            </w:r>
          </w:p>
        </w:tc>
        <w:tc>
          <w:tcPr>
            <w:tcW w:type="dxa" w:w="2160"/>
          </w:tcPr>
          <w:p>
            <w:r>
              <w:rPr>
                <w:sz w:val="20"/>
              </w:rPr>
              <w:t>[Naam invullen]</w:t>
            </w:r>
          </w:p>
        </w:tc>
        <w:tc>
          <w:tcPr>
            <w:tcW w:type="dxa" w:w="2160"/>
          </w:tcPr>
          <w:p>
            <w:r>
              <w:rPr>
                <w:sz w:val="20"/>
              </w:rPr>
              <w:t>[Intern nummer]</w:t>
            </w:r>
          </w:p>
        </w:tc>
        <w:tc>
          <w:tcPr>
            <w:tcW w:type="dxa" w:w="2160"/>
          </w:tcPr>
          <w:p>
            <w:r>
              <w:rPr>
                <w:sz w:val="20"/>
              </w:rPr>
              <w:t>Kantooruren</w:t>
            </w:r>
          </w:p>
        </w:tc>
      </w:tr>
      <w:tr>
        <w:tc>
          <w:tcPr>
            <w:tcW w:type="dxa" w:w="2160"/>
          </w:tcPr>
          <w:p>
            <w:r>
              <w:rPr>
                <w:sz w:val="20"/>
              </w:rPr>
              <w:t>HSEQ-coördinator</w:t>
            </w:r>
          </w:p>
        </w:tc>
        <w:tc>
          <w:tcPr>
            <w:tcW w:type="dxa" w:w="2160"/>
          </w:tcPr>
          <w:p>
            <w:r>
              <w:rPr>
                <w:sz w:val="20"/>
              </w:rPr>
              <w:t>[Naam invullen]</w:t>
            </w:r>
          </w:p>
        </w:tc>
        <w:tc>
          <w:tcPr>
            <w:tcW w:type="dxa" w:w="2160"/>
          </w:tcPr>
          <w:p>
            <w:r>
              <w:rPr>
                <w:sz w:val="20"/>
              </w:rPr>
              <w:t>[Intern nummer]</w:t>
            </w:r>
          </w:p>
        </w:tc>
        <w:tc>
          <w:tcPr>
            <w:tcW w:type="dxa" w:w="2160"/>
          </w:tcPr>
          <w:p>
            <w:r>
              <w:rPr>
                <w:sz w:val="20"/>
              </w:rPr>
              <w:t>Kantooruren</w:t>
            </w:r>
          </w:p>
        </w:tc>
      </w:tr>
      <w:tr>
        <w:tc>
          <w:tcPr>
            <w:tcW w:type="dxa" w:w="2160"/>
          </w:tcPr>
          <w:p>
            <w:r>
              <w:rPr>
                <w:sz w:val="20"/>
              </w:rPr>
              <w:t>Facilitair Manager</w:t>
            </w:r>
          </w:p>
        </w:tc>
        <w:tc>
          <w:tcPr>
            <w:tcW w:type="dxa" w:w="2160"/>
          </w:tcPr>
          <w:p>
            <w:r>
              <w:rPr>
                <w:sz w:val="20"/>
              </w:rPr>
              <w:t>[Naam invullen]</w:t>
            </w:r>
          </w:p>
        </w:tc>
        <w:tc>
          <w:tcPr>
            <w:tcW w:type="dxa" w:w="2160"/>
          </w:tcPr>
          <w:p>
            <w:r>
              <w:rPr>
                <w:sz w:val="20"/>
              </w:rPr>
              <w:t>[Intern nummer]</w:t>
            </w:r>
          </w:p>
        </w:tc>
        <w:tc>
          <w:tcPr>
            <w:tcW w:type="dxa" w:w="2160"/>
          </w:tcPr>
          <w:p>
            <w:r>
              <w:rPr>
                <w:sz w:val="20"/>
              </w:rPr>
              <w:t>Kantooruur</w:t>
            </w:r>
          </w:p>
        </w:tc>
      </w:tr>
      <w:tr>
        <w:tc>
          <w:tcPr>
            <w:tcW w:type="dxa" w:w="2160"/>
          </w:tcPr>
          <w:p>
            <w:r>
              <w:rPr>
                <w:sz w:val="20"/>
              </w:rPr>
              <w:t>Bedrijfsarts</w:t>
            </w:r>
          </w:p>
        </w:tc>
        <w:tc>
          <w:tcPr>
            <w:tcW w:type="dxa" w:w="2160"/>
          </w:tcPr>
          <w:p>
            <w:r>
              <w:rPr>
                <w:sz w:val="20"/>
              </w:rPr>
              <w:t>[Naam invullen]</w:t>
            </w:r>
          </w:p>
        </w:tc>
        <w:tc>
          <w:tcPr>
            <w:tcW w:type="dxa" w:w="2160"/>
          </w:tcPr>
          <w:p>
            <w:r>
              <w:rPr>
                <w:sz w:val="20"/>
              </w:rPr>
              <w:t>[Telefoonnummer]</w:t>
            </w:r>
          </w:p>
        </w:tc>
        <w:tc>
          <w:tcPr>
            <w:tcW w:type="dxa" w:w="2160"/>
          </w:tcPr>
          <w:p>
            <w:r>
              <w:rPr>
                <w:sz w:val="20"/>
              </w:rPr>
              <w:t>Kantooruren</w:t>
            </w:r>
          </w:p>
        </w:tc>
      </w:tr>
      <w:tr>
        <w:tc>
          <w:tcPr>
            <w:tcW w:type="dxa" w:w="2160"/>
          </w:tcPr>
          <w:p>
            <w:r>
              <w:rPr>
                <w:sz w:val="20"/>
              </w:rPr>
              <w:t>Brandweer (112)</w:t>
            </w:r>
          </w:p>
        </w:tc>
        <w:tc>
          <w:tcPr>
            <w:tcW w:type="dxa" w:w="2160"/>
          </w:tcPr>
          <w:p>
            <w:r>
              <w:rPr>
                <w:sz w:val="20"/>
              </w:rPr>
              <w:t>—</w:t>
            </w:r>
          </w:p>
        </w:tc>
        <w:tc>
          <w:tcPr>
            <w:tcW w:type="dxa" w:w="2160"/>
          </w:tcPr>
          <w:p>
            <w:r>
              <w:rPr>
                <w:sz w:val="20"/>
              </w:rPr>
              <w:t>112</w:t>
            </w:r>
          </w:p>
        </w:tc>
        <w:tc>
          <w:tcPr>
            <w:tcW w:type="dxa" w:w="2160"/>
          </w:tcPr>
          <w:p>
            <w:r>
              <w:rPr>
                <w:sz w:val="20"/>
              </w:rPr>
              <w:t>24/7</w:t>
            </w:r>
          </w:p>
        </w:tc>
      </w:tr>
      <w:tr>
        <w:tc>
          <w:tcPr>
            <w:tcW w:type="dxa" w:w="2160"/>
          </w:tcPr>
          <w:p>
            <w:r>
              <w:rPr>
                <w:sz w:val="20"/>
              </w:rPr>
              <w:t>Rijkswaterstaat (milieucalamiteit)</w:t>
            </w:r>
          </w:p>
        </w:tc>
        <w:tc>
          <w:tcPr>
            <w:tcW w:type="dxa" w:w="2160"/>
          </w:tcPr>
          <w:p>
            <w:r>
              <w:rPr>
                <w:sz w:val="20"/>
              </w:rPr>
              <w:t>—</w:t>
            </w:r>
          </w:p>
        </w:tc>
        <w:tc>
          <w:tcPr>
            <w:tcW w:type="dxa" w:w="2160"/>
          </w:tcPr>
          <w:p>
            <w:r>
              <w:rPr>
                <w:sz w:val="20"/>
              </w:rPr>
              <w:t>0800-0650</w:t>
            </w:r>
          </w:p>
        </w:tc>
        <w:tc>
          <w:tcPr>
            <w:tcW w:type="dxa" w:w="2160"/>
          </w:tcPr>
          <w:p>
            <w:r>
              <w:rPr>
                <w:sz w:val="20"/>
              </w:rPr>
              <w:t>24/7</w:t>
            </w:r>
          </w:p>
        </w:tc>
      </w:tr>
      <w:tr>
        <w:tc>
          <w:tcPr>
            <w:tcW w:type="dxa" w:w="2160"/>
          </w:tcPr>
          <w:p>
            <w:r>
              <w:rPr>
                <w:sz w:val="20"/>
              </w:rPr>
              <w:t>Nationaal Vergiftigingen Informatie Centrum (NVIC)</w:t>
            </w:r>
          </w:p>
        </w:tc>
        <w:tc>
          <w:tcPr>
            <w:tcW w:type="dxa" w:w="2160"/>
          </w:tcPr>
          <w:p>
            <w:r>
              <w:rPr>
                <w:sz w:val="20"/>
              </w:rPr>
              <w:t>—</w:t>
            </w:r>
          </w:p>
        </w:tc>
        <w:tc>
          <w:tcPr>
            <w:tcW w:type="dxa" w:w="2160"/>
          </w:tcPr>
          <w:p>
            <w:r>
              <w:rPr>
                <w:sz w:val="20"/>
              </w:rPr>
              <w:t>030-274 8888</w:t>
            </w:r>
          </w:p>
        </w:tc>
        <w:tc>
          <w:tcPr>
            <w:tcW w:type="dxa" w:w="2160"/>
          </w:tcPr>
          <w:p>
            <w:r>
              <w:rPr>
                <w:sz w:val="20"/>
              </w:rPr>
              <w:t>24/7</w:t>
            </w:r>
          </w:p>
        </w:tc>
      </w:tr>
    </w:tbl>
    <w:p/>
    <w:p>
      <w:pPr>
        <w:pStyle w:val="Heading2"/>
      </w:pPr>
      <w:r>
        <w:t>10.5 Eerste hulp</w:t>
      </w:r>
    </w:p>
    <w:p>
      <w:r>
        <w:t>Huidcontact: Onmiddellijk de besmette kleding uittrekken. De aangetaste huid gedurende minimaal 15 minuten royaal spoelen met lauw stromend water. Bij aanhoudende pijn of zichtbaar letsel: direct een arts raadplegen of het NVIC bellen (030-274 8888).</w:t>
      </w:r>
    </w:p>
    <w:p>
      <w:r>
        <w:t>Oogcontact: Ogen minimaal 15 minuten spoelen met water (ogen open houden). Direct een oogarts raadplegen. Oogleden niet wrijven.</w:t>
      </w:r>
    </w:p>
    <w:p>
      <w:r>
        <w:t>Inademing: Slachtoffer naar de frisse lucht brengen. Bij aanhoudende klachten (hoesten, benauwdheid): 112 bellen. Bewusteloosheid: stabiele zijligging, 112 bellen.</w:t>
      </w:r>
    </w:p>
    <w:p>
      <w:r>
        <w:t>Inslikken: Mond spoelen met water. NIET laten braken (extra slokdarmschade door bijtende stoffen). Direct een arts raadplegen. Het NVIC bellen voor advies.</w:t>
      </w:r>
    </w:p>
    <w:p>
      <w:pPr>
        <w:pStyle w:val="Heading1"/>
      </w:pPr>
      <w:r>
        <w:t>11. Training en Instructie</w:t>
      </w:r>
    </w:p>
    <w:p>
      <w:r>
        <w:t>Alle medewerkers die werken met of in de nabijheid van gevaarlijke stoffen ontvangen training conform PGS 15:2025 M85 en M86. De training is gericht op bewustwording van gevaren, correct gebruik van PBM's, en adequaat handelen bij calamiteiten.</w:t>
      </w:r>
    </w:p>
    <w:p>
      <w:pPr>
        <w:pStyle w:val="Heading2"/>
      </w:pPr>
      <w:r>
        <w:t>11.1 Initiële training</w:t>
      </w:r>
    </w:p>
    <w:p>
      <w:r>
        <w:t>Nieuwe medewerkers doorlopen vóór eerste werkzaamheden een initiële training bestaande uit:</w:t>
      </w:r>
    </w:p>
    <w:p>
      <w:pPr>
        <w:pStyle w:val="ListBullet"/>
      </w:pPr>
      <w:r>
        <w:t>• Introductie PGS 15:2025 — toepassingsgebied en relevantie voor Phoenix Metals</w:t>
        <w:br/>
        <w:t>• Overzicht opgeslagen stoffen — eigenschappen, gevaren, compatibiliteit (Chemisch Register)</w:t>
        <w:br/>
        <w:t>• Lees-en-begrip SDS/VIB — structuur, H- en P-zinnen, praktische betekenis</w:t>
        <w:br/>
        <w:t>• PBM-gebruik — selectie, aanschieten, afname, inspectie</w:t>
        <w:br/>
        <w:t>• Opslagregels — scheidingseisen (Tabel 9), lekbakprotocol, maximale hoeveelheden</w:t>
        <w:br/>
        <w:t>• Noodprocedures — lekkage, brand, meng-incident (Hoofdstuk 10)</w:t>
        <w:br/>
        <w:t>• Praktijkoefening — simpele lekkage-oefening met absorptiemateriaal</w:t>
      </w:r>
    </w:p>
    <w:p>
      <w:r>
        <w:t>De initiële training wordt gedocumenteerd en ondertekend door de medewerker en de trainer. De training duurt minimaal 2 uur inclusief praktijkdeel.</w:t>
      </w:r>
    </w:p>
    <w:p>
      <w:pPr>
        <w:pStyle w:val="Heading2"/>
      </w:pPr>
      <w:r>
        <w:t>11.2 Herhalingstraining</w:t>
      </w:r>
    </w:p>
    <w:p>
      <w:r>
        <w:t>Herhalingstraining is verplicht in de volgende gevallen:</w:t>
      </w:r>
    </w:p>
    <w:p>
      <w:pPr>
        <w:pStyle w:val="ListBullet"/>
      </w:pPr>
      <w:r>
        <w:t>• Jaarlijks — voor alle medewerkers met toegang tot de opslag</w:t>
        <w:br/>
        <w:t>• Na een incident — alle betrokkenen en directe collega's binnen 2 weken</w:t>
        <w:br/>
        <w:t>• Bij wijziging — nieuwe stoffen, gewijzigde opslagindeling, of gewijzigde procedures</w:t>
        <w:br/>
        <w:t>• Bij functiewijziging — medewerker krijgt andere taken binnen het opslaggebied</w:t>
      </w:r>
    </w:p>
    <w:p>
      <w:r>
        <w:t>De herhalingstraining is compact (1 uur) en focus op actualiteiten, incidentenlessen en wijzigingen in procedures.</w:t>
      </w:r>
    </w:p>
    <w:p>
      <w:pPr>
        <w:pStyle w:val="Heading2"/>
      </w:pPr>
      <w:r>
        <w:t>11.3 Trainingmatrix</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color="auto" w:fill="003366"/>
          </w:tcPr>
          <w:p>
            <w:r>
              <w:rPr>
                <w:b/>
                <w:color w:val="FFFFFF"/>
                <w:sz w:val="20"/>
              </w:rPr>
              <w:t>Onderwerp</w:t>
            </w:r>
          </w:p>
        </w:tc>
        <w:tc>
          <w:tcPr>
            <w:tcW w:type="dxa" w:w="1440"/>
            <w:shd w:val="clear" w:color="auto" w:fill="003366"/>
          </w:tcPr>
          <w:p>
            <w:r>
              <w:rPr>
                <w:b/>
                <w:color w:val="FFFFFF"/>
                <w:sz w:val="20"/>
              </w:rPr>
              <w:t>Nieuwe medewerker</w:t>
            </w:r>
          </w:p>
        </w:tc>
        <w:tc>
          <w:tcPr>
            <w:tcW w:type="dxa" w:w="1440"/>
            <w:shd w:val="clear" w:color="auto" w:fill="003366"/>
          </w:tcPr>
          <w:p>
            <w:r>
              <w:rPr>
                <w:b/>
                <w:color w:val="FFFFFF"/>
                <w:sz w:val="20"/>
              </w:rPr>
              <w:t>Labmedewerker</w:t>
            </w:r>
          </w:p>
        </w:tc>
        <w:tc>
          <w:tcPr>
            <w:tcW w:type="dxa" w:w="1440"/>
            <w:shd w:val="clear" w:color="auto" w:fill="003366"/>
          </w:tcPr>
          <w:p>
            <w:r>
              <w:rPr>
                <w:b/>
                <w:color w:val="FFFFFF"/>
                <w:sz w:val="20"/>
              </w:rPr>
              <w:t>Lab Manager</w:t>
            </w:r>
          </w:p>
        </w:tc>
        <w:tc>
          <w:tcPr>
            <w:tcW w:type="dxa" w:w="1440"/>
            <w:shd w:val="clear" w:color="auto" w:fill="003366"/>
          </w:tcPr>
          <w:p>
            <w:r>
              <w:rPr>
                <w:b/>
                <w:color w:val="FFFFFF"/>
                <w:sz w:val="20"/>
              </w:rPr>
              <w:t>HSEQ-coördinator</w:t>
            </w:r>
          </w:p>
        </w:tc>
        <w:tc>
          <w:tcPr>
            <w:tcW w:type="dxa" w:w="1440"/>
            <w:shd w:val="clear" w:color="auto" w:fill="003366"/>
          </w:tcPr>
          <w:p>
            <w:r>
              <w:rPr>
                <w:b/>
                <w:color w:val="FFFFFF"/>
                <w:sz w:val="20"/>
              </w:rPr>
              <w:t>Reiniging/Extern</w:t>
            </w:r>
          </w:p>
        </w:tc>
      </w:tr>
      <w:tr>
        <w:tc>
          <w:tcPr>
            <w:tcW w:type="dxa" w:w="1440"/>
          </w:tcPr>
          <w:p>
            <w:r>
              <w:rPr>
                <w:sz w:val="20"/>
              </w:rPr>
              <w:t>PGS 15 introductie</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Stofkenmerken &amp; SDS-lezen</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PBM-gebruik</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Opslagregels &amp; scheiding</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Noodprocedures</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Lekkage praktijkoefening</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Eerste hulp (bijtend)</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Inspectie &amp; documentatie</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r>
        <w:tc>
          <w:tcPr>
            <w:tcW w:type="dxa" w:w="1440"/>
          </w:tcPr>
          <w:p>
            <w:r>
              <w:rPr>
                <w:sz w:val="20"/>
              </w:rPr>
              <w:t>Incidentenregistratie</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c>
          <w:tcPr>
            <w:tcW w:type="dxa" w:w="1440"/>
          </w:tcPr>
          <w:p>
            <w:r>
              <w:rPr>
                <w:sz w:val="20"/>
              </w:rPr>
              <w:t>—</w:t>
            </w:r>
          </w:p>
        </w:tc>
      </w:tr>
    </w:tbl>
    <w:p/>
    <w:p>
      <w:pPr>
        <w:pStyle w:val="Heading1"/>
      </w:pPr>
      <w:r>
        <w:t>12. Documentatie en Registratie</w:t>
      </w:r>
    </w:p>
    <w:p>
      <w:r>
        <w:t>Volledige en actuele documentatie is een vereiste conform PGS 15:2025 M85/M86 en de Arbowet. Phoenix Metals onderhoudt een gestructureerd documentatiebeheerssysteem voor alle aspecten van de gevaarlijke stoffenopslag.</w:t>
      </w:r>
    </w:p>
    <w:p>
      <w:pPr>
        <w:pStyle w:val="Heading2"/>
      </w:pPr>
      <w:r>
        <w:t>12.1 Verplichte documenten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003366"/>
          </w:tcPr>
          <w:p>
            <w:r>
              <w:rPr>
                <w:b/>
                <w:color w:val="FFFFFF"/>
                <w:sz w:val="20"/>
              </w:rPr>
              <w:t>Document</w:t>
            </w:r>
          </w:p>
        </w:tc>
        <w:tc>
          <w:tcPr>
            <w:tcW w:type="dxa" w:w="2160"/>
            <w:shd w:val="clear" w:color="auto" w:fill="003366"/>
          </w:tcPr>
          <w:p>
            <w:r>
              <w:rPr>
                <w:b/>
                <w:color w:val="FFFFFF"/>
                <w:sz w:val="20"/>
              </w:rPr>
              <w:t>Bron/Verwijzing</w:t>
            </w:r>
          </w:p>
        </w:tc>
        <w:tc>
          <w:tcPr>
            <w:tcW w:type="dxa" w:w="2160"/>
            <w:shd w:val="clear" w:color="auto" w:fill="003366"/>
          </w:tcPr>
          <w:p>
            <w:r>
              <w:rPr>
                <w:b/>
                <w:color w:val="FFFFFF"/>
                <w:sz w:val="20"/>
              </w:rPr>
              <w:t>Frequentie update</w:t>
            </w:r>
          </w:p>
        </w:tc>
        <w:tc>
          <w:tcPr>
            <w:tcW w:type="dxa" w:w="2160"/>
            <w:shd w:val="clear" w:color="auto" w:fill="003366"/>
          </w:tcPr>
          <w:p>
            <w:r>
              <w:rPr>
                <w:b/>
                <w:color w:val="FFFFFF"/>
                <w:sz w:val="20"/>
              </w:rPr>
              <w:t>Verantwoordelijke</w:t>
            </w:r>
          </w:p>
        </w:tc>
      </w:tr>
      <w:tr>
        <w:tc>
          <w:tcPr>
            <w:tcW w:type="dxa" w:w="2160"/>
          </w:tcPr>
          <w:p>
            <w:r>
              <w:rPr>
                <w:sz w:val="20"/>
              </w:rPr>
              <w:t>Safety Data Sheets (SDS/VIB)</w:t>
            </w:r>
          </w:p>
        </w:tc>
        <w:tc>
          <w:tcPr>
            <w:tcW w:type="dxa" w:w="2160"/>
          </w:tcPr>
          <w:p>
            <w:r>
              <w:rPr>
                <w:sz w:val="20"/>
              </w:rPr>
              <w:t>Leverancier / REACH</w:t>
            </w:r>
          </w:p>
        </w:tc>
        <w:tc>
          <w:tcPr>
            <w:tcW w:type="dxa" w:w="2160"/>
          </w:tcPr>
          <w:p>
            <w:r>
              <w:rPr>
                <w:sz w:val="20"/>
              </w:rPr>
              <w:t>Bij nieuwe levering of wijziging</w:t>
            </w:r>
          </w:p>
        </w:tc>
        <w:tc>
          <w:tcPr>
            <w:tcW w:type="dxa" w:w="2160"/>
          </w:tcPr>
          <w:p>
            <w:r>
              <w:rPr>
                <w:sz w:val="20"/>
              </w:rPr>
              <w:t>Lab Manager</w:t>
            </w:r>
          </w:p>
        </w:tc>
      </w:tr>
      <w:tr>
        <w:tc>
          <w:tcPr>
            <w:tcW w:type="dxa" w:w="2160"/>
          </w:tcPr>
          <w:p>
            <w:r>
              <w:rPr>
                <w:sz w:val="20"/>
              </w:rPr>
              <w:t>Chemisch Register</w:t>
            </w:r>
          </w:p>
        </w:tc>
        <w:tc>
          <w:tcPr>
            <w:tcW w:type="dxa" w:w="2160"/>
          </w:tcPr>
          <w:p>
            <w:r>
              <w:rPr>
                <w:sz w:val="20"/>
              </w:rPr>
              <w:t>PGS 15 M2</w:t>
            </w:r>
          </w:p>
        </w:tc>
        <w:tc>
          <w:tcPr>
            <w:tcW w:type="dxa" w:w="2160"/>
          </w:tcPr>
          <w:p>
            <w:r>
              <w:rPr>
                <w:sz w:val="20"/>
              </w:rPr>
              <w:t>Continu bijgewerkt</w:t>
            </w:r>
          </w:p>
        </w:tc>
        <w:tc>
          <w:tcPr>
            <w:tcW w:type="dxa" w:w="2160"/>
          </w:tcPr>
          <w:p>
            <w:r>
              <w:rPr>
                <w:sz w:val="20"/>
              </w:rPr>
              <w:t>HSEQ-coördinator</w:t>
            </w:r>
          </w:p>
        </w:tc>
      </w:tr>
      <w:tr>
        <w:tc>
          <w:tcPr>
            <w:tcW w:type="dxa" w:w="2160"/>
          </w:tcPr>
          <w:p>
            <w:r>
              <w:rPr>
                <w:sz w:val="20"/>
              </w:rPr>
              <w:t>Inspectierapporten opslag</w:t>
            </w:r>
          </w:p>
        </w:tc>
        <w:tc>
          <w:tcPr>
            <w:tcW w:type="dxa" w:w="2160"/>
          </w:tcPr>
          <w:p>
            <w:r>
              <w:rPr>
                <w:sz w:val="20"/>
              </w:rPr>
              <w:t>PGS 15 M36/M45</w:t>
            </w:r>
          </w:p>
        </w:tc>
        <w:tc>
          <w:tcPr>
            <w:tcW w:type="dxa" w:w="2160"/>
          </w:tcPr>
          <w:p>
            <w:r>
              <w:rPr>
                <w:sz w:val="20"/>
              </w:rPr>
              <w:t>Maandelijks + incidenteel</w:t>
            </w:r>
          </w:p>
        </w:tc>
        <w:tc>
          <w:tcPr>
            <w:tcW w:type="dxa" w:w="2160"/>
          </w:tcPr>
          <w:p>
            <w:r>
              <w:rPr>
                <w:sz w:val="20"/>
              </w:rPr>
              <w:t>HSEQ-coördinator</w:t>
            </w:r>
          </w:p>
        </w:tc>
      </w:tr>
      <w:tr>
        <w:tc>
          <w:tcPr>
            <w:tcW w:type="dxa" w:w="2160"/>
          </w:tcPr>
          <w:p>
            <w:r>
              <w:rPr>
                <w:sz w:val="20"/>
              </w:rPr>
              <w:t>Trainingrecords</w:t>
            </w:r>
          </w:p>
        </w:tc>
        <w:tc>
          <w:tcPr>
            <w:tcW w:type="dxa" w:w="2160"/>
          </w:tcPr>
          <w:p>
            <w:r>
              <w:rPr>
                <w:sz w:val="20"/>
              </w:rPr>
              <w:t>PGS 15 M85/M86</w:t>
            </w:r>
          </w:p>
        </w:tc>
        <w:tc>
          <w:tcPr>
            <w:tcW w:type="dxa" w:w="2160"/>
          </w:tcPr>
          <w:p>
            <w:r>
              <w:rPr>
                <w:sz w:val="20"/>
              </w:rPr>
              <w:t>Per trainingssessie</w:t>
            </w:r>
          </w:p>
        </w:tc>
        <w:tc>
          <w:tcPr>
            <w:tcW w:type="dxa" w:w="2160"/>
          </w:tcPr>
          <w:p>
            <w:r>
              <w:rPr>
                <w:sz w:val="20"/>
              </w:rPr>
              <w:t>HSEQ-coördinator</w:t>
            </w:r>
          </w:p>
        </w:tc>
      </w:tr>
      <w:tr>
        <w:tc>
          <w:tcPr>
            <w:tcW w:type="dxa" w:w="2160"/>
          </w:tcPr>
          <w:p>
            <w:r>
              <w:rPr>
                <w:sz w:val="20"/>
              </w:rPr>
              <w:t>Incidentenrapporten</w:t>
            </w:r>
          </w:p>
        </w:tc>
        <w:tc>
          <w:tcPr>
            <w:tcW w:type="dxa" w:w="2160"/>
          </w:tcPr>
          <w:p>
            <w:r>
              <w:rPr>
                <w:sz w:val="20"/>
              </w:rPr>
              <w:t>Arbobesluit art. 4.1c</w:t>
            </w:r>
          </w:p>
        </w:tc>
        <w:tc>
          <w:tcPr>
            <w:tcW w:type="dxa" w:w="2160"/>
          </w:tcPr>
          <w:p>
            <w:r>
              <w:rPr>
                <w:sz w:val="20"/>
              </w:rPr>
              <w:t>Per incident</w:t>
            </w:r>
          </w:p>
        </w:tc>
        <w:tc>
          <w:tcPr>
            <w:tcW w:type="dxa" w:w="2160"/>
          </w:tcPr>
          <w:p>
            <w:r>
              <w:rPr>
                <w:sz w:val="20"/>
              </w:rPr>
              <w:t>Lab Manager</w:t>
            </w:r>
          </w:p>
        </w:tc>
      </w:tr>
      <w:tr>
        <w:tc>
          <w:tcPr>
            <w:tcW w:type="dxa" w:w="2160"/>
          </w:tcPr>
          <w:p>
            <w:r>
              <w:rPr>
                <w:sz w:val="20"/>
              </w:rPr>
              <w:t>Noodplan (calamiteitenplan)</w:t>
            </w:r>
          </w:p>
        </w:tc>
        <w:tc>
          <w:tcPr>
            <w:tcW w:type="dxa" w:w="2160"/>
          </w:tcPr>
          <w:p>
            <w:r>
              <w:rPr>
                <w:sz w:val="20"/>
              </w:rPr>
              <w:t>PGS 15 M89</w:t>
            </w:r>
          </w:p>
        </w:tc>
        <w:tc>
          <w:tcPr>
            <w:tcW w:type="dxa" w:w="2160"/>
          </w:tcPr>
          <w:p>
            <w:r>
              <w:rPr>
                <w:sz w:val="20"/>
              </w:rPr>
              <w:t>Jaarlijks review</w:t>
            </w:r>
          </w:p>
        </w:tc>
        <w:tc>
          <w:tcPr>
            <w:tcW w:type="dxa" w:w="2160"/>
          </w:tcPr>
          <w:p>
            <w:r>
              <w:rPr>
                <w:sz w:val="20"/>
              </w:rPr>
              <w:t>HSEQ-coördinator</w:t>
            </w:r>
          </w:p>
        </w:tc>
      </w:tr>
      <w:tr>
        <w:tc>
          <w:tcPr>
            <w:tcW w:type="dxa" w:w="2160"/>
          </w:tcPr>
          <w:p>
            <w:r>
              <w:rPr>
                <w:sz w:val="20"/>
              </w:rPr>
              <w:t>Keuringsrapporten lekbakken/installaties</w:t>
            </w:r>
          </w:p>
        </w:tc>
        <w:tc>
          <w:tcPr>
            <w:tcW w:type="dxa" w:w="2160"/>
          </w:tcPr>
          <w:p>
            <w:r>
              <w:rPr>
                <w:sz w:val="20"/>
              </w:rPr>
              <w:t>Bbl / leverancier</w:t>
            </w:r>
          </w:p>
        </w:tc>
        <w:tc>
          <w:tcPr>
            <w:tcW w:type="dxa" w:w="2160"/>
          </w:tcPr>
          <w:p>
            <w:r>
              <w:rPr>
                <w:sz w:val="20"/>
              </w:rPr>
              <w:t>Jaarlijks</w:t>
            </w:r>
          </w:p>
        </w:tc>
        <w:tc>
          <w:tcPr>
            <w:tcW w:type="dxa" w:w="2160"/>
          </w:tcPr>
          <w:p>
            <w:r>
              <w:rPr>
                <w:sz w:val="20"/>
              </w:rPr>
              <w:t>Facilitair Manager</w:t>
            </w:r>
          </w:p>
        </w:tc>
      </w:tr>
    </w:tbl>
    <w:p/>
    <w:p>
      <w:pPr>
        <w:pStyle w:val="Heading2"/>
      </w:pPr>
      <w:r>
        <w:t>12.2 Bewaartermijnen</w:t>
      </w:r>
    </w:p>
    <w:p>
      <w:r>
        <w:t>Alle documenten met betrekking tot de opslag van gevaarlijke stoffen worden gedurende minimaal 5 jaar bewaard, conform de Arbowet (artikel 4.1c Arbobesluit) en PGS 15:2025. Dit omvat:</w:t>
      </w:r>
    </w:p>
    <w:p>
      <w:pPr>
        <w:pStyle w:val="ListBullet"/>
      </w:pPr>
      <w:r>
        <w:t>• SDS/VIB's: bewaren zolang de stof op locatie aanwezig is, plus 5 jaar na verwijdering</w:t>
        <w:br/>
        <w:t>• Trainingrecords: 5 jaar na datum training</w:t>
        <w:br/>
        <w:t>• Inspectierapporten: 5 jaar na inspectiedatum</w:t>
        <w:br/>
        <w:t>• Incidentenrapporten: 5 jaar na afhandeling</w:t>
        <w:br/>
        <w:t>• Keuringsrapporten: 5 jaar na keuringsdatum</w:t>
      </w:r>
    </w:p>
    <w:p>
      <w:pPr>
        <w:pStyle w:val="Heading2"/>
      </w:pPr>
      <w:r>
        <w:t>12.3 Toegankelijkheid</w:t>
      </w:r>
    </w:p>
    <w:p>
      <w:r>
        <w:t>Documenten zijn fysiek en digitaal toegankelijk ingericht:</w:t>
      </w:r>
    </w:p>
    <w:p>
      <w:pPr>
        <w:pStyle w:val="ListBullet"/>
      </w:pPr>
      <w:r>
        <w:t>• Fysiek: SDS-map bij de opslaglocatie (rood gemarkeerde binder met VIB's van alle 6 stoffen)</w:t>
        <w:br/>
        <w:t>• Digitaal: Gedeelde netwerkschijf (Phoenix Metals SharePoint/share) met mappenstructuur per documenttype</w:t>
        <w:br/>
        <w:t>• Noodcontactenkaart: gelamineerd en zichtbaar opgehangen bij de opslaguitgang</w:t>
        <w:br/>
        <w:t>• Toegang: alle medewerkers met opslagtoegang hebben leesrechten; Lab Manager en HSEQ-coördinator hebben schrijfrechten</w:t>
      </w:r>
    </w:p>
    <w:p>
      <w:r>
        <w:br w:type="page"/>
      </w:r>
    </w:p>
    <w:p>
      <w:pPr>
        <w:pStyle w:val="Heading1"/>
      </w:pPr>
      <w:r>
        <w:t>Bijlagen</w:t>
      </w:r>
    </w:p>
    <w:p>
      <w:pPr>
        <w:pStyle w:val="Heading2"/>
      </w:pPr>
      <w:r>
        <w:t>Bijlage A — Stroomschema Acceptatie Gevaarlijke Stoffen</w:t>
      </w:r>
    </w:p>
    <w:p>
      <w:r>
        <w:t>Het volgende stroomschema beschrijft het acceptatieproces voor nieuwe gevaarlijke stoffen op de Phoenix Metals locatie:</w:t>
      </w:r>
    </w:p>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003366"/>
          </w:tcPr>
          <w:p>
            <w:r>
              <w:rPr>
                <w:b/>
                <w:color w:val="FFFFFF"/>
                <w:sz w:val="20"/>
              </w:rPr>
              <w:t>Stap</w:t>
            </w:r>
          </w:p>
        </w:tc>
        <w:tc>
          <w:tcPr>
            <w:tcW w:type="dxa" w:w="2160"/>
            <w:shd w:val="clear" w:color="auto" w:fill="003366"/>
          </w:tcPr>
          <w:p>
            <w:r>
              <w:rPr>
                <w:b/>
                <w:color w:val="FFFFFF"/>
                <w:sz w:val="20"/>
              </w:rPr>
              <w:t>Actie</w:t>
            </w:r>
          </w:p>
        </w:tc>
        <w:tc>
          <w:tcPr>
            <w:tcW w:type="dxa" w:w="2160"/>
            <w:shd w:val="clear" w:color="auto" w:fill="003366"/>
          </w:tcPr>
          <w:p>
            <w:r>
              <w:rPr>
                <w:b/>
                <w:color w:val="FFFFFF"/>
                <w:sz w:val="20"/>
              </w:rPr>
              <w:t>Verantwoordelijke</w:t>
            </w:r>
          </w:p>
        </w:tc>
        <w:tc>
          <w:tcPr>
            <w:tcW w:type="dxa" w:w="2160"/>
            <w:shd w:val="clear" w:color="auto" w:fill="003366"/>
          </w:tcPr>
          <w:p>
            <w:r>
              <w:rPr>
                <w:b/>
                <w:color w:val="FFFFFF"/>
                <w:sz w:val="20"/>
              </w:rPr>
              <w:t>Resultaat</w:t>
            </w:r>
          </w:p>
        </w:tc>
      </w:tr>
      <w:tr>
        <w:tc>
          <w:tcPr>
            <w:tcW w:type="dxa" w:w="2160"/>
          </w:tcPr>
          <w:p>
            <w:r>
              <w:rPr>
                <w:sz w:val="20"/>
              </w:rPr>
              <w:t>1</w:t>
            </w:r>
          </w:p>
        </w:tc>
        <w:tc>
          <w:tcPr>
            <w:tcW w:type="dxa" w:w="2160"/>
          </w:tcPr>
          <w:p>
            <w:r>
              <w:rPr>
                <w:sz w:val="20"/>
              </w:rPr>
              <w:t>Ontvangst goederen — controleer leveringsbon tegen bestelling</w:t>
            </w:r>
          </w:p>
        </w:tc>
        <w:tc>
          <w:tcPr>
            <w:tcW w:type="dxa" w:w="2160"/>
          </w:tcPr>
          <w:p>
            <w:r>
              <w:rPr>
                <w:sz w:val="20"/>
              </w:rPr>
              <w:t>Labmedewerker</w:t>
            </w:r>
          </w:p>
        </w:tc>
        <w:tc>
          <w:tcPr>
            <w:tcW w:type="dxa" w:w="2160"/>
          </w:tcPr>
          <w:p>
            <w:r>
              <w:rPr>
                <w:sz w:val="20"/>
              </w:rPr>
              <w:t>Goederen geïdentificeerd</w:t>
            </w:r>
          </w:p>
        </w:tc>
      </w:tr>
      <w:tr>
        <w:tc>
          <w:tcPr>
            <w:tcW w:type="dxa" w:w="2160"/>
          </w:tcPr>
          <w:p>
            <w:r>
              <w:rPr>
                <w:sz w:val="20"/>
              </w:rPr>
              <w:t>2</w:t>
            </w:r>
          </w:p>
        </w:tc>
        <w:tc>
          <w:tcPr>
            <w:tcW w:type="dxa" w:w="2160"/>
          </w:tcPr>
          <w:p>
            <w:r>
              <w:rPr>
                <w:sz w:val="20"/>
              </w:rPr>
              <w:t>Controleer SDS/VIB aanwezigheid — ontbrekend? → Leverancier contacten, stof NIET opslaan</w:t>
            </w:r>
          </w:p>
        </w:tc>
        <w:tc>
          <w:tcPr>
            <w:tcW w:type="dxa" w:w="2160"/>
          </w:tcPr>
          <w:p>
            <w:r>
              <w:rPr>
                <w:sz w:val="20"/>
              </w:rPr>
              <w:t>Labmedewerker</w:t>
            </w:r>
          </w:p>
        </w:tc>
        <w:tc>
          <w:tcPr>
            <w:tcW w:type="dxa" w:w="2160"/>
          </w:tcPr>
          <w:p>
            <w:r>
              <w:rPr>
                <w:sz w:val="20"/>
              </w:rPr>
              <w:t>SDS beschikbaar</w:t>
            </w:r>
          </w:p>
        </w:tc>
      </w:tr>
      <w:tr>
        <w:tc>
          <w:tcPr>
            <w:tcW w:type="dxa" w:w="2160"/>
          </w:tcPr>
          <w:p>
            <w:r>
              <w:rPr>
                <w:sz w:val="20"/>
              </w:rPr>
              <w:t>3</w:t>
            </w:r>
          </w:p>
        </w:tc>
        <w:tc>
          <w:tcPr>
            <w:tcW w:type="dxa" w:w="2160"/>
          </w:tcPr>
          <w:p>
            <w:r>
              <w:rPr>
                <w:sz w:val="20"/>
              </w:rPr>
              <w:t>Raadpleeg Tabel 9 (Bijlage E PGS 15) — is de stof compatibel met reeds aanwezige stoffen?</w:t>
            </w:r>
          </w:p>
        </w:tc>
        <w:tc>
          <w:tcPr>
            <w:tcW w:type="dxa" w:w="2160"/>
          </w:tcPr>
          <w:p>
            <w:r>
              <w:rPr>
                <w:sz w:val="20"/>
              </w:rPr>
              <w:t>HSEQ-coördinator</w:t>
            </w:r>
          </w:p>
        </w:tc>
        <w:tc>
          <w:tcPr>
            <w:tcW w:type="dxa" w:w="2160"/>
          </w:tcPr>
          <w:p>
            <w:r>
              <w:rPr>
                <w:sz w:val="20"/>
              </w:rPr>
              <w:t>Compatibiliteitsbeoordeling</w:t>
            </w:r>
          </w:p>
        </w:tc>
      </w:tr>
      <w:tr>
        <w:tc>
          <w:tcPr>
            <w:tcW w:type="dxa" w:w="2160"/>
          </w:tcPr>
          <w:p>
            <w:r>
              <w:rPr>
                <w:sz w:val="20"/>
              </w:rPr>
              <w:t>4</w:t>
            </w:r>
          </w:p>
        </w:tc>
        <w:tc>
          <w:tcPr>
            <w:tcW w:type="dxa" w:w="2160"/>
          </w:tcPr>
          <w:p>
            <w:r>
              <w:rPr>
                <w:sz w:val="20"/>
              </w:rPr>
              <w:t>Bepaal opslaglocatie — toegewezen vak, lekbak, scheidingsafstand conform beoordeling</w:t>
            </w:r>
          </w:p>
        </w:tc>
        <w:tc>
          <w:tcPr>
            <w:tcW w:type="dxa" w:w="2160"/>
          </w:tcPr>
          <w:p>
            <w:r>
              <w:rPr>
                <w:sz w:val="20"/>
              </w:rPr>
              <w:t>Lab Manager</w:t>
            </w:r>
          </w:p>
        </w:tc>
        <w:tc>
          <w:tcPr>
            <w:tcW w:type="dxa" w:w="2160"/>
          </w:tcPr>
          <w:p>
            <w:r>
              <w:rPr>
                <w:sz w:val="20"/>
              </w:rPr>
              <w:t>Toegewezen locatie</w:t>
            </w:r>
          </w:p>
        </w:tc>
      </w:tr>
      <w:tr>
        <w:tc>
          <w:tcPr>
            <w:tcW w:type="dxa" w:w="2160"/>
          </w:tcPr>
          <w:p>
            <w:r>
              <w:rPr>
                <w:sz w:val="20"/>
              </w:rPr>
              <w:t>5</w:t>
            </w:r>
          </w:p>
        </w:tc>
        <w:tc>
          <w:tcPr>
            <w:tcW w:type="dxa" w:w="2160"/>
          </w:tcPr>
          <w:p>
            <w:r>
              <w:rPr>
                <w:sz w:val="20"/>
              </w:rPr>
              <w:t>Update Chemisch Register — voeg stof toe met alle relevante gegevens (CAS, ADR, volume, locatie)</w:t>
            </w:r>
          </w:p>
        </w:tc>
        <w:tc>
          <w:tcPr>
            <w:tcW w:type="dxa" w:w="2160"/>
          </w:tcPr>
          <w:p>
            <w:r>
              <w:rPr>
                <w:sz w:val="20"/>
              </w:rPr>
              <w:t>HSEQ-coördinator</w:t>
            </w:r>
          </w:p>
        </w:tc>
        <w:tc>
          <w:tcPr>
            <w:tcW w:type="dxa" w:w="2160"/>
          </w:tcPr>
          <w:p>
            <w:r>
              <w:rPr>
                <w:sz w:val="20"/>
              </w:rPr>
              <w:t>Register actueel</w:t>
            </w:r>
          </w:p>
        </w:tc>
      </w:tr>
    </w:tbl>
    <w:p/>
    <w:p>
      <w:pPr>
        <w:pStyle w:val="Heading2"/>
      </w:pPr>
      <w:r>
        <w:t>Bijlage B — Inspectieformulier Template</w:t>
      </w:r>
    </w:p>
    <w:p>
      <w:r>
        <w:t>Maandelijks inspectieformulier voor de gevaarlijke stoffenopslag. Invullen door HSEQ-coördinator of Lab Manager.</w:t>
      </w:r>
    </w:p>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003366"/>
          </w:tcPr>
          <w:p>
            <w:r>
              <w:rPr>
                <w:b/>
                <w:color w:val="FFFFFF"/>
                <w:sz w:val="20"/>
              </w:rPr>
              <w:t>Inspectiepunt</w:t>
            </w:r>
          </w:p>
        </w:tc>
        <w:tc>
          <w:tcPr>
            <w:tcW w:type="dxa" w:w="2880"/>
            <w:shd w:val="clear" w:color="auto" w:fill="003366"/>
          </w:tcPr>
          <w:p>
            <w:r>
              <w:rPr>
                <w:b/>
                <w:color w:val="FFFFFF"/>
                <w:sz w:val="20"/>
              </w:rPr>
              <w:t>Conform (✅/❌)</w:t>
            </w:r>
          </w:p>
        </w:tc>
        <w:tc>
          <w:tcPr>
            <w:tcW w:type="dxa" w:w="2880"/>
            <w:shd w:val="clear" w:color="auto" w:fill="003366"/>
          </w:tcPr>
          <w:p>
            <w:r>
              <w:rPr>
                <w:b/>
                <w:color w:val="FFFFFF"/>
                <w:sz w:val="20"/>
              </w:rPr>
              <w:t>Opmerkingen</w:t>
            </w:r>
          </w:p>
        </w:tc>
      </w:tr>
      <w:tr>
        <w:tc>
          <w:tcPr>
            <w:tcW w:type="dxa" w:w="2880"/>
          </w:tcPr>
          <w:p>
            <w:r>
              <w:rPr>
                <w:sz w:val="20"/>
              </w:rPr>
              <w:t>Lekbakken intact en schoon</w:t>
            </w:r>
          </w:p>
        </w:tc>
        <w:tc>
          <w:tcPr>
            <w:tcW w:type="dxa" w:w="2880"/>
          </w:tcPr>
          <w:p>
            <w:r>
              <w:rPr>
                <w:sz w:val="20"/>
              </w:rPr>
            </w:r>
          </w:p>
        </w:tc>
        <w:tc>
          <w:tcPr>
            <w:tcW w:type="dxa" w:w="2880"/>
          </w:tcPr>
          <w:p>
            <w:r>
              <w:rPr>
                <w:sz w:val="20"/>
              </w:rPr>
            </w:r>
          </w:p>
        </w:tc>
      </w:tr>
      <w:tr>
        <w:tc>
          <w:tcPr>
            <w:tcW w:type="dxa" w:w="2880"/>
          </w:tcPr>
          <w:p>
            <w:r>
              <w:rPr>
                <w:sz w:val="20"/>
              </w:rPr>
              <w:t>Vakmarkeringen zichtbaar en compleet</w:t>
            </w:r>
          </w:p>
        </w:tc>
        <w:tc>
          <w:tcPr>
            <w:tcW w:type="dxa" w:w="2880"/>
          </w:tcPr>
          <w:p>
            <w:r>
              <w:rPr>
                <w:sz w:val="20"/>
              </w:rPr>
            </w:r>
          </w:p>
        </w:tc>
        <w:tc>
          <w:tcPr>
            <w:tcW w:type="dxa" w:w="2880"/>
          </w:tcPr>
          <w:p>
            <w:r>
              <w:rPr>
                <w:sz w:val="20"/>
              </w:rPr>
            </w:r>
          </w:p>
        </w:tc>
      </w:tr>
      <w:tr>
        <w:tc>
          <w:tcPr>
            <w:tcW w:type="dxa" w:w="2880"/>
          </w:tcPr>
          <w:p>
            <w:r>
              <w:rPr>
                <w:sz w:val="20"/>
              </w:rPr>
              <w:t>Scheidingsafstanden conform Tabel 9</w:t>
            </w:r>
          </w:p>
        </w:tc>
        <w:tc>
          <w:tcPr>
            <w:tcW w:type="dxa" w:w="2880"/>
          </w:tcPr>
          <w:p>
            <w:r>
              <w:rPr>
                <w:sz w:val="20"/>
              </w:rPr>
            </w:r>
          </w:p>
        </w:tc>
        <w:tc>
          <w:tcPr>
            <w:tcW w:type="dxa" w:w="2880"/>
          </w:tcPr>
          <w:p>
            <w:r>
              <w:rPr>
                <w:sz w:val="20"/>
              </w:rPr>
            </w:r>
          </w:p>
        </w:tc>
      </w:tr>
      <w:tr>
        <w:tc>
          <w:tcPr>
            <w:tcW w:type="dxa" w:w="2880"/>
          </w:tcPr>
          <w:p>
            <w:r>
              <w:rPr>
                <w:sz w:val="20"/>
              </w:rPr>
              <w:t>Verpakkingen intact (geen zwelling, lekkage, corrosie)</w:t>
            </w:r>
          </w:p>
        </w:tc>
        <w:tc>
          <w:tcPr>
            <w:tcW w:type="dxa" w:w="2880"/>
          </w:tcPr>
          <w:p>
            <w:r>
              <w:rPr>
                <w:sz w:val="20"/>
              </w:rPr>
            </w:r>
          </w:p>
        </w:tc>
        <w:tc>
          <w:tcPr>
            <w:tcW w:type="dxa" w:w="2880"/>
          </w:tcPr>
          <w:p>
            <w:r>
              <w:rPr>
                <w:sz w:val="20"/>
              </w:rPr>
            </w:r>
          </w:p>
        </w:tc>
      </w:tr>
      <w:tr>
        <w:tc>
          <w:tcPr>
            <w:tcW w:type="dxa" w:w="2880"/>
          </w:tcPr>
          <w:p>
            <w:r>
              <w:rPr>
                <w:sz w:val="20"/>
              </w:rPr>
              <w:t>Etikettering leesbaar en correct</w:t>
            </w:r>
          </w:p>
        </w:tc>
        <w:tc>
          <w:tcPr>
            <w:tcW w:type="dxa" w:w="2880"/>
          </w:tcPr>
          <w:p>
            <w:r>
              <w:rPr>
                <w:sz w:val="20"/>
              </w:rPr>
            </w:r>
          </w:p>
        </w:tc>
        <w:tc>
          <w:tcPr>
            <w:tcW w:type="dxa" w:w="2880"/>
          </w:tcPr>
          <w:p>
            <w:r>
              <w:rPr>
                <w:sz w:val="20"/>
              </w:rPr>
            </w:r>
          </w:p>
        </w:tc>
      </w:tr>
      <w:tr>
        <w:tc>
          <w:tcPr>
            <w:tcW w:type="dxa" w:w="2880"/>
          </w:tcPr>
          <w:p>
            <w:r>
              <w:rPr>
                <w:sz w:val="20"/>
              </w:rPr>
              <w:t>SDS-map aanwezig en compleet (6 stoffen)</w:t>
            </w:r>
          </w:p>
        </w:tc>
        <w:tc>
          <w:tcPr>
            <w:tcW w:type="dxa" w:w="2880"/>
          </w:tcPr>
          <w:p>
            <w:r>
              <w:rPr>
                <w:sz w:val="20"/>
              </w:rPr>
            </w:r>
          </w:p>
        </w:tc>
        <w:tc>
          <w:tcPr>
            <w:tcW w:type="dxa" w:w="2880"/>
          </w:tcPr>
          <w:p>
            <w:r>
              <w:rPr>
                <w:sz w:val="20"/>
              </w:rPr>
            </w:r>
          </w:p>
        </w:tc>
      </w:tr>
      <w:tr>
        <w:tc>
          <w:tcPr>
            <w:tcW w:type="dxa" w:w="2880"/>
          </w:tcPr>
          <w:p>
            <w:r>
              <w:rPr>
                <w:sz w:val="20"/>
              </w:rPr>
              <w:t>Noodcontactenkaart zichtbaar</w:t>
            </w:r>
          </w:p>
        </w:tc>
        <w:tc>
          <w:tcPr>
            <w:tcW w:type="dxa" w:w="2880"/>
          </w:tcPr>
          <w:p>
            <w:r>
              <w:rPr>
                <w:sz w:val="20"/>
              </w:rPr>
            </w:r>
          </w:p>
        </w:tc>
        <w:tc>
          <w:tcPr>
            <w:tcW w:type="dxa" w:w="2880"/>
          </w:tcPr>
          <w:p>
            <w:r>
              <w:rPr>
                <w:sz w:val="20"/>
              </w:rPr>
            </w:r>
          </w:p>
        </w:tc>
      </w:tr>
      <w:tr>
        <w:tc>
          <w:tcPr>
            <w:tcW w:type="dxa" w:w="2880"/>
          </w:tcPr>
          <w:p>
            <w:r>
              <w:rPr>
                <w:sz w:val="20"/>
              </w:rPr>
              <w:t>PBM's beschikbaar en in goede staat</w:t>
            </w:r>
          </w:p>
        </w:tc>
        <w:tc>
          <w:tcPr>
            <w:tcW w:type="dxa" w:w="2880"/>
          </w:tcPr>
          <w:p>
            <w:r>
              <w:rPr>
                <w:sz w:val="20"/>
              </w:rPr>
            </w:r>
          </w:p>
        </w:tc>
        <w:tc>
          <w:tcPr>
            <w:tcW w:type="dxa" w:w="2880"/>
          </w:tcPr>
          <w:p>
            <w:r>
              <w:rPr>
                <w:sz w:val="20"/>
              </w:rPr>
            </w:r>
          </w:p>
        </w:tc>
      </w:tr>
      <w:tr>
        <w:tc>
          <w:tcPr>
            <w:tcW w:type="dxa" w:w="2880"/>
          </w:tcPr>
          <w:p>
            <w:r>
              <w:rPr>
                <w:sz w:val="20"/>
              </w:rPr>
              <w:t>Absorptiemateriaal voldoende aanwezig</w:t>
            </w:r>
          </w:p>
        </w:tc>
        <w:tc>
          <w:tcPr>
            <w:tcW w:type="dxa" w:w="2880"/>
          </w:tcPr>
          <w:p>
            <w:r>
              <w:rPr>
                <w:sz w:val="20"/>
              </w:rPr>
            </w:r>
          </w:p>
        </w:tc>
        <w:tc>
          <w:tcPr>
            <w:tcW w:type="dxa" w:w="2880"/>
          </w:tcPr>
          <w:p>
            <w:r>
              <w:rPr>
                <w:sz w:val="20"/>
              </w:rPr>
            </w:r>
          </w:p>
        </w:tc>
      </w:tr>
      <w:tr>
        <w:tc>
          <w:tcPr>
            <w:tcW w:type="dxa" w:w="2880"/>
          </w:tcPr>
          <w:p>
            <w:r>
              <w:rPr>
                <w:sz w:val="20"/>
              </w:rPr>
              <w:t>Ventilatie functioneel (indien van toepassing)</w:t>
            </w:r>
          </w:p>
        </w:tc>
        <w:tc>
          <w:tcPr>
            <w:tcW w:type="dxa" w:w="2880"/>
          </w:tcPr>
          <w:p>
            <w:r>
              <w:rPr>
                <w:sz w:val="20"/>
              </w:rPr>
            </w:r>
          </w:p>
        </w:tc>
        <w:tc>
          <w:tcPr>
            <w:tcW w:type="dxa" w:w="2880"/>
          </w:tcPr>
          <w:p>
            <w:r>
              <w:rPr>
                <w:sz w:val="20"/>
              </w:rPr>
            </w:r>
          </w:p>
        </w:tc>
      </w:tr>
      <w:tr>
        <w:tc>
          <w:tcPr>
            <w:tcW w:type="dxa" w:w="2880"/>
          </w:tcPr>
          <w:p>
            <w:r>
              <w:rPr>
                <w:sz w:val="20"/>
              </w:rPr>
              <w:t>Toegang tot opslag vrij van obstakels</w:t>
            </w:r>
          </w:p>
        </w:tc>
        <w:tc>
          <w:tcPr>
            <w:tcW w:type="dxa" w:w="2880"/>
          </w:tcPr>
          <w:p>
            <w:r>
              <w:rPr>
                <w:sz w:val="20"/>
              </w:rPr>
            </w:r>
          </w:p>
        </w:tc>
        <w:tc>
          <w:tcPr>
            <w:tcW w:type="dxa" w:w="2880"/>
          </w:tcPr>
          <w:p>
            <w:r>
              <w:rPr>
                <w:sz w:val="20"/>
              </w:rPr>
            </w:r>
          </w:p>
        </w:tc>
      </w:tr>
      <w:tr>
        <w:tc>
          <w:tcPr>
            <w:tcW w:type="dxa" w:w="2880"/>
          </w:tcPr>
          <w:p>
            <w:r>
              <w:rPr>
                <w:sz w:val="20"/>
              </w:rPr>
              <w:t>Blustoestel bereikbaar en gekeurd</w:t>
            </w:r>
          </w:p>
        </w:tc>
        <w:tc>
          <w:tcPr>
            <w:tcW w:type="dxa" w:w="2880"/>
          </w:tcPr>
          <w:p>
            <w:r>
              <w:rPr>
                <w:sz w:val="20"/>
              </w:rPr>
            </w:r>
          </w:p>
        </w:tc>
        <w:tc>
          <w:tcPr>
            <w:tcW w:type="dxa" w:w="2880"/>
          </w:tcPr>
          <w:p>
            <w:r>
              <w:rPr>
                <w:sz w:val="20"/>
              </w:rPr>
            </w:r>
          </w:p>
        </w:tc>
      </w:tr>
    </w:tbl>
    <w:p/>
    <w:p>
      <w:r>
        <w:t>Inspecteur: _______________ Datum: _______________ Handtekening: _______________</w:t>
      </w:r>
    </w:p>
    <w:p>
      <w:pPr>
        <w:pStyle w:val="Heading2"/>
      </w:pPr>
      <w:r>
        <w:t>Bijlage C — Noodcontacten Kaart</w:t>
      </w:r>
    </w:p>
    <w:p>
      <w:r>
        <w:t>Deze kaart wordt gelamineerd en zichtbaar opgehangen bij de uitgang van de opslaglocatie.</w:t>
      </w:r>
    </w:p>
    <w:p/>
    <w:p>
      <w:pPr/>
      <w:r>
        <w:rPr>
          <w:b/>
        </w:rPr>
        <w:t>⚠️ PHOENIX METALS IJMUIDEN — NOODCONTACTEN ⚠</w:t>
      </w:r>
    </w:p>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003366"/>
          </w:tcPr>
          <w:p>
            <w:r>
              <w:rPr>
                <w:b/>
                <w:color w:val="FFFFFF"/>
                <w:sz w:val="20"/>
              </w:rPr>
              <w:t>Noodgeval</w:t>
            </w:r>
          </w:p>
        </w:tc>
        <w:tc>
          <w:tcPr>
            <w:tcW w:type="dxa" w:w="2880"/>
            <w:shd w:val="clear" w:color="auto" w:fill="003366"/>
          </w:tcPr>
          <w:p>
            <w:r>
              <w:rPr>
                <w:b/>
                <w:color w:val="FFFFFF"/>
                <w:sz w:val="20"/>
              </w:rPr>
              <w:t>Actie</w:t>
            </w:r>
          </w:p>
        </w:tc>
        <w:tc>
          <w:tcPr>
            <w:tcW w:type="dxa" w:w="2880"/>
            <w:shd w:val="clear" w:color="auto" w:fill="003366"/>
          </w:tcPr>
          <w:p>
            <w:r>
              <w:rPr>
                <w:b/>
                <w:color w:val="FFFFFF"/>
                <w:sz w:val="20"/>
              </w:rPr>
              <w:t>Telefoon</w:t>
            </w:r>
          </w:p>
        </w:tc>
      </w:tr>
      <w:tr>
        <w:tc>
          <w:tcPr>
            <w:tcW w:type="dxa" w:w="2880"/>
          </w:tcPr>
          <w:p>
            <w:r>
              <w:rPr>
                <w:sz w:val="20"/>
              </w:rPr>
              <w:t>Brand / Lekkage (groot)</w:t>
            </w:r>
          </w:p>
        </w:tc>
        <w:tc>
          <w:tcPr>
            <w:tcW w:type="dxa" w:w="2880"/>
          </w:tcPr>
          <w:p>
            <w:r>
              <w:rPr>
                <w:sz w:val="20"/>
              </w:rPr>
              <w:t>Evacueer → Bel 112</w:t>
            </w:r>
          </w:p>
        </w:tc>
        <w:tc>
          <w:tcPr>
            <w:tcW w:type="dxa" w:w="2880"/>
          </w:tcPr>
          <w:p>
            <w:r>
              <w:rPr>
                <w:sz w:val="20"/>
              </w:rPr>
              <w:t>112</w:t>
            </w:r>
          </w:p>
        </w:tc>
      </w:tr>
      <w:tr>
        <w:tc>
          <w:tcPr>
            <w:tcW w:type="dxa" w:w="2880"/>
          </w:tcPr>
          <w:p>
            <w:r>
              <w:rPr>
                <w:sz w:val="20"/>
              </w:rPr>
              <w:t>Eerste hulp (bijtend)</w:t>
            </w:r>
          </w:p>
        </w:tc>
        <w:tc>
          <w:tcPr>
            <w:tcW w:type="dxa" w:w="2880"/>
          </w:tcPr>
          <w:p>
            <w:r>
              <w:rPr>
                <w:sz w:val="20"/>
              </w:rPr>
              <w:t>Spoel 15 min → Arts</w:t>
            </w:r>
          </w:p>
        </w:tc>
        <w:tc>
          <w:tcPr>
            <w:tcW w:type="dxa" w:w="2880"/>
          </w:tcPr>
          <w:p>
            <w:r>
              <w:rPr>
                <w:sz w:val="20"/>
              </w:rPr>
              <w:t>112 / Bedrijfsarts</w:t>
            </w:r>
          </w:p>
        </w:tc>
      </w:tr>
      <w:tr>
        <w:tc>
          <w:tcPr>
            <w:tcW w:type="dxa" w:w="2880"/>
          </w:tcPr>
          <w:p>
            <w:r>
              <w:rPr>
                <w:sz w:val="20"/>
              </w:rPr>
              <w:t>Vergiftiging / Inslikken</w:t>
            </w:r>
          </w:p>
        </w:tc>
        <w:tc>
          <w:tcPr>
            <w:tcW w:type="dxa" w:w="2880"/>
          </w:tcPr>
          <w:p>
            <w:r>
              <w:rPr>
                <w:sz w:val="20"/>
              </w:rPr>
              <w:t>NIET braken → NVIC bellen</w:t>
            </w:r>
          </w:p>
        </w:tc>
        <w:tc>
          <w:tcPr>
            <w:tcW w:type="dxa" w:w="2880"/>
          </w:tcPr>
          <w:p>
            <w:r>
              <w:rPr>
                <w:sz w:val="20"/>
              </w:rPr>
              <w:t>030-274 8888</w:t>
            </w:r>
          </w:p>
        </w:tc>
      </w:tr>
      <w:tr>
        <w:tc>
          <w:tcPr>
            <w:tcW w:type="dxa" w:w="2880"/>
          </w:tcPr>
          <w:p>
            <w:r>
              <w:rPr>
                <w:sz w:val="20"/>
              </w:rPr>
              <w:t>Milieucalamiteit</w:t>
            </w:r>
          </w:p>
        </w:tc>
        <w:tc>
          <w:tcPr>
            <w:tcW w:type="dxa" w:w="2880"/>
          </w:tcPr>
          <w:p>
            <w:r>
              <w:rPr>
                <w:sz w:val="20"/>
              </w:rPr>
              <w:t>Rijkswaterstaat informeren</w:t>
            </w:r>
          </w:p>
        </w:tc>
        <w:tc>
          <w:tcPr>
            <w:tcW w:type="dxa" w:w="2880"/>
          </w:tcPr>
          <w:p>
            <w:r>
              <w:rPr>
                <w:sz w:val="20"/>
              </w:rPr>
              <w:t>0800-0650</w:t>
            </w:r>
          </w:p>
        </w:tc>
      </w:tr>
      <w:tr>
        <w:tc>
          <w:tcPr>
            <w:tcW w:type="dxa" w:w="2880"/>
          </w:tcPr>
          <w:p>
            <w:r>
              <w:rPr>
                <w:sz w:val="20"/>
              </w:rPr>
              <w:t>Intern — Lab Manager</w:t>
            </w:r>
          </w:p>
        </w:tc>
        <w:tc>
          <w:tcPr>
            <w:tcW w:type="dxa" w:w="2880"/>
          </w:tcPr>
          <w:p>
            <w:r>
              <w:rPr>
                <w:sz w:val="20"/>
              </w:rPr>
              <w:t>[Naam] — [Interne lijn]</w:t>
            </w:r>
          </w:p>
        </w:tc>
        <w:tc>
          <w:tcPr>
            <w:tcW w:type="dxa" w:w="2880"/>
          </w:tcPr>
          <w:p>
            <w:r>
              <w:rPr>
                <w:sz w:val="20"/>
              </w:rPr>
              <w:t>[Nummer]</w:t>
            </w:r>
          </w:p>
        </w:tc>
      </w:tr>
      <w:tr>
        <w:tc>
          <w:tcPr>
            <w:tcW w:type="dxa" w:w="2880"/>
          </w:tcPr>
          <w:p>
            <w:r>
              <w:rPr>
                <w:sz w:val="20"/>
              </w:rPr>
              <w:t>Intern — HSEQ</w:t>
            </w:r>
          </w:p>
        </w:tc>
        <w:tc>
          <w:tcPr>
            <w:tcW w:type="dxa" w:w="2880"/>
          </w:tcPr>
          <w:p>
            <w:r>
              <w:rPr>
                <w:sz w:val="20"/>
              </w:rPr>
              <w:t>[Naam] — [Interne lijn]</w:t>
            </w:r>
          </w:p>
        </w:tc>
        <w:tc>
          <w:tcPr>
            <w:tcW w:type="dxa" w:w="2880"/>
          </w:tcPr>
          <w:p>
            <w:r>
              <w:rPr>
                <w:sz w:val="20"/>
              </w:rPr>
              <w:t>[Nummer]</w:t>
            </w:r>
          </w:p>
        </w:tc>
      </w:tr>
    </w:tbl>
    <w:p/>
    <w:p>
      <w:r>
        <w:t>Locatie: Storage rack in front of lab — Phoenix Metals IJmuiden</w:t>
      </w:r>
    </w:p>
    <w:p>
      <w:pPr>
        <w:pStyle w:val="Heading2"/>
      </w:pPr>
      <w:r>
        <w:t>Bijlage D — Referenties PGS 15:2025</w:t>
      </w:r>
    </w:p>
    <w:p>
      <w:r>
        <w:t>Onderstaande referenties vormen de basis van deze procedure:</w:t>
      </w:r>
    </w:p>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003366"/>
          </w:tcPr>
          <w:p>
            <w:r>
              <w:rPr>
                <w:b/>
                <w:color w:val="FFFFFF"/>
                <w:sz w:val="20"/>
              </w:rPr>
              <w:t>#</w:t>
            </w:r>
          </w:p>
        </w:tc>
        <w:tc>
          <w:tcPr>
            <w:tcW w:type="dxa" w:w="2880"/>
            <w:shd w:val="clear" w:color="auto" w:fill="003366"/>
          </w:tcPr>
          <w:p>
            <w:r>
              <w:rPr>
                <w:b/>
                <w:color w:val="FFFFFF"/>
                <w:sz w:val="20"/>
              </w:rPr>
              <w:t>Referentie</w:t>
            </w:r>
          </w:p>
        </w:tc>
        <w:tc>
          <w:tcPr>
            <w:tcW w:type="dxa" w:w="2880"/>
            <w:shd w:val="clear" w:color="auto" w:fill="003366"/>
          </w:tcPr>
          <w:p>
            <w:r>
              <w:rPr>
                <w:b/>
                <w:color w:val="FFFFFF"/>
                <w:sz w:val="20"/>
              </w:rPr>
              <w:t>Onderwerp</w:t>
            </w:r>
          </w:p>
        </w:tc>
      </w:tr>
      <w:tr>
        <w:tc>
          <w:tcPr>
            <w:tcW w:type="dxa" w:w="2880"/>
          </w:tcPr>
          <w:p>
            <w:r>
              <w:rPr>
                <w:sz w:val="20"/>
              </w:rPr>
              <w:t>1</w:t>
            </w:r>
          </w:p>
        </w:tc>
        <w:tc>
          <w:tcPr>
            <w:tcW w:type="dxa" w:w="2880"/>
          </w:tcPr>
          <w:p>
            <w:r>
              <w:rPr>
                <w:sz w:val="20"/>
              </w:rPr>
              <w:t>PGS 15:2025 — Hoofddocument</w:t>
            </w:r>
          </w:p>
        </w:tc>
        <w:tc>
          <w:tcPr>
            <w:tcW w:type="dxa" w:w="2880"/>
          </w:tcPr>
          <w:p>
            <w:r>
              <w:rPr>
                <w:sz w:val="20"/>
              </w:rPr>
              <w:t>Algemene richtlijn opslag verpakte gevaarlijke stoffen</w:t>
            </w:r>
          </w:p>
        </w:tc>
      </w:tr>
      <w:tr>
        <w:tc>
          <w:tcPr>
            <w:tcW w:type="dxa" w:w="2880"/>
          </w:tcPr>
          <w:p>
            <w:r>
              <w:rPr>
                <w:sz w:val="20"/>
              </w:rPr>
              <w:t>2</w:t>
            </w:r>
          </w:p>
        </w:tc>
        <w:tc>
          <w:tcPr>
            <w:tcW w:type="dxa" w:w="2880"/>
          </w:tcPr>
          <w:p>
            <w:r>
              <w:rPr>
                <w:sz w:val="20"/>
              </w:rPr>
              <w:t>PGS 15 Bijlage E — Tabel 9</w:t>
            </w:r>
          </w:p>
        </w:tc>
        <w:tc>
          <w:tcPr>
            <w:tcW w:type="dxa" w:w="2880"/>
          </w:tcPr>
          <w:p>
            <w:r>
              <w:rPr>
                <w:sz w:val="20"/>
              </w:rPr>
              <w:t>Compatibiliteitsmatrix stoffenscheiding</w:t>
            </w:r>
          </w:p>
        </w:tc>
      </w:tr>
      <w:tr>
        <w:tc>
          <w:tcPr>
            <w:tcW w:type="dxa" w:w="2880"/>
          </w:tcPr>
          <w:p>
            <w:r>
              <w:rPr>
                <w:sz w:val="20"/>
              </w:rPr>
              <w:t>3</w:t>
            </w:r>
          </w:p>
        </w:tc>
        <w:tc>
          <w:tcPr>
            <w:tcW w:type="dxa" w:w="2880"/>
          </w:tcPr>
          <w:p>
            <w:r>
              <w:rPr>
                <w:sz w:val="20"/>
              </w:rPr>
              <w:t>PGS 15 Tabel 6</w:t>
            </w:r>
          </w:p>
        </w:tc>
        <w:tc>
          <w:tcPr>
            <w:tcW w:type="dxa" w:w="2880"/>
          </w:tcPr>
          <w:p>
            <w:r>
              <w:rPr>
                <w:sz w:val="20"/>
              </w:rPr>
              <w:t>Drempelwaarden veiligheidsniveaus per ADR-klasse</w:t>
            </w:r>
          </w:p>
        </w:tc>
      </w:tr>
      <w:tr>
        <w:tc>
          <w:tcPr>
            <w:tcW w:type="dxa" w:w="2880"/>
          </w:tcPr>
          <w:p>
            <w:r>
              <w:rPr>
                <w:sz w:val="20"/>
              </w:rPr>
              <w:t>4</w:t>
            </w:r>
          </w:p>
        </w:tc>
        <w:tc>
          <w:tcPr>
            <w:tcW w:type="dxa" w:w="2880"/>
          </w:tcPr>
          <w:p>
            <w:r>
              <w:rPr>
                <w:sz w:val="20"/>
              </w:rPr>
              <w:t>PGS 15 Tabel 7</w:t>
            </w:r>
          </w:p>
        </w:tc>
        <w:tc>
          <w:tcPr>
            <w:tcW w:type="dxa" w:w="2880"/>
          </w:tcPr>
          <w:p>
            <w:r>
              <w:rPr>
                <w:sz w:val="20"/>
              </w:rPr>
              <w:t>Ondergrenzen toepasselijkheid per ADR-klasse</w:t>
            </w:r>
          </w:p>
        </w:tc>
      </w:tr>
      <w:tr>
        <w:tc>
          <w:tcPr>
            <w:tcW w:type="dxa" w:w="2880"/>
          </w:tcPr>
          <w:p>
            <w:r>
              <w:rPr>
                <w:sz w:val="20"/>
              </w:rPr>
              <w:t>5</w:t>
            </w:r>
          </w:p>
        </w:tc>
        <w:tc>
          <w:tcPr>
            <w:tcW w:type="dxa" w:w="2880"/>
          </w:tcPr>
          <w:p>
            <w:r>
              <w:rPr>
                <w:sz w:val="20"/>
              </w:rPr>
              <w:t>PGS 15 M2</w:t>
            </w:r>
          </w:p>
        </w:tc>
        <w:tc>
          <w:tcPr>
            <w:tcW w:type="dxa" w:w="2880"/>
          </w:tcPr>
          <w:p>
            <w:r>
              <w:rPr>
                <w:sz w:val="20"/>
              </w:rPr>
              <w:t>Opslag in daarvoor bestemde voorziening</w:t>
            </w:r>
          </w:p>
        </w:tc>
      </w:tr>
      <w:tr>
        <w:tc>
          <w:tcPr>
            <w:tcW w:type="dxa" w:w="2880"/>
          </w:tcPr>
          <w:p>
            <w:r>
              <w:rPr>
                <w:sz w:val="20"/>
              </w:rPr>
              <w:t>6</w:t>
            </w:r>
          </w:p>
        </w:tc>
        <w:tc>
          <w:tcPr>
            <w:tcW w:type="dxa" w:w="2880"/>
          </w:tcPr>
          <w:p>
            <w:r>
              <w:rPr>
                <w:sz w:val="20"/>
              </w:rPr>
              <w:t>PGS 15 M14</w:t>
            </w:r>
          </w:p>
        </w:tc>
        <w:tc>
          <w:tcPr>
            <w:tcW w:type="dxa" w:w="2880"/>
          </w:tcPr>
          <w:p>
            <w:r>
              <w:rPr>
                <w:sz w:val="20"/>
              </w:rPr>
              <w:t>Werkvoorraadregeling</w:t>
            </w:r>
          </w:p>
        </w:tc>
      </w:tr>
      <w:tr>
        <w:tc>
          <w:tcPr>
            <w:tcW w:type="dxa" w:w="2880"/>
          </w:tcPr>
          <w:p>
            <w:r>
              <w:rPr>
                <w:sz w:val="20"/>
              </w:rPr>
              <w:t>7</w:t>
            </w:r>
          </w:p>
        </w:tc>
        <w:tc>
          <w:tcPr>
            <w:tcW w:type="dxa" w:w="2880"/>
          </w:tcPr>
          <w:p>
            <w:r>
              <w:rPr>
                <w:sz w:val="20"/>
              </w:rPr>
              <w:t>PGS 15 M15</w:t>
            </w:r>
          </w:p>
        </w:tc>
        <w:tc>
          <w:tcPr>
            <w:tcW w:type="dxa" w:w="2880"/>
          </w:tcPr>
          <w:p>
            <w:r>
              <w:rPr>
                <w:sz w:val="20"/>
              </w:rPr>
              <w:t>Maximum oppervlakte brandcompartiment</w:t>
            </w:r>
          </w:p>
        </w:tc>
      </w:tr>
      <w:tr>
        <w:tc>
          <w:tcPr>
            <w:tcW w:type="dxa" w:w="2880"/>
          </w:tcPr>
          <w:p>
            <w:r>
              <w:rPr>
                <w:sz w:val="20"/>
              </w:rPr>
              <w:t>8</w:t>
            </w:r>
          </w:p>
        </w:tc>
        <w:tc>
          <w:tcPr>
            <w:tcW w:type="dxa" w:w="2880"/>
          </w:tcPr>
          <w:p>
            <w:r>
              <w:rPr>
                <w:sz w:val="20"/>
              </w:rPr>
              <w:t>PGS 15 M30</w:t>
            </w:r>
          </w:p>
        </w:tc>
        <w:tc>
          <w:tcPr>
            <w:tcW w:type="dxa" w:w="2880"/>
          </w:tcPr>
          <w:p>
            <w:r>
              <w:rPr>
                <w:sz w:val="20"/>
              </w:rPr>
              <w:t>Vloeistofopvang (lekbakken) en ventilatie</w:t>
            </w:r>
          </w:p>
        </w:tc>
      </w:tr>
      <w:tr>
        <w:tc>
          <w:tcPr>
            <w:tcW w:type="dxa" w:w="2880"/>
          </w:tcPr>
          <w:p>
            <w:r>
              <w:rPr>
                <w:sz w:val="20"/>
              </w:rPr>
              <w:t>9</w:t>
            </w:r>
          </w:p>
        </w:tc>
        <w:tc>
          <w:tcPr>
            <w:tcW w:type="dxa" w:w="2880"/>
          </w:tcPr>
          <w:p>
            <w:r>
              <w:rPr>
                <w:sz w:val="20"/>
              </w:rPr>
              <w:t>PGS 15 M35</w:t>
            </w:r>
          </w:p>
        </w:tc>
        <w:tc>
          <w:tcPr>
            <w:tcW w:type="dxa" w:w="2880"/>
          </w:tcPr>
          <w:p>
            <w:r>
              <w:rPr>
                <w:sz w:val="20"/>
              </w:rPr>
              <w:t>Stoffenscheiding</w:t>
            </w:r>
          </w:p>
        </w:tc>
      </w:tr>
      <w:tr>
        <w:tc>
          <w:tcPr>
            <w:tcW w:type="dxa" w:w="2880"/>
          </w:tcPr>
          <w:p>
            <w:r>
              <w:rPr>
                <w:sz w:val="20"/>
              </w:rPr>
              <w:t>10</w:t>
            </w:r>
          </w:p>
        </w:tc>
        <w:tc>
          <w:tcPr>
            <w:tcW w:type="dxa" w:w="2880"/>
          </w:tcPr>
          <w:p>
            <w:r>
              <w:rPr>
                <w:sz w:val="20"/>
              </w:rPr>
              <w:t>PGS 15 M36/M45</w:t>
            </w:r>
          </w:p>
        </w:tc>
        <w:tc>
          <w:tcPr>
            <w:tcW w:type="dxa" w:w="2880"/>
          </w:tcPr>
          <w:p>
            <w:r>
              <w:rPr>
                <w:sz w:val="20"/>
              </w:rPr>
              <w:t>Verpakkingsintegriteit</w:t>
            </w:r>
          </w:p>
        </w:tc>
      </w:tr>
      <w:tr>
        <w:tc>
          <w:tcPr>
            <w:tcW w:type="dxa" w:w="2880"/>
          </w:tcPr>
          <w:p>
            <w:r>
              <w:rPr>
                <w:sz w:val="20"/>
              </w:rPr>
              <w:t>11</w:t>
            </w:r>
          </w:p>
        </w:tc>
        <w:tc>
          <w:tcPr>
            <w:tcW w:type="dxa" w:w="2880"/>
          </w:tcPr>
          <w:p>
            <w:r>
              <w:rPr>
                <w:sz w:val="20"/>
              </w:rPr>
              <w:t>PGS 15 M77/M78</w:t>
            </w:r>
          </w:p>
        </w:tc>
        <w:tc>
          <w:tcPr>
            <w:tcW w:type="dxa" w:w="2880"/>
          </w:tcPr>
          <w:p>
            <w:r>
              <w:rPr>
                <w:sz w:val="20"/>
              </w:rPr>
              <w:t>Fysieke bescherming (botsbeveiliging)</w:t>
            </w:r>
          </w:p>
        </w:tc>
      </w:tr>
      <w:tr>
        <w:tc>
          <w:tcPr>
            <w:tcW w:type="dxa" w:w="2880"/>
          </w:tcPr>
          <w:p>
            <w:r>
              <w:rPr>
                <w:sz w:val="20"/>
              </w:rPr>
              <w:t>12</w:t>
            </w:r>
          </w:p>
        </w:tc>
        <w:tc>
          <w:tcPr>
            <w:tcW w:type="dxa" w:w="2880"/>
          </w:tcPr>
          <w:p>
            <w:r>
              <w:rPr>
                <w:sz w:val="20"/>
              </w:rPr>
              <w:t>PGS 15 M85/M86</w:t>
            </w:r>
          </w:p>
        </w:tc>
        <w:tc>
          <w:tcPr>
            <w:tcW w:type="dxa" w:w="2880"/>
          </w:tcPr>
          <w:p>
            <w:r>
              <w:rPr>
                <w:sz w:val="20"/>
              </w:rPr>
              <w:t>Personeelsdeskundigheid en training</w:t>
            </w:r>
          </w:p>
        </w:tc>
      </w:tr>
      <w:tr>
        <w:tc>
          <w:tcPr>
            <w:tcW w:type="dxa" w:w="2880"/>
          </w:tcPr>
          <w:p>
            <w:r>
              <w:rPr>
                <w:sz w:val="20"/>
              </w:rPr>
              <w:t>13</w:t>
            </w:r>
          </w:p>
        </w:tc>
        <w:tc>
          <w:tcPr>
            <w:tcW w:type="dxa" w:w="2880"/>
          </w:tcPr>
          <w:p>
            <w:r>
              <w:rPr>
                <w:sz w:val="20"/>
              </w:rPr>
              <w:t>PGS 15 M89</w:t>
            </w:r>
          </w:p>
        </w:tc>
        <w:tc>
          <w:tcPr>
            <w:tcW w:type="dxa" w:w="2880"/>
          </w:tcPr>
          <w:p>
            <w:r>
              <w:rPr>
                <w:sz w:val="20"/>
              </w:rPr>
              <w:t>Noodplan (calamiteitenplan)</w:t>
            </w:r>
          </w:p>
        </w:tc>
      </w:tr>
      <w:tr>
        <w:tc>
          <w:tcPr>
            <w:tcW w:type="dxa" w:w="2880"/>
          </w:tcPr>
          <w:p>
            <w:r>
              <w:rPr>
                <w:sz w:val="20"/>
              </w:rPr>
              <w:t>14</w:t>
            </w:r>
          </w:p>
        </w:tc>
        <w:tc>
          <w:tcPr>
            <w:tcW w:type="dxa" w:w="2880"/>
          </w:tcPr>
          <w:p>
            <w:r>
              <w:rPr>
                <w:sz w:val="20"/>
              </w:rPr>
              <w:t>PGS 15 M96</w:t>
            </w:r>
          </w:p>
        </w:tc>
        <w:tc>
          <w:tcPr>
            <w:tcW w:type="dxa" w:w="2880"/>
          </w:tcPr>
          <w:p>
            <w:r>
              <w:rPr>
                <w:sz w:val="20"/>
              </w:rPr>
              <w:t>VBB-installatie (indien van toepassing)</w:t>
            </w:r>
          </w:p>
        </w:tc>
      </w:tr>
      <w:tr>
        <w:tc>
          <w:tcPr>
            <w:tcW w:type="dxa" w:w="2880"/>
          </w:tcPr>
          <w:p>
            <w:r>
              <w:rPr>
                <w:sz w:val="20"/>
              </w:rPr>
              <w:t>15</w:t>
            </w:r>
          </w:p>
        </w:tc>
        <w:tc>
          <w:tcPr>
            <w:tcW w:type="dxa" w:w="2880"/>
          </w:tcPr>
          <w:p>
            <w:r>
              <w:rPr>
                <w:sz w:val="20"/>
              </w:rPr>
              <w:t>PGS 15 M97</w:t>
            </w:r>
          </w:p>
        </w:tc>
        <w:tc>
          <w:tcPr>
            <w:tcW w:type="dxa" w:w="2880"/>
          </w:tcPr>
          <w:p>
            <w:r>
              <w:rPr>
                <w:sz w:val="20"/>
              </w:rPr>
              <w:t>Branddetectie en doormelding</w:t>
            </w:r>
          </w:p>
        </w:tc>
      </w:tr>
      <w:tr>
        <w:tc>
          <w:tcPr>
            <w:tcW w:type="dxa" w:w="2880"/>
          </w:tcPr>
          <w:p>
            <w:r>
              <w:rPr>
                <w:sz w:val="20"/>
              </w:rPr>
              <w:t>16</w:t>
            </w:r>
          </w:p>
        </w:tc>
        <w:tc>
          <w:tcPr>
            <w:tcW w:type="dxa" w:w="2880"/>
          </w:tcPr>
          <w:p>
            <w:r>
              <w:rPr>
                <w:sz w:val="20"/>
              </w:rPr>
              <w:t>PGS 15 M109</w:t>
            </w:r>
          </w:p>
        </w:tc>
        <w:tc>
          <w:tcPr>
            <w:tcW w:type="dxa" w:w="2880"/>
          </w:tcPr>
          <w:p>
            <w:r>
              <w:rPr>
                <w:sz w:val="20"/>
              </w:rPr>
              <w:t>Toegankelijkheid voor hulpdiensten</w:t>
            </w:r>
          </w:p>
        </w:tc>
      </w:tr>
      <w:tr>
        <w:tc>
          <w:tcPr>
            <w:tcW w:type="dxa" w:w="2880"/>
          </w:tcPr>
          <w:p>
            <w:r>
              <w:rPr>
                <w:sz w:val="20"/>
              </w:rPr>
              <w:t>17</w:t>
            </w:r>
          </w:p>
        </w:tc>
        <w:tc>
          <w:tcPr>
            <w:tcW w:type="dxa" w:w="2880"/>
          </w:tcPr>
          <w:p>
            <w:r>
              <w:rPr>
                <w:sz w:val="20"/>
              </w:rPr>
              <w:t>ADR (Accord européen)</w:t>
            </w:r>
          </w:p>
        </w:tc>
        <w:tc>
          <w:tcPr>
            <w:tcW w:type="dxa" w:w="2880"/>
          </w:tcPr>
          <w:p>
            <w:r>
              <w:rPr>
                <w:sz w:val="20"/>
              </w:rPr>
              <w:t>Transportclassificatie gevaarlijke stoffen</w:t>
            </w:r>
          </w:p>
        </w:tc>
      </w:tr>
      <w:tr>
        <w:tc>
          <w:tcPr>
            <w:tcW w:type="dxa" w:w="2880"/>
          </w:tcPr>
          <w:p>
            <w:r>
              <w:rPr>
                <w:sz w:val="20"/>
              </w:rPr>
              <w:t>18</w:t>
            </w:r>
          </w:p>
        </w:tc>
        <w:tc>
          <w:tcPr>
            <w:tcW w:type="dxa" w:w="2880"/>
          </w:tcPr>
          <w:p>
            <w:r>
              <w:rPr>
                <w:sz w:val="20"/>
              </w:rPr>
              <w:t>CLP-verordening (EG 1272/2008)</w:t>
            </w:r>
          </w:p>
        </w:tc>
        <w:tc>
          <w:tcPr>
            <w:tcW w:type="dxa" w:w="2880"/>
          </w:tcPr>
          <w:p>
            <w:r>
              <w:rPr>
                <w:sz w:val="20"/>
              </w:rPr>
              <w:t>Classificatie, etikettering en verpakking</w:t>
            </w:r>
          </w:p>
        </w:tc>
      </w:tr>
      <w:tr>
        <w:tc>
          <w:tcPr>
            <w:tcW w:type="dxa" w:w="2880"/>
          </w:tcPr>
          <w:p>
            <w:r>
              <w:rPr>
                <w:sz w:val="20"/>
              </w:rPr>
              <w:t>19</w:t>
            </w:r>
          </w:p>
        </w:tc>
        <w:tc>
          <w:tcPr>
            <w:tcW w:type="dxa" w:w="2880"/>
          </w:tcPr>
          <w:p>
            <w:r>
              <w:rPr>
                <w:sz w:val="20"/>
              </w:rPr>
              <w:t>REACH (EG 1907/2006)</w:t>
            </w:r>
          </w:p>
        </w:tc>
        <w:tc>
          <w:tcPr>
            <w:tcW w:type="dxa" w:w="2880"/>
          </w:tcPr>
          <w:p>
            <w:r>
              <w:rPr>
                <w:sz w:val="20"/>
              </w:rPr>
              <w:t>Registratie, evaluatie, SDS</w:t>
            </w:r>
          </w:p>
        </w:tc>
      </w:tr>
      <w:tr>
        <w:tc>
          <w:tcPr>
            <w:tcW w:type="dxa" w:w="2880"/>
          </w:tcPr>
          <w:p>
            <w:r>
              <w:rPr>
                <w:sz w:val="20"/>
              </w:rPr>
              <w:t>20</w:t>
            </w:r>
          </w:p>
        </w:tc>
        <w:tc>
          <w:tcPr>
            <w:tcW w:type="dxa" w:w="2880"/>
          </w:tcPr>
          <w:p>
            <w:r>
              <w:rPr>
                <w:sz w:val="20"/>
              </w:rPr>
              <w:t>Arbowet / Arbobesluit art. 4.1c</w:t>
            </w:r>
          </w:p>
        </w:tc>
        <w:tc>
          <w:tcPr>
            <w:tcW w:type="dxa" w:w="2880"/>
          </w:tcPr>
          <w:p>
            <w:r>
              <w:rPr>
                <w:sz w:val="20"/>
              </w:rPr>
              <w:t>RI&amp;E en werkomstandigheden</w:t>
            </w:r>
          </w:p>
        </w:tc>
      </w:tr>
      <w:tr>
        <w:tc>
          <w:tcPr>
            <w:tcW w:type="dxa" w:w="2880"/>
          </w:tcPr>
          <w:p>
            <w:r>
              <w:rPr>
                <w:sz w:val="20"/>
              </w:rPr>
              <w:t>21</w:t>
            </w:r>
          </w:p>
        </w:tc>
        <w:tc>
          <w:tcPr>
            <w:tcW w:type="dxa" w:w="2880"/>
          </w:tcPr>
          <w:p>
            <w:r>
              <w:rPr>
                <w:sz w:val="20"/>
              </w:rPr>
              <w:t>Omgevingswet (Bbl/Bkl)</w:t>
            </w:r>
          </w:p>
        </w:tc>
        <w:tc>
          <w:tcPr>
            <w:tcW w:type="dxa" w:w="2880"/>
          </w:tcPr>
          <w:p>
            <w:r>
              <w:rPr>
                <w:sz w:val="20"/>
              </w:rPr>
              <w:t>Brandcompartimentering, externe veiligheid</w:t>
            </w:r>
          </w:p>
        </w:tc>
      </w:tr>
    </w:tbl>
    <w:p/>
    <w:p/>
    <w:p>
      <w:pPr>
        <w:jc w:val="center"/>
      </w:pPr>
      <w:r>
        <w:rPr>
          <w:color w:val="7F7F7F"/>
          <w:sz w:val="16"/>
        </w:rPr>
        <w:t>Phoenix Metals IJmuiden — PGS 15:2025 Opslagprocedure — Versie 1.0 — 26 april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