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7. Risicobeheersing</w:t>
      </w:r>
    </w:p>
    <w:p>
      <w:r>
        <w:t>Dit hoofdstuk beschrijft het risicobeheerskader voor de opslag van gevaarlijke stoffen bij Phoenix Metals IJmuiden. De risicoanalyse is gebaseerd op het chemisch register (6 stoffen, totaal ~315 kg/l) en de eisen uit PGS 15:2025. Het kader volgt de methodiek van waarschijnlijkheid versus effect, conform de Arbowetgeving en de richtlijnen uit de RI&amp;E. Alle risico's worden gekwantificeerd via een 5×5 risicomatrix, waarna per geïdentificeerd risico preventieve en repressieve maatregelen worden gedefinieerd. De focus ligt op de drie meest kritieke risico's die voortvloeien uit de huidige opslagsituatie: de interactie tussen NaOH en H₂SO₄, lekkage zonder adequate opvang, en onvoldoende personeelsinstructie.</w:t>
      </w:r>
    </w:p>
    <w:p>
      <w:pPr>
        <w:pStyle w:val="Heading2"/>
      </w:pPr>
      <w:r>
        <w:t>7.1 Risicomatrix</w:t>
      </w:r>
    </w:p>
    <w:p>
      <w:r>
        <w:t>De risicomatrix classificeert risico's op basis van waarschijnlijkheid (1 = zeer onwaarschijnlijk tot 5 = frequent) en effect (1 = verwaarloosbaar tot 5 = catastrofaal). Het resulterende risicoprofiel bepaalt de prioriteit en intensiteit van beheersmaatregelen. Een risicoscore ≥12 vereist directe actie; een score van 6-11 vereist maatregelen op termijn; een score &lt;6 is acceptabel met standaard controles.</w:t>
      </w:r>
    </w:p>
    <w:tbl>
      <w:tblPr>
        <w:tblStyle w:val="TableGrid"/>
        <w:tblW w:type="auto" w:w="0"/>
        <w:jc w:val="left"/>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r>
              <w:rPr>
                <w:b/>
                <w:color w:val="FFFFFF"/>
              </w:rPr>
              <w:t>Waarschijnlijkheid \ Effect</w:t>
            </w:r>
          </w:p>
        </w:tc>
        <w:tc>
          <w:tcPr>
            <w:tcW w:type="dxa" w:w="1440"/>
            <w:shd w:fill="003366" w:val="clear"/>
          </w:tcPr>
          <w:p>
            <w:r>
              <w:rPr>
                <w:b/>
                <w:color w:val="FFFFFF"/>
              </w:rPr>
              <w:t>1 Verwaarloosbaar</w:t>
            </w:r>
          </w:p>
        </w:tc>
        <w:tc>
          <w:tcPr>
            <w:tcW w:type="dxa" w:w="1440"/>
            <w:shd w:fill="003366" w:val="clear"/>
          </w:tcPr>
          <w:p>
            <w:r>
              <w:rPr>
                <w:b/>
                <w:color w:val="FFFFFF"/>
              </w:rPr>
              <w:t>2 Gering</w:t>
            </w:r>
          </w:p>
        </w:tc>
        <w:tc>
          <w:tcPr>
            <w:tcW w:type="dxa" w:w="1440"/>
            <w:shd w:fill="003366" w:val="clear"/>
          </w:tcPr>
          <w:p>
            <w:r>
              <w:rPr>
                <w:b/>
                <w:color w:val="FFFFFF"/>
              </w:rPr>
              <w:t>3 Gemiddeld</w:t>
            </w:r>
          </w:p>
        </w:tc>
        <w:tc>
          <w:tcPr>
            <w:tcW w:type="dxa" w:w="1440"/>
            <w:shd w:fill="003366" w:val="clear"/>
          </w:tcPr>
          <w:p>
            <w:r>
              <w:rPr>
                <w:b/>
                <w:color w:val="FFFFFF"/>
              </w:rPr>
              <w:t>4 Ernstig</w:t>
            </w:r>
          </w:p>
        </w:tc>
        <w:tc>
          <w:tcPr>
            <w:tcW w:type="dxa" w:w="1440"/>
            <w:shd w:fill="003366" w:val="clear"/>
          </w:tcPr>
          <w:p>
            <w:r>
              <w:rPr>
                <w:b/>
                <w:color w:val="FFFFFF"/>
              </w:rPr>
              <w:t>5 Catastrofaal</w:t>
            </w:r>
          </w:p>
        </w:tc>
      </w:tr>
      <w:tr>
        <w:tc>
          <w:tcPr>
            <w:tcW w:type="dxa" w:w="1440"/>
          </w:tcPr>
          <w:p>
            <w:r>
              <w:t>5 Frequent</w:t>
            </w:r>
          </w:p>
        </w:tc>
        <w:tc>
          <w:tcPr>
            <w:tcW w:type="dxa" w:w="1440"/>
          </w:tcPr>
          <w:p>
            <w:r>
              <w:t>5</w:t>
            </w:r>
          </w:p>
        </w:tc>
        <w:tc>
          <w:tcPr>
            <w:tcW w:type="dxa" w:w="1440"/>
          </w:tcPr>
          <w:p>
            <w:r>
              <w:t>10</w:t>
            </w:r>
          </w:p>
        </w:tc>
        <w:tc>
          <w:tcPr>
            <w:tcW w:type="dxa" w:w="1440"/>
          </w:tcPr>
          <w:p>
            <w:r>
              <w:t>15</w:t>
            </w:r>
          </w:p>
        </w:tc>
        <w:tc>
          <w:tcPr>
            <w:tcW w:type="dxa" w:w="1440"/>
          </w:tcPr>
          <w:p>
            <w:r>
              <w:t>20</w:t>
            </w:r>
          </w:p>
        </w:tc>
        <w:tc>
          <w:tcPr>
            <w:tcW w:type="dxa" w:w="1440"/>
          </w:tcPr>
          <w:p>
            <w:r>
              <w:t>25</w:t>
            </w:r>
          </w:p>
        </w:tc>
      </w:tr>
      <w:tr>
        <w:tc>
          <w:tcPr>
            <w:tcW w:type="dxa" w:w="1440"/>
          </w:tcPr>
          <w:p>
            <w:r>
              <w:t>4 Waarschijnlijk</w:t>
            </w:r>
          </w:p>
        </w:tc>
        <w:tc>
          <w:tcPr>
            <w:tcW w:type="dxa" w:w="1440"/>
          </w:tcPr>
          <w:p>
            <w:r>
              <w:t>4</w:t>
            </w:r>
          </w:p>
        </w:tc>
        <w:tc>
          <w:tcPr>
            <w:tcW w:type="dxa" w:w="1440"/>
          </w:tcPr>
          <w:p>
            <w:r>
              <w:t>8</w:t>
            </w:r>
          </w:p>
        </w:tc>
        <w:tc>
          <w:tcPr>
            <w:tcW w:type="dxa" w:w="1440"/>
          </w:tcPr>
          <w:p>
            <w:r>
              <w:t>12</w:t>
            </w:r>
          </w:p>
        </w:tc>
        <w:tc>
          <w:tcPr>
            <w:tcW w:type="dxa" w:w="1440"/>
          </w:tcPr>
          <w:p>
            <w:r>
              <w:t>16</w:t>
            </w:r>
          </w:p>
        </w:tc>
        <w:tc>
          <w:tcPr>
            <w:tcW w:type="dxa" w:w="1440"/>
          </w:tcPr>
          <w:p>
            <w:r>
              <w:t>20</w:t>
            </w:r>
          </w:p>
        </w:tc>
      </w:tr>
      <w:tr>
        <w:tc>
          <w:tcPr>
            <w:tcW w:type="dxa" w:w="1440"/>
          </w:tcPr>
          <w:p>
            <w:r>
              <w:t>3 Mogelijk</w:t>
            </w:r>
          </w:p>
        </w:tc>
        <w:tc>
          <w:tcPr>
            <w:tcW w:type="dxa" w:w="1440"/>
          </w:tcPr>
          <w:p>
            <w:r>
              <w:t>3</w:t>
            </w:r>
          </w:p>
        </w:tc>
        <w:tc>
          <w:tcPr>
            <w:tcW w:type="dxa" w:w="1440"/>
          </w:tcPr>
          <w:p>
            <w:r>
              <w:t>6</w:t>
            </w:r>
          </w:p>
        </w:tc>
        <w:tc>
          <w:tcPr>
            <w:tcW w:type="dxa" w:w="1440"/>
          </w:tcPr>
          <w:p>
            <w:r>
              <w:t>9</w:t>
            </w:r>
          </w:p>
        </w:tc>
        <w:tc>
          <w:tcPr>
            <w:tcW w:type="dxa" w:w="1440"/>
          </w:tcPr>
          <w:p>
            <w:r>
              <w:t>14</w:t>
            </w:r>
          </w:p>
        </w:tc>
        <w:tc>
          <w:tcPr>
            <w:tcW w:type="dxa" w:w="1440"/>
          </w:tcPr>
          <w:p>
            <w:r>
              <w:t>19</w:t>
            </w:r>
          </w:p>
        </w:tc>
      </w:tr>
      <w:tr>
        <w:tc>
          <w:tcPr>
            <w:tcW w:type="dxa" w:w="1440"/>
          </w:tcPr>
          <w:p>
            <w:r>
              <w:t>2 Onwaarschijnlijk</w:t>
            </w:r>
          </w:p>
        </w:tc>
        <w:tc>
          <w:tcPr>
            <w:tcW w:type="dxa" w:w="1440"/>
          </w:tcPr>
          <w:p>
            <w:r>
              <w:t>2</w:t>
            </w:r>
          </w:p>
        </w:tc>
        <w:tc>
          <w:tcPr>
            <w:tcW w:type="dxa" w:w="1440"/>
          </w:tcPr>
          <w:p>
            <w:r>
              <w:t>4</w:t>
            </w:r>
          </w:p>
        </w:tc>
        <w:tc>
          <w:tcPr>
            <w:tcW w:type="dxa" w:w="1440"/>
          </w:tcPr>
          <w:p>
            <w:r>
              <w:t>6</w:t>
            </w:r>
          </w:p>
        </w:tc>
        <w:tc>
          <w:tcPr>
            <w:tcW w:type="dxa" w:w="1440"/>
          </w:tcPr>
          <w:p>
            <w:r>
              <w:t>8</w:t>
            </w:r>
          </w:p>
        </w:tc>
        <w:tc>
          <w:tcPr>
            <w:tcW w:type="dxa" w:w="1440"/>
          </w:tcPr>
          <w:p>
            <w:r>
              <w:t>10</w:t>
            </w:r>
          </w:p>
        </w:tc>
      </w:tr>
      <w:tr>
        <w:tc>
          <w:tcPr>
            <w:tcW w:type="dxa" w:w="1440"/>
          </w:tcPr>
          <w:p>
            <w:r>
              <w:t>1 Zeldzaam</w:t>
            </w:r>
          </w:p>
        </w:tc>
        <w:tc>
          <w:tcPr>
            <w:tcW w:type="dxa" w:w="1440"/>
          </w:tcPr>
          <w:p>
            <w:r>
              <w:t>1</w:t>
            </w:r>
          </w:p>
        </w:tc>
        <w:tc>
          <w:tcPr>
            <w:tcW w:type="dxa" w:w="1440"/>
          </w:tcPr>
          <w:p>
            <w:r>
              <w:t>2</w:t>
            </w:r>
          </w:p>
        </w:tc>
        <w:tc>
          <w:tcPr>
            <w:tcW w:type="dxa" w:w="1440"/>
          </w:tcPr>
          <w:p>
            <w:r>
              <w:t>3</w:t>
            </w:r>
          </w:p>
        </w:tc>
        <w:tc>
          <w:tcPr>
            <w:tcW w:type="dxa" w:w="1440"/>
          </w:tcPr>
          <w:p>
            <w:r>
              <w:t>4</w:t>
            </w:r>
          </w:p>
        </w:tc>
        <w:tc>
          <w:tcPr>
            <w:tcW w:type="dxa" w:w="1440"/>
          </w:tcPr>
          <w:p>
            <w:r>
              <w:t>5</w:t>
            </w:r>
          </w:p>
        </w:tc>
      </w:tr>
    </w:tbl>
    <w:p/>
    <w:p>
      <w:r>
        <w:t>Legenda: Groen (1-5) = acceptabel; Geel (6-11) = maatregelen op termijn; Oranje (12-15) = actie vereist; Rood (16-25) = onacceptabel, directe actie noodzakelijk.</w:t>
      </w:r>
    </w:p>
    <w:p>
      <w:pPr>
        <w:pStyle w:val="Heading2"/>
      </w:pPr>
      <w:r>
        <w:t>7.2 Top-3 Risico's Phoenix Metals</w:t>
      </w:r>
    </w:p>
    <w:p>
      <w:r>
        <w:t>Op basis van de risicoanalyse zijn de volgende drie risico's geïdentificeerd als meest kritiek voor de huidige opslagsituatie. Per risico worden de kans, het effect, preventieve maatregelen en repressieve maatregelen gedocumenteerd in een gestructureerde tabel.</w:t>
      </w:r>
    </w:p>
    <w:p>
      <w:pPr>
        <w:pStyle w:val="Heading3"/>
      </w:pPr>
      <w:r>
        <w:t>Risico 1: Menging NaOH + H₂SO₄ (Exotherme Reactie)</w:t>
      </w:r>
    </w:p>
    <w:p>
      <w:r>
        <w:t>Natriumhydroxide (NaOH 50%) en zwavelzuur (H₂SO₄, diverse concentraties) kunnen een sterk exotherme reactie ondergaan bij menging. Dit resulteert in warmteontwikkeling, spatten van bijtende vloeistof en potentieel giftige dampvorming. De huidige opslag op hetzelfde rack zonder fysieke scheiding vormt een niet-acceptabel risico. PGS 15 Bijlage E, Tabel 9 classificeert ADR 8 ↔ ADR 8 als "A" (apart brandcompartiment of 5 m vrije zone) wanneer het zuur-base combinaties betreft.</w:t>
      </w:r>
    </w:p>
    <w:tbl>
      <w:tblPr>
        <w:tblStyle w:val="TableGrid"/>
        <w:tblW w:type="auto" w:w="0"/>
        <w:jc w:val="left"/>
        <w:tblLook w:firstColumn="1" w:firstRow="1" w:lastColumn="0" w:lastRow="0" w:noHBand="0" w:noVBand="1" w:val="04A0"/>
      </w:tblPr>
      <w:tblGrid>
        <w:gridCol w:w="4320"/>
        <w:gridCol w:w="4320"/>
      </w:tblGrid>
      <w:tr>
        <w:tc>
          <w:tcPr>
            <w:tcW w:type="dxa" w:w="4320"/>
            <w:shd w:fill="003366" w:val="clear"/>
          </w:tcPr>
          <w:p>
            <w:r>
              <w:rPr>
                <w:b/>
                <w:color w:val="FFFFFF"/>
              </w:rPr>
              <w:t>Parameter</w:t>
            </w:r>
          </w:p>
        </w:tc>
        <w:tc>
          <w:tcPr>
            <w:tcW w:type="dxa" w:w="4320"/>
            <w:shd w:fill="003366" w:val="clear"/>
          </w:tcPr>
          <w:p>
            <w:r>
              <w:rPr>
                <w:b/>
                <w:color w:val="FFFFFF"/>
              </w:rPr>
              <w:t>Beschrijving</w:t>
            </w:r>
          </w:p>
        </w:tc>
      </w:tr>
      <w:tr>
        <w:tc>
          <w:tcPr>
            <w:tcW w:type="dxa" w:w="4320"/>
          </w:tcPr>
          <w:p>
            <w:r>
              <w:t>Kans</w:t>
            </w:r>
          </w:p>
        </w:tc>
        <w:tc>
          <w:tcPr>
            <w:tcW w:type="dxa" w:w="4320"/>
          </w:tcPr>
          <w:p>
            <w:r>
              <w:t>4 — Waarschijnlijk (stoffen staan opzelfde rack, handling zonder fysieke scheiding)</w:t>
            </w:r>
          </w:p>
        </w:tc>
      </w:tr>
      <w:tr>
        <w:tc>
          <w:tcPr>
            <w:tcW w:type="dxa" w:w="4320"/>
          </w:tcPr>
          <w:p>
            <w:r>
              <w:t>Effect</w:t>
            </w:r>
          </w:p>
        </w:tc>
        <w:tc>
          <w:tcPr>
            <w:tcW w:type="dxa" w:w="4320"/>
          </w:tcPr>
          <w:p>
            <w:r>
              <w:t>4 — Ernstig (chemische brandwonden, spatten, dampvorming)</w:t>
            </w:r>
          </w:p>
        </w:tc>
      </w:tr>
      <w:tr>
        <w:tc>
          <w:tcPr>
            <w:tcW w:type="dxa" w:w="4320"/>
          </w:tcPr>
          <w:p>
            <w:r>
              <w:t>Risicoscore</w:t>
            </w:r>
          </w:p>
        </w:tc>
        <w:tc>
          <w:tcPr>
            <w:tcW w:type="dxa" w:w="4320"/>
          </w:tcPr>
          <w:p>
            <w:r>
              <w:t>16 — ONACCEPTABEL</w:t>
            </w:r>
          </w:p>
        </w:tc>
      </w:tr>
      <w:tr>
        <w:tc>
          <w:tcPr>
            <w:tcW w:type="dxa" w:w="4320"/>
          </w:tcPr>
          <w:p>
            <w:r>
              <w:t>Preventief</w:t>
            </w:r>
          </w:p>
        </w:tc>
        <w:tc>
          <w:tcPr>
            <w:tcW w:type="dxa" w:w="4320"/>
          </w:tcPr>
          <w:p>
            <w:r>
              <w:t>1. Fysieke scheiding: aparte lekbakken met ≥2 m afstand (E.3 uitzondering)</w:t>
              <w:br/>
              <w:t>2. Vakmarkering op vloer met kleurcode (blauw = base, rood = zuur)</w:t>
              <w:br/>
              <w:t>3. Training personeel: nooit mengen, altijd gescheiden verplaatsen</w:t>
              <w:br/>
              <w:t>4. PGS 15 Bijlage E conformiteit aantonen via Tabel 9</w:t>
            </w:r>
          </w:p>
        </w:tc>
      </w:tr>
      <w:tr>
        <w:tc>
          <w:tcPr>
            <w:tcW w:type="dxa" w:w="4320"/>
          </w:tcPr>
          <w:p>
            <w:r>
              <w:t>Repressief</w:t>
            </w:r>
          </w:p>
        </w:tc>
        <w:tc>
          <w:tcPr>
            <w:tcW w:type="dxa" w:w="4320"/>
          </w:tcPr>
          <w:p>
            <w:r>
              <w:t>1. Noodprocedure: bij menging → evacueren, ruimte ventileren</w:t>
              <w:br/>
              <w:t>2. Blusmiddelen: CO₂ of droge zand (geen water op geconcentreerd H₂SO₄)</w:t>
              <w:br/>
              <w:t>3. PPE altijd beschikbaar: zuurbestendige handschoenen, gezichtsscherm</w:t>
              <w:br/>
              <w:t>4. Nooddouche en oogspoelstation binnen 10 seconden bereikbaar</w:t>
            </w:r>
          </w:p>
        </w:tc>
      </w:tr>
    </w:tbl>
    <w:p/>
    <w:p>
      <w:pPr>
        <w:pStyle w:val="Heading3"/>
      </w:pPr>
      <w:r>
        <w:t>Risico 2: Lekkage zonder Adequate Opvang</w:t>
      </w:r>
    </w:p>
    <w:p>
      <w:r>
        <w:t>Bij lekkage van jerrycans (25 l of 10 l) zonder lekbak kan bijtende vloeistof de bodem bereiken, wat leidt tot grondverontreiniging en mogelijke blootstelling van personeel. De huidige situatie toont geen gedocumenteerde lekbak-capaciteit. PGS 15 maatregel M30 vereist vloeistofopvang voor alle vloeibare gevaarlijke stoffen, met een capaciteit van minimaal 110% van het grootste enkelvoudige verpakkingsvolume.</w:t>
      </w:r>
    </w:p>
    <w:tbl>
      <w:tblPr>
        <w:tblStyle w:val="TableGrid"/>
        <w:tblW w:type="auto" w:w="0"/>
        <w:jc w:val="left"/>
        <w:tblLook w:firstColumn="1" w:firstRow="1" w:lastColumn="0" w:lastRow="0" w:noHBand="0" w:noVBand="1" w:val="04A0"/>
      </w:tblPr>
      <w:tblGrid>
        <w:gridCol w:w="4320"/>
        <w:gridCol w:w="4320"/>
      </w:tblGrid>
      <w:tr>
        <w:tc>
          <w:tcPr>
            <w:tcW w:type="dxa" w:w="4320"/>
            <w:shd w:fill="003366" w:val="clear"/>
          </w:tcPr>
          <w:p>
            <w:r>
              <w:rPr>
                <w:b/>
                <w:color w:val="FFFFFF"/>
              </w:rPr>
              <w:t>Parameter</w:t>
            </w:r>
          </w:p>
        </w:tc>
        <w:tc>
          <w:tcPr>
            <w:tcW w:type="dxa" w:w="4320"/>
            <w:shd w:fill="003366" w:val="clear"/>
          </w:tcPr>
          <w:p>
            <w:r>
              <w:rPr>
                <w:b/>
                <w:color w:val="FFFFFF"/>
              </w:rPr>
              <w:t>Beschrijving</w:t>
            </w:r>
          </w:p>
        </w:tc>
      </w:tr>
      <w:tr>
        <w:tc>
          <w:tcPr>
            <w:tcW w:type="dxa" w:w="4320"/>
          </w:tcPr>
          <w:p>
            <w:r>
              <w:t>Kans</w:t>
            </w:r>
          </w:p>
        </w:tc>
        <w:tc>
          <w:tcPr>
            <w:tcW w:type="dxa" w:w="4320"/>
          </w:tcPr>
          <w:p>
            <w:r>
              <w:t>3 — Mogelijk (jerrycans op rack, geen lekbakken gedocumenteerd)</w:t>
            </w:r>
          </w:p>
        </w:tc>
      </w:tr>
      <w:tr>
        <w:tc>
          <w:tcPr>
            <w:tcW w:type="dxa" w:w="4320"/>
          </w:tcPr>
          <w:p>
            <w:r>
              <w:t>Effect</w:t>
            </w:r>
          </w:p>
        </w:tc>
        <w:tc>
          <w:tcPr>
            <w:tcW w:type="dxa" w:w="4320"/>
          </w:tcPr>
          <w:p>
            <w:r>
              <w:t>4 — Ernstig (grondverontreiniging, chemische blootstelling, milieuschade)</w:t>
            </w:r>
          </w:p>
        </w:tc>
      </w:tr>
      <w:tr>
        <w:tc>
          <w:tcPr>
            <w:tcW w:type="dxa" w:w="4320"/>
          </w:tcPr>
          <w:p>
            <w:r>
              <w:t>Risicoscore</w:t>
            </w:r>
          </w:p>
        </w:tc>
        <w:tc>
          <w:tcPr>
            <w:tcW w:type="dxa" w:w="4320"/>
          </w:tcPr>
          <w:p>
            <w:r>
              <w:t>12 — ACTIE VEREIST</w:t>
            </w:r>
          </w:p>
        </w:tc>
      </w:tr>
      <w:tr>
        <w:tc>
          <w:tcPr>
            <w:tcW w:type="dxa" w:w="4320"/>
          </w:tcPr>
          <w:p>
            <w:r>
              <w:t>Preventief</w:t>
            </w:r>
          </w:p>
        </w:tc>
        <w:tc>
          <w:tcPr>
            <w:tcW w:type="dxa" w:w="4320"/>
          </w:tcPr>
          <w:p>
            <w:r>
              <w:t>1. Lekbakken aanschaffen: min 110% van grootste verpakking (27,5 l per jerrycan van 25 l)</w:t>
              <w:br/>
              <w:t>2. Wekelijkse visuele inspectie van verpakkingen en lekbakken</w:t>
              <w:br/>
              <w:t>3. Verpakkingsintegriteitstoets bij ontvangst (M36/M45)</w:t>
              <w:br/>
              <w:t>4. Vloerafvoer afsluiten of opvangkuip plaatsen</w:t>
            </w:r>
          </w:p>
        </w:tc>
      </w:tr>
      <w:tr>
        <w:tc>
          <w:tcPr>
            <w:tcW w:type="dxa" w:w="4320"/>
          </w:tcPr>
          <w:p>
            <w:r>
              <w:t>Repressief</w:t>
            </w:r>
          </w:p>
        </w:tc>
        <w:tc>
          <w:tcPr>
            <w:tcW w:type="dxa" w:w="4320"/>
          </w:tcPr>
          <w:p>
            <w:r>
              <w:t>1. Absorptiemateriaal (zand, chemisch absorbent) direct beschikbaar</w:t>
              <w:br/>
              <w:t>2. Calamiteitenplan activeren bij grotere lekkage (&gt;10 l)</w:t>
              <w:br/>
              <w:t>3. Milieuteam informeren bij bodemcontact</w:t>
              <w:br/>
              <w:t>4. Geëxposeerde container verwijderen per verpakkingsvoorschrift</w:t>
            </w:r>
          </w:p>
        </w:tc>
      </w:tr>
    </w:tbl>
    <w:p/>
    <w:p>
      <w:pPr>
        <w:pStyle w:val="Heading3"/>
      </w:pPr>
      <w:r>
        <w:t>Risico 3: Onvoldoende Personeelsinstructie</w:t>
      </w:r>
    </w:p>
    <w:p>
      <w:r>
        <w:t>Onvoldoende kennis van de gevaren en juiste werkwijze bij het hanteren van gevaarlijke stoffen leidt tot verkeerde handling: verkeerde stoffen bij elkaar plaatsen, verkeerde PPE, of onjuiste reactie bij incidenten. PGS 15 maatregel M85/M86 stelt expliciete eisen aan de deskundigheid van personeel dat met gevaarlijke stoffen werkt.</w:t>
      </w:r>
    </w:p>
    <w:tbl>
      <w:tblPr>
        <w:tblStyle w:val="TableGrid"/>
        <w:tblW w:type="auto" w:w="0"/>
        <w:jc w:val="left"/>
        <w:tblLook w:firstColumn="1" w:firstRow="1" w:lastColumn="0" w:lastRow="0" w:noHBand="0" w:noVBand="1" w:val="04A0"/>
      </w:tblPr>
      <w:tblGrid>
        <w:gridCol w:w="4320"/>
        <w:gridCol w:w="4320"/>
      </w:tblGrid>
      <w:tr>
        <w:tc>
          <w:tcPr>
            <w:tcW w:type="dxa" w:w="4320"/>
            <w:shd w:fill="003366" w:val="clear"/>
          </w:tcPr>
          <w:p>
            <w:r>
              <w:rPr>
                <w:b/>
                <w:color w:val="FFFFFF"/>
              </w:rPr>
              <w:t>Parameter</w:t>
            </w:r>
          </w:p>
        </w:tc>
        <w:tc>
          <w:tcPr>
            <w:tcW w:type="dxa" w:w="4320"/>
            <w:shd w:fill="003366" w:val="clear"/>
          </w:tcPr>
          <w:p>
            <w:r>
              <w:rPr>
                <w:b/>
                <w:color w:val="FFFFFF"/>
              </w:rPr>
              <w:t>Beschrijving</w:t>
            </w:r>
          </w:p>
        </w:tc>
      </w:tr>
      <w:tr>
        <w:tc>
          <w:tcPr>
            <w:tcW w:type="dxa" w:w="4320"/>
          </w:tcPr>
          <w:p>
            <w:r>
              <w:t>Kans</w:t>
            </w:r>
          </w:p>
        </w:tc>
        <w:tc>
          <w:tcPr>
            <w:tcW w:type="dxa" w:w="4320"/>
          </w:tcPr>
          <w:p>
            <w:r>
              <w:t>3 — Mogelijk (geen gedocumenteerd trainingsprogramma vastgesteld)</w:t>
            </w:r>
          </w:p>
        </w:tc>
      </w:tr>
      <w:tr>
        <w:tc>
          <w:tcPr>
            <w:tcW w:type="dxa" w:w="4320"/>
          </w:tcPr>
          <w:p>
            <w:r>
              <w:t>Effect</w:t>
            </w:r>
          </w:p>
        </w:tc>
        <w:tc>
          <w:tcPr>
            <w:tcW w:type="dxa" w:w="4320"/>
          </w:tcPr>
          <w:p>
            <w:r>
              <w:t>3 — Gemiddeld (verkeerde handling → incident, maar beperkt volume)</w:t>
            </w:r>
          </w:p>
        </w:tc>
      </w:tr>
      <w:tr>
        <w:tc>
          <w:tcPr>
            <w:tcW w:type="dxa" w:w="4320"/>
          </w:tcPr>
          <w:p>
            <w:r>
              <w:t>Risicoscore</w:t>
            </w:r>
          </w:p>
        </w:tc>
        <w:tc>
          <w:tcPr>
            <w:tcW w:type="dxa" w:w="4320"/>
          </w:tcPr>
          <w:p>
            <w:r>
              <w:t>9 — MAATREGELEN OP TERMJIN</w:t>
            </w:r>
          </w:p>
        </w:tc>
      </w:tr>
      <w:tr>
        <w:tc>
          <w:tcPr>
            <w:tcW w:type="dxa" w:w="4320"/>
          </w:tcPr>
          <w:p>
            <w:r>
              <w:t>Preventief</w:t>
            </w:r>
          </w:p>
        </w:tc>
        <w:tc>
          <w:tcPr>
            <w:tcW w:type="dxa" w:w="4320"/>
          </w:tcPr>
          <w:p>
            <w:r>
              <w:t>1. Training bij indiensttreding: gevaren stoffen, PPE, noodprocedures</w:t>
              <w:br/>
              <w:t>2. Werkinstructiekaarten (WIK) per stof bij opslaglocatie</w:t>
              <w:br/>
              <w:t>3. Jaarlijkse herhalingstraining met toetsing</w:t>
              <w:br/>
              <w:t>4. Competentie-register bijhouden per medewerker</w:t>
            </w:r>
          </w:p>
        </w:tc>
      </w:tr>
      <w:tr>
        <w:tc>
          <w:tcPr>
            <w:tcW w:type="dxa" w:w="4320"/>
          </w:tcPr>
          <w:p>
            <w:r>
              <w:t>Repressief</w:t>
            </w:r>
          </w:p>
        </w:tc>
        <w:tc>
          <w:tcPr>
            <w:tcW w:type="dxa" w:w="4320"/>
          </w:tcPr>
          <w:p>
            <w:r>
              <w:t>1. Directe supervisie bij het verplaatsen van stoffen</w:t>
              <w:br/>
              <w:t>2. Correctieprocedure bij waargenomen onveilig gedrag</w:t>
              <w:br/>
              <w:t>3. Incidentregistratie en root-cause analyse</w:t>
              <w:br/>
              <w:t>4. Bij herhaling: schriftelijke waarschuwing en verplichte hertraining</w:t>
            </w:r>
          </w:p>
        </w:tc>
      </w:tr>
    </w:tbl>
    <w:p/>
    <w:p>
      <w:pPr>
        <w:pStyle w:val="Heading1"/>
      </w:pPr>
      <w:r>
        <w:t>8. Brandpreventie</w:t>
      </w:r>
    </w:p>
    <w:p>
      <w:r>
        <w:t>Dit hoofdstuk beschrijft de brandpreventiemaatregelen voor de opslag van gevaarlijke stoffen bij Phoenix Metals. Hoewel de opgeslagen stoffen (ADR-klasse 8, bijtend) primair onbrandbaar zijn, gelden toch brandpreventieve eisen vanuit het Bouwbesluit (Bbl) en PGS 15. De brandpreventie is gebaseerd op het basisveiligheidsniveau, aangezien de totale opslag (~390 kg) ver onder de drempelwaarden van Tabel 6 valt.</w:t>
      </w:r>
    </w:p>
    <w:p>
      <w:pPr>
        <w:pStyle w:val="Heading2"/>
      </w:pPr>
      <w:r>
        <w:t>8.1 Brandcompartimentering per Veiligheidsniveau</w:t>
      </w:r>
    </w:p>
    <w:p>
      <w:r>
        <w:t>De eisen voor brandcompartimentering zijn afhankelijk van het veiligheidsniveau dat bepaald wordt door de opgeslagen hoeveelheid gevaarlijke stoffen. Onderstaande tabel toont de eisen per niveau.</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Veiligheidsniveau</w:t>
            </w:r>
          </w:p>
        </w:tc>
        <w:tc>
          <w:tcPr>
            <w:tcW w:type="dxa" w:w="1728"/>
            <w:shd w:fill="003366" w:val="clear"/>
          </w:tcPr>
          <w:p>
            <w:r>
              <w:rPr>
                <w:b/>
                <w:color w:val="FFFFFF"/>
              </w:rPr>
              <w:t>Wbdbo</w:t>
            </w:r>
          </w:p>
        </w:tc>
        <w:tc>
          <w:tcPr>
            <w:tcW w:type="dxa" w:w="1728"/>
            <w:shd w:fill="003366" w:val="clear"/>
          </w:tcPr>
          <w:p>
            <w:r>
              <w:rPr>
                <w:b/>
                <w:color w:val="FFFFFF"/>
              </w:rPr>
              <w:t>Max. opp. brandcompartiment</w:t>
            </w:r>
          </w:p>
        </w:tc>
        <w:tc>
          <w:tcPr>
            <w:tcW w:type="dxa" w:w="1728"/>
            <w:shd w:fill="003366" w:val="clear"/>
          </w:tcPr>
          <w:p>
            <w:r>
              <w:rPr>
                <w:b/>
                <w:color w:val="FFFFFF"/>
              </w:rPr>
              <w:t>Scheidingswand</w:t>
            </w:r>
          </w:p>
        </w:tc>
        <w:tc>
          <w:tcPr>
            <w:tcW w:type="dxa" w:w="1728"/>
            <w:shd w:fill="003366" w:val="clear"/>
          </w:tcPr>
          <w:p>
            <w:r>
              <w:rPr>
                <w:b/>
                <w:color w:val="FFFFFF"/>
              </w:rPr>
              <w:t>Blussysteem</w:t>
            </w:r>
          </w:p>
        </w:tc>
      </w:tr>
      <w:tr>
        <w:tc>
          <w:tcPr>
            <w:tcW w:type="dxa" w:w="1728"/>
          </w:tcPr>
          <w:p>
            <w:r>
              <w:t>Basis (Bbl)</w:t>
            </w:r>
          </w:p>
        </w:tc>
        <w:tc>
          <w:tcPr>
            <w:tcW w:type="dxa" w:w="1728"/>
          </w:tcPr>
          <w:p>
            <w:r>
              <w:t>Bbl-eis, min. 30 min</w:t>
            </w:r>
          </w:p>
        </w:tc>
        <w:tc>
          <w:tcPr>
            <w:tcW w:type="dxa" w:w="1728"/>
          </w:tcPr>
          <w:p>
            <w:r>
              <w:t>1.000 m² (&lt;20 t) / 2.500 m² (&gt;20 t)</w:t>
            </w:r>
          </w:p>
        </w:tc>
        <w:tc>
          <w:tcPr>
            <w:tcW w:type="dxa" w:w="1728"/>
          </w:tcPr>
          <w:p>
            <w:r>
              <w:t>Niet verplicht</w:t>
            </w:r>
          </w:p>
        </w:tc>
        <w:tc>
          <w:tcPr>
            <w:tcW w:type="dxa" w:w="1728"/>
          </w:tcPr>
          <w:p>
            <w:r>
              <w:t>Niet verplicht</w:t>
            </w:r>
          </w:p>
        </w:tc>
      </w:tr>
      <w:tr>
        <w:tc>
          <w:tcPr>
            <w:tcW w:type="dxa" w:w="1728"/>
          </w:tcPr>
          <w:p>
            <w:r>
              <w:t>VN-B (60 min)</w:t>
            </w:r>
          </w:p>
        </w:tc>
        <w:tc>
          <w:tcPr>
            <w:tcW w:type="dxa" w:w="1728"/>
          </w:tcPr>
          <w:p>
            <w:r>
              <w:t>60 min</w:t>
            </w:r>
          </w:p>
        </w:tc>
        <w:tc>
          <w:tcPr>
            <w:tcW w:type="dxa" w:w="1728"/>
          </w:tcPr>
          <w:p>
            <w:r>
              <w:t>1.000 m²</w:t>
            </w:r>
          </w:p>
        </w:tc>
        <w:tc>
          <w:tcPr>
            <w:tcW w:type="dxa" w:w="1728"/>
          </w:tcPr>
          <w:p>
            <w:r>
              <w:t>Min. 60 min brandwerend</w:t>
            </w:r>
          </w:p>
        </w:tc>
        <w:tc>
          <w:tcPr>
            <w:tcW w:type="dxa" w:w="1728"/>
          </w:tcPr>
          <w:p>
            <w:r>
              <w:t>M103 (indien vereist)</w:t>
            </w:r>
          </w:p>
        </w:tc>
      </w:tr>
      <w:tr>
        <w:tc>
          <w:tcPr>
            <w:tcW w:type="dxa" w:w="1728"/>
          </w:tcPr>
          <w:p>
            <w:r>
              <w:t>VN-A (D12)</w:t>
            </w:r>
          </w:p>
        </w:tc>
        <w:tc>
          <w:tcPr>
            <w:tcW w:type="dxa" w:w="1728"/>
          </w:tcPr>
          <w:p>
            <w:r>
              <w:t>60-90 min</w:t>
            </w:r>
          </w:p>
        </w:tc>
        <w:tc>
          <w:tcPr>
            <w:tcW w:type="dxa" w:w="1728"/>
          </w:tcPr>
          <w:p>
            <w:r>
              <w:t>2.500 m² (met VBB)</w:t>
            </w:r>
          </w:p>
        </w:tc>
        <w:tc>
          <w:tcPr>
            <w:tcW w:type="dxa" w:w="1728"/>
          </w:tcPr>
          <w:p>
            <w:r>
              <w:t>Min. 60 min brandwerend</w:t>
            </w:r>
          </w:p>
        </w:tc>
        <w:tc>
          <w:tcPr>
            <w:tcW w:type="dxa" w:w="1728"/>
          </w:tcPr>
          <w:p>
            <w:r>
              <w:t>VBB-installatie (M96)</w:t>
            </w:r>
          </w:p>
        </w:tc>
      </w:tr>
    </w:tbl>
    <w:p/>
    <w:p>
      <w:r>
        <w:t>Phoenix Metals valt onder het basisveiligheidsniveau. De Bbl-eis voor wbdbo bedraagt minimaal 30 minuten. De huidige opslagruimte (storage rack in front of lab) moet worden getoetst op brandwerendheid van de omsluitende constructie conform het Bouwbesluit.</w:t>
      </w:r>
    </w:p>
    <w:p>
      <w:pPr>
        <w:pStyle w:val="Heading2"/>
      </w:pPr>
      <w:r>
        <w:t>8.2 Blusmiddelen</w:t>
      </w:r>
    </w:p>
    <w:p>
      <w:r>
        <w:t>Voor de opslag van bijtende stoffen gelden de volgende blusmiddelvereisten. Bij voorkeur wordt CO₂ of droog poeder ingezet; water mag alleen worden gebruikt bij verdund zwavelzuur, niet bij geconcentreerd H₂SO₄ (exotherme reactie met water).</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Blusmiddel</w:t>
            </w:r>
          </w:p>
        </w:tc>
        <w:tc>
          <w:tcPr>
            <w:tcW w:type="dxa" w:w="1728"/>
            <w:shd w:fill="003366" w:val="clear"/>
          </w:tcPr>
          <w:p>
            <w:r>
              <w:rPr>
                <w:b/>
                <w:color w:val="FFFFFF"/>
              </w:rPr>
              <w:t>Type</w:t>
            </w:r>
          </w:p>
        </w:tc>
        <w:tc>
          <w:tcPr>
            <w:tcW w:type="dxa" w:w="1728"/>
            <w:shd w:fill="003366" w:val="clear"/>
          </w:tcPr>
          <w:p>
            <w:r>
              <w:rPr>
                <w:b/>
                <w:color w:val="FFFFFF"/>
              </w:rPr>
              <w:t>Plaatsing</w:t>
            </w:r>
          </w:p>
        </w:tc>
        <w:tc>
          <w:tcPr>
            <w:tcW w:type="dxa" w:w="1728"/>
            <w:shd w:fill="003366" w:val="clear"/>
          </w:tcPr>
          <w:p>
            <w:r>
              <w:rPr>
                <w:b/>
                <w:color w:val="FFFFFF"/>
              </w:rPr>
              <w:t>Inspectie</w:t>
            </w:r>
          </w:p>
        </w:tc>
        <w:tc>
          <w:tcPr>
            <w:tcW w:type="dxa" w:w="1728"/>
            <w:shd w:fill="003366" w:val="clear"/>
          </w:tcPr>
          <w:p>
            <w:r>
              <w:rPr>
                <w:b/>
                <w:color w:val="FFFFFF"/>
              </w:rPr>
              <w:t>Toepassing</w:t>
            </w:r>
          </w:p>
        </w:tc>
      </w:tr>
      <w:tr>
        <w:tc>
          <w:tcPr>
            <w:tcW w:type="dxa" w:w="1728"/>
          </w:tcPr>
          <w:p>
            <w:r>
              <w:t>CO₂</w:t>
            </w:r>
          </w:p>
        </w:tc>
        <w:tc>
          <w:tcPr>
            <w:tcW w:type="dxa" w:w="1728"/>
          </w:tcPr>
          <w:p>
            <w:r>
              <w:t>Koolzuursneeuw</w:t>
            </w:r>
          </w:p>
        </w:tc>
        <w:tc>
          <w:tcPr>
            <w:tcW w:type="dxa" w:w="1728"/>
          </w:tcPr>
          <w:p>
            <w:r>
              <w:t>Binnen 15 m van opslaglocatie</w:t>
            </w:r>
          </w:p>
        </w:tc>
        <w:tc>
          <w:tcPr>
            <w:tcW w:type="dxa" w:w="1728"/>
          </w:tcPr>
          <w:p>
            <w:r>
              <w:t>Jaarlijks (KEUR)</w:t>
            </w:r>
          </w:p>
        </w:tc>
        <w:tc>
          <w:tcPr>
            <w:tcW w:type="dxa" w:w="1728"/>
          </w:tcPr>
          <w:p>
            <w:r>
              <w:t>Elektrische en vloeistofbranden</w:t>
            </w:r>
          </w:p>
        </w:tc>
      </w:tr>
      <w:tr>
        <w:tc>
          <w:tcPr>
            <w:tcW w:type="dxa" w:w="1728"/>
          </w:tcPr>
          <w:p>
            <w:r>
              <w:t>Droog poeder (ABC)</w:t>
            </w:r>
          </w:p>
        </w:tc>
        <w:tc>
          <w:tcPr>
            <w:tcW w:type="dxa" w:w="1728"/>
          </w:tcPr>
          <w:p>
            <w:r>
              <w:t>Poederblusser 6 kg</w:t>
            </w:r>
          </w:p>
        </w:tc>
        <w:tc>
          <w:tcPr>
            <w:tcW w:type="dxa" w:w="1728"/>
          </w:tcPr>
          <w:p>
            <w:r>
              <w:t>Bij uitgang opslagruimte</w:t>
            </w:r>
          </w:p>
        </w:tc>
        <w:tc>
          <w:tcPr>
            <w:tcW w:type="dxa" w:w="1728"/>
          </w:tcPr>
          <w:p>
            <w:r>
              <w:t>Jaarlijks (KEUR)</w:t>
            </w:r>
          </w:p>
        </w:tc>
        <w:tc>
          <w:tcPr>
            <w:tcW w:type="dxa" w:w="1728"/>
          </w:tcPr>
          <w:p>
            <w:r>
              <w:t>Algemene brandbestrijding</w:t>
            </w:r>
          </w:p>
        </w:tc>
      </w:tr>
      <w:tr>
        <w:tc>
          <w:tcPr>
            <w:tcW w:type="dxa" w:w="1728"/>
          </w:tcPr>
          <w:p>
            <w:r>
              <w:t>Zand/Absorbent</w:t>
            </w:r>
          </w:p>
        </w:tc>
        <w:tc>
          <w:tcPr>
            <w:tcW w:type="dxa" w:w="1728"/>
          </w:tcPr>
          <w:p>
            <w:r>
              <w:t>Droog zand of chemisch absorbent</w:t>
            </w:r>
          </w:p>
        </w:tc>
        <w:tc>
          <w:tcPr>
            <w:tcW w:type="dxa" w:w="1728"/>
          </w:tcPr>
          <w:p>
            <w:r>
              <w:t>Direct naast opslagrack</w:t>
            </w:r>
          </w:p>
        </w:tc>
        <w:tc>
          <w:tcPr>
            <w:tcW w:type="dxa" w:w="1728"/>
          </w:tcPr>
          <w:p>
            <w:r>
              <w:t>Maandelijks (voorraadcheck)</w:t>
            </w:r>
          </w:p>
        </w:tc>
        <w:tc>
          <w:tcPr>
            <w:tcW w:type="dxa" w:w="1728"/>
          </w:tcPr>
          <w:p>
            <w:r>
              <w:t>Lekkage + kleine branden</w:t>
            </w:r>
          </w:p>
        </w:tc>
      </w:tr>
      <w:tr>
        <w:tc>
          <w:tcPr>
            <w:tcW w:type="dxa" w:w="1728"/>
          </w:tcPr>
          <w:p>
            <w:r>
              <w:t>Nooddouche/Oogspoel</w:t>
            </w:r>
          </w:p>
        </w:tc>
        <w:tc>
          <w:tcPr>
            <w:tcW w:type="dxa" w:w="1728"/>
          </w:tcPr>
          <w:p>
            <w:r>
              <w:t>Gecombineerd unit</w:t>
            </w:r>
          </w:p>
        </w:tc>
        <w:tc>
          <w:tcPr>
            <w:tcW w:type="dxa" w:w="1728"/>
          </w:tcPr>
          <w:p>
            <w:r>
              <w:t>Binnen 10 sec loopafstand</w:t>
            </w:r>
          </w:p>
        </w:tc>
        <w:tc>
          <w:tcPr>
            <w:tcW w:type="dxa" w:w="1728"/>
          </w:tcPr>
          <w:p>
            <w:r>
              <w:t>Wekelijks (activering)</w:t>
            </w:r>
          </w:p>
        </w:tc>
        <w:tc>
          <w:tcPr>
            <w:tcW w:type="dxa" w:w="1728"/>
          </w:tcPr>
          <w:p>
            <w:r>
              <w:t>Blootstelling bijtend materiaal</w:t>
            </w:r>
          </w:p>
        </w:tc>
      </w:tr>
    </w:tbl>
    <w:p/>
    <w:p>
      <w:pPr>
        <w:pStyle w:val="Heading2"/>
      </w:pPr>
      <w:r>
        <w:t>8.3 Weerstand tegen Branddoorgang en Brandoverslag (Wbdbo)</w:t>
      </w:r>
    </w:p>
    <w:p>
      <w:r>
        <w:t>Voor het basisveiligheidsniveau geldt de Bbl-eis als minimum voor de wbdbo van de omsluitende constructie van het opslagcompartiment. Dit betekent dat wanden, vloeren en daken waaraan de opslagruimte grenst minimaal moeten voldoen aan de brandwerendheid die het Bouwbesluit voorschrijft voor het betreffende gebruiksfunctie. Bij overschrijding van de Tabel 6-drempelwaarden (10 ton of 20 ton) stijgt de eis naar respectievelijk 60 minuten en 60-90 minuten.</w:t>
      </w:r>
    </w:p>
    <w:p>
      <w:pPr>
        <w:pStyle w:val="Heading2"/>
      </w:pPr>
      <w:r>
        <w:t>8.4 Normatieve Referenties</w:t>
      </w:r>
    </w:p>
    <w:p>
      <w:r>
        <w:t>De brandpreventie is gebaseerd op de volgende normen: NEN 6060 (Bepaling van de brandwerendheid van bouwconstructiedelen), NEN 6069 (Brandwerendheid van constructiedelen — rekenmethode), en NEN 6079 (Brandbeheersingsinstallaties — blusinstallaties). Deze normen worden toegepast bij de bepaling van de wbdbo en de eventuele toekomstige uitbreiding van blussystemen bij schaalvergroting.</w:t>
      </w:r>
    </w:p>
    <w:p>
      <w:pPr>
        <w:pStyle w:val="Heading2"/>
      </w:pPr>
      <w:r>
        <w:t>8.5 Brandweerbereikbaarheid (M109)</w:t>
      </w:r>
    </w:p>
    <w:p>
      <w:r>
        <w:t>PGS 15 maatregel M109 stelt eisen aan de bereikbaarheid van de opslaglocatie voor hulpdiensten. De opslagruimte dient bereikbaar te zijn voor brandweervoertuigen via een verhard en vrijgehouden toegangsweg van minimaal 3 meter breedte. Brandkraan of alternatieve watervoorziening dient binnen 100 meter van de opslaglocatie beschikbaar te zijn. De locatiegegevens (adres, bereikbaarheid, aanwezige stoffen) worden jaarlijks doorgegeven aan de regionale brandweer via het digimeldplicht-systeem.</w:t>
      </w:r>
    </w:p>
    <w:p>
      <w:pPr>
        <w:pStyle w:val="Heading1"/>
      </w:pPr>
      <w:r>
        <w:t>9. Opleiding en Instructie</w:t>
      </w:r>
    </w:p>
    <w:p>
      <w:r>
        <w:t>Een adequaat opleidings- en instructieprogramma is essentieel voor veilige opslag en handling van gevaarlijke stoffen. PGS 15 maatregelen M85 en M86 definiëren de eisen aan de deskundigheid van alle betrokken personen. Dit hoofdstuk beschrijft de verantwoordelijkheden per rol, de opleidingsmatrix, herhalingstermijnen en competentie-eisen.</w:t>
      </w:r>
    </w:p>
    <w:p>
      <w:pPr>
        <w:pStyle w:val="Heading2"/>
      </w:pPr>
      <w:r>
        <w:t>9.1 Verantwoordelijkheden per Rol</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03366" w:val="clear"/>
          </w:tcPr>
          <w:p>
            <w:r>
              <w:rPr>
                <w:b/>
                <w:color w:val="FFFFFF"/>
              </w:rPr>
              <w:t>Rol</w:t>
            </w:r>
          </w:p>
        </w:tc>
        <w:tc>
          <w:tcPr>
            <w:tcW w:type="dxa" w:w="2880"/>
            <w:shd w:fill="003366" w:val="clear"/>
          </w:tcPr>
          <w:p>
            <w:r>
              <w:rPr>
                <w:b/>
                <w:color w:val="FFFFFF"/>
              </w:rPr>
              <w:t>Verantwoordelijkheid</w:t>
            </w:r>
          </w:p>
        </w:tc>
        <w:tc>
          <w:tcPr>
            <w:tcW w:type="dxa" w:w="2880"/>
            <w:shd w:fill="003366" w:val="clear"/>
          </w:tcPr>
          <w:p>
            <w:r>
              <w:rPr>
                <w:b/>
                <w:color w:val="FFFFFF"/>
              </w:rPr>
              <w:t>Vereist niveau</w:t>
            </w:r>
          </w:p>
        </w:tc>
      </w:tr>
      <w:tr>
        <w:tc>
          <w:tcPr>
            <w:tcW w:type="dxa" w:w="2880"/>
          </w:tcPr>
          <w:p>
            <w:r>
              <w:t>Directie / Bedrijfsleider</w:t>
            </w:r>
          </w:p>
        </w:tc>
        <w:tc>
          <w:tcPr>
            <w:tcW w:type="dxa" w:w="2880"/>
          </w:tcPr>
          <w:p>
            <w:r>
              <w:t>Zorgplicht MW1: aantoonbaar veilige opslag</w:t>
            </w:r>
          </w:p>
        </w:tc>
        <w:tc>
          <w:tcPr>
            <w:tcW w:type="dxa" w:w="2880"/>
          </w:tcPr>
          <w:p>
            <w:r>
              <w:t>Basiswaanwezigheid + bewustzijn</w:t>
            </w:r>
          </w:p>
        </w:tc>
      </w:tr>
      <w:tr>
        <w:tc>
          <w:tcPr>
            <w:tcW w:type="dxa" w:w="2880"/>
          </w:tcPr>
          <w:p>
            <w:r>
              <w:t xml:space="preserve"> veiligheidscoördinator</w:t>
            </w:r>
          </w:p>
        </w:tc>
        <w:tc>
          <w:tcPr>
            <w:tcW w:type="dxa" w:w="2880"/>
          </w:tcPr>
          <w:p>
            <w:r>
              <w:t>Toezicht op naleving PGS 15, uitvoering inspecties</w:t>
            </w:r>
          </w:p>
        </w:tc>
        <w:tc>
          <w:tcPr>
            <w:tcW w:type="dxa" w:w="2880"/>
          </w:tcPr>
          <w:p>
            <w:r>
              <w:t>PGS 15 basiskennis + RI&amp;E</w:t>
            </w:r>
          </w:p>
        </w:tc>
      </w:tr>
      <w:tr>
        <w:tc>
          <w:tcPr>
            <w:tcW w:type="dxa" w:w="2880"/>
          </w:tcPr>
          <w:p>
            <w:r>
              <w:t>Magazijnmedewerker</w:t>
            </w:r>
          </w:p>
        </w:tc>
        <w:tc>
          <w:tcPr>
            <w:tcW w:type="dxa" w:w="2880"/>
          </w:tcPr>
          <w:p>
            <w:r>
              <w:t>Dagelijkse handling, opslag, inspectie verpakkingen</w:t>
            </w:r>
          </w:p>
        </w:tc>
        <w:tc>
          <w:tcPr>
            <w:tcW w:type="dxa" w:w="2880"/>
          </w:tcPr>
          <w:p>
            <w:r>
              <w:t>Stofspecifieke training + PPE</w:t>
            </w:r>
          </w:p>
        </w:tc>
      </w:tr>
      <w:tr>
        <w:tc>
          <w:tcPr>
            <w:tcW w:type="dxa" w:w="2880"/>
          </w:tcPr>
          <w:p>
            <w:r>
              <w:t>Externe medewerkers / Aannemers</w:t>
            </w:r>
          </w:p>
        </w:tc>
        <w:tc>
          <w:tcPr>
            <w:tcW w:type="dxa" w:w="2880"/>
          </w:tcPr>
          <w:p>
            <w:r>
              <w:t>Gebonden aan huisregels bij betreding opslag</w:t>
            </w:r>
          </w:p>
        </w:tc>
        <w:tc>
          <w:tcPr>
            <w:tcW w:type="dxa" w:w="2880"/>
          </w:tcPr>
          <w:p>
            <w:r>
              <w:t>Instructie bij binnenkomst</w:t>
            </w:r>
          </w:p>
        </w:tc>
      </w:tr>
    </w:tbl>
    <w:p/>
    <w:p>
      <w:pPr>
        <w:pStyle w:val="Heading2"/>
      </w:pPr>
      <w:r>
        <w:t>9.2 Opleidingsmatrix</w:t>
      </w:r>
    </w:p>
    <w:p>
      <w:r>
        <w:t>Onderstaande matrix toont de vereiste opleidingsonderwerpen per doelgroep. Een "V" betekent volledige training vereist; "B" betekent basiskennis/briefing; "-" betekent niet van toepassing.</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Onderwerp</w:t>
            </w:r>
          </w:p>
        </w:tc>
        <w:tc>
          <w:tcPr>
            <w:tcW w:type="dxa" w:w="1728"/>
            <w:shd w:fill="003366" w:val="clear"/>
          </w:tcPr>
          <w:p>
            <w:r>
              <w:rPr>
                <w:b/>
                <w:color w:val="FFFFFF"/>
              </w:rPr>
              <w:t>Directie</w:t>
            </w:r>
          </w:p>
        </w:tc>
        <w:tc>
          <w:tcPr>
            <w:tcW w:type="dxa" w:w="1728"/>
            <w:shd w:fill="003366" w:val="clear"/>
          </w:tcPr>
          <w:p>
            <w:r>
              <w:rPr>
                <w:b/>
                <w:color w:val="FFFFFF"/>
              </w:rPr>
              <w:t>Veiligheids-coördinator</w:t>
            </w:r>
          </w:p>
        </w:tc>
        <w:tc>
          <w:tcPr>
            <w:tcW w:type="dxa" w:w="1728"/>
            <w:shd w:fill="003366" w:val="clear"/>
          </w:tcPr>
          <w:p>
            <w:r>
              <w:rPr>
                <w:b/>
                <w:color w:val="FFFFFF"/>
              </w:rPr>
              <w:t>Magazijn-medewerker</w:t>
            </w:r>
          </w:p>
        </w:tc>
        <w:tc>
          <w:tcPr>
            <w:tcW w:type="dxa" w:w="1728"/>
            <w:shd w:fill="003366" w:val="clear"/>
          </w:tcPr>
          <w:p>
            <w:r>
              <w:rPr>
                <w:b/>
                <w:color w:val="FFFFFF"/>
              </w:rPr>
              <w:t>Externe</w:t>
            </w:r>
          </w:p>
        </w:tc>
      </w:tr>
      <w:tr>
        <w:tc>
          <w:tcPr>
            <w:tcW w:type="dxa" w:w="1728"/>
          </w:tcPr>
          <w:p>
            <w:r>
              <w:t>PGS 15 basisprincipes</w:t>
            </w:r>
          </w:p>
        </w:tc>
        <w:tc>
          <w:tcPr>
            <w:tcW w:type="dxa" w:w="1728"/>
          </w:tcPr>
          <w:p>
            <w:r>
              <w:t>B</w:t>
            </w:r>
          </w:p>
        </w:tc>
        <w:tc>
          <w:tcPr>
            <w:tcW w:type="dxa" w:w="1728"/>
          </w:tcPr>
          <w:p>
            <w:r>
              <w:t>V</w:t>
            </w:r>
          </w:p>
        </w:tc>
        <w:tc>
          <w:tcPr>
            <w:tcW w:type="dxa" w:w="1728"/>
          </w:tcPr>
          <w:p>
            <w:r>
              <w:t>B</w:t>
            </w:r>
          </w:p>
        </w:tc>
        <w:tc>
          <w:tcPr>
            <w:tcW w:type="dxa" w:w="1728"/>
          </w:tcPr>
          <w:p>
            <w:r>
              <w:t>-</w:t>
            </w:r>
          </w:p>
        </w:tc>
      </w:tr>
      <w:tr>
        <w:tc>
          <w:tcPr>
            <w:tcW w:type="dxa" w:w="1728"/>
          </w:tcPr>
          <w:p>
            <w:r>
              <w:t>Chemische gevaren stoffenregister</w:t>
            </w:r>
          </w:p>
        </w:tc>
        <w:tc>
          <w:tcPr>
            <w:tcW w:type="dxa" w:w="1728"/>
          </w:tcPr>
          <w:p>
            <w:r>
              <w:t>B</w:t>
            </w:r>
          </w:p>
        </w:tc>
        <w:tc>
          <w:tcPr>
            <w:tcW w:type="dxa" w:w="1728"/>
          </w:tcPr>
          <w:p>
            <w:r>
              <w:t>V</w:t>
            </w:r>
          </w:p>
        </w:tc>
        <w:tc>
          <w:tcPr>
            <w:tcW w:type="dxa" w:w="1728"/>
          </w:tcPr>
          <w:p>
            <w:r>
              <w:t>V</w:t>
            </w:r>
          </w:p>
        </w:tc>
        <w:tc>
          <w:tcPr>
            <w:tcW w:type="dxa" w:w="1728"/>
          </w:tcPr>
          <w:p>
            <w:r>
              <w:t>B</w:t>
            </w:r>
          </w:p>
        </w:tc>
      </w:tr>
      <w:tr>
        <w:tc>
          <w:tcPr>
            <w:tcW w:type="dxa" w:w="1728"/>
          </w:tcPr>
          <w:p>
            <w:r>
              <w:t>Stoffenscheiding (Tabel 9)</w:t>
            </w:r>
          </w:p>
        </w:tc>
        <w:tc>
          <w:tcPr>
            <w:tcW w:type="dxa" w:w="1728"/>
          </w:tcPr>
          <w:p>
            <w:r>
              <w:t>-</w:t>
            </w:r>
          </w:p>
        </w:tc>
        <w:tc>
          <w:tcPr>
            <w:tcW w:type="dxa" w:w="1728"/>
          </w:tcPr>
          <w:p>
            <w:r>
              <w:t>V</w:t>
            </w:r>
          </w:p>
        </w:tc>
        <w:tc>
          <w:tcPr>
            <w:tcW w:type="dxa" w:w="1728"/>
          </w:tcPr>
          <w:p>
            <w:r>
              <w:t>V</w:t>
            </w:r>
          </w:p>
        </w:tc>
        <w:tc>
          <w:tcPr>
            <w:tcW w:type="dxa" w:w="1728"/>
          </w:tcPr>
          <w:p>
            <w:r>
              <w:t>-</w:t>
            </w:r>
          </w:p>
        </w:tc>
      </w:tr>
      <w:tr>
        <w:tc>
          <w:tcPr>
            <w:tcW w:type="dxa" w:w="1728"/>
          </w:tcPr>
          <w:p>
            <w:r>
              <w:t>PPE gebruik en onderhoud</w:t>
            </w:r>
          </w:p>
        </w:tc>
        <w:tc>
          <w:tcPr>
            <w:tcW w:type="dxa" w:w="1728"/>
          </w:tcPr>
          <w:p>
            <w:r>
              <w:t>-</w:t>
            </w:r>
          </w:p>
        </w:tc>
        <w:tc>
          <w:tcPr>
            <w:tcW w:type="dxa" w:w="1728"/>
          </w:tcPr>
          <w:p>
            <w:r>
              <w:t>V</w:t>
            </w:r>
          </w:p>
        </w:tc>
        <w:tc>
          <w:tcPr>
            <w:tcW w:type="dxa" w:w="1728"/>
          </w:tcPr>
          <w:p>
            <w:r>
              <w:t>V</w:t>
            </w:r>
          </w:p>
        </w:tc>
        <w:tc>
          <w:tcPr>
            <w:tcW w:type="dxa" w:w="1728"/>
          </w:tcPr>
          <w:p>
            <w:r>
              <w:t>B</w:t>
            </w:r>
          </w:p>
        </w:tc>
      </w:tr>
      <w:tr>
        <w:tc>
          <w:tcPr>
            <w:tcW w:type="dxa" w:w="1728"/>
          </w:tcPr>
          <w:p>
            <w:r>
              <w:t>Noodprocedures en evacuatie</w:t>
            </w:r>
          </w:p>
        </w:tc>
        <w:tc>
          <w:tcPr>
            <w:tcW w:type="dxa" w:w="1728"/>
          </w:tcPr>
          <w:p>
            <w:r>
              <w:t>B</w:t>
            </w:r>
          </w:p>
        </w:tc>
        <w:tc>
          <w:tcPr>
            <w:tcW w:type="dxa" w:w="1728"/>
          </w:tcPr>
          <w:p>
            <w:r>
              <w:t>V</w:t>
            </w:r>
          </w:p>
        </w:tc>
        <w:tc>
          <w:tcPr>
            <w:tcW w:type="dxa" w:w="1728"/>
          </w:tcPr>
          <w:p>
            <w:r>
              <w:t>V</w:t>
            </w:r>
          </w:p>
        </w:tc>
        <w:tc>
          <w:tcPr>
            <w:tcW w:type="dxa" w:w="1728"/>
          </w:tcPr>
          <w:p>
            <w:r>
              <w:t>B</w:t>
            </w:r>
          </w:p>
        </w:tc>
      </w:tr>
      <w:tr>
        <w:tc>
          <w:tcPr>
            <w:tcW w:type="dxa" w:w="1728"/>
          </w:tcPr>
          <w:p>
            <w:r>
              <w:t>Inspectie- en controleprocedures</w:t>
            </w:r>
          </w:p>
        </w:tc>
        <w:tc>
          <w:tcPr>
            <w:tcW w:type="dxa" w:w="1728"/>
          </w:tcPr>
          <w:p>
            <w:r>
              <w:t>-</w:t>
            </w:r>
          </w:p>
        </w:tc>
        <w:tc>
          <w:tcPr>
            <w:tcW w:type="dxa" w:w="1728"/>
          </w:tcPr>
          <w:p>
            <w:r>
              <w:t>V</w:t>
            </w:r>
          </w:p>
        </w:tc>
        <w:tc>
          <w:tcPr>
            <w:tcW w:type="dxa" w:w="1728"/>
          </w:tcPr>
          <w:p>
            <w:r>
              <w:t>V</w:t>
            </w:r>
          </w:p>
        </w:tc>
        <w:tc>
          <w:tcPr>
            <w:tcW w:type="dxa" w:w="1728"/>
          </w:tcPr>
          <w:p>
            <w:r>
              <w:t>-</w:t>
            </w:r>
          </w:p>
        </w:tc>
      </w:tr>
      <w:tr>
        <w:tc>
          <w:tcPr>
            <w:tcW w:type="dxa" w:w="1728"/>
          </w:tcPr>
          <w:p>
            <w:r>
              <w:t>Brandpreventie en blusmiddelen</w:t>
            </w:r>
          </w:p>
        </w:tc>
        <w:tc>
          <w:tcPr>
            <w:tcW w:type="dxa" w:w="1728"/>
          </w:tcPr>
          <w:p>
            <w:r>
              <w:t>B</w:t>
            </w:r>
          </w:p>
        </w:tc>
        <w:tc>
          <w:tcPr>
            <w:tcW w:type="dxa" w:w="1728"/>
          </w:tcPr>
          <w:p>
            <w:r>
              <w:t>V</w:t>
            </w:r>
          </w:p>
        </w:tc>
        <w:tc>
          <w:tcPr>
            <w:tcW w:type="dxa" w:w="1728"/>
          </w:tcPr>
          <w:p>
            <w:r>
              <w:t>V</w:t>
            </w:r>
          </w:p>
        </w:tc>
        <w:tc>
          <w:tcPr>
            <w:tcW w:type="dxa" w:w="1728"/>
          </w:tcPr>
          <w:p>
            <w:r>
              <w:t>B</w:t>
            </w:r>
          </w:p>
        </w:tc>
      </w:tr>
      <w:tr>
        <w:tc>
          <w:tcPr>
            <w:tcW w:type="dxa" w:w="1728"/>
          </w:tcPr>
          <w:p>
            <w:r>
              <w:t>Wetgeving (Arbowet, Omgevingswet)</w:t>
            </w:r>
          </w:p>
        </w:tc>
        <w:tc>
          <w:tcPr>
            <w:tcW w:type="dxa" w:w="1728"/>
          </w:tcPr>
          <w:p>
            <w:r>
              <w:t>V</w:t>
            </w:r>
          </w:p>
        </w:tc>
        <w:tc>
          <w:tcPr>
            <w:tcW w:type="dxa" w:w="1728"/>
          </w:tcPr>
          <w:p>
            <w:r>
              <w:t>V</w:t>
            </w:r>
          </w:p>
        </w:tc>
        <w:tc>
          <w:tcPr>
            <w:tcW w:type="dxa" w:w="1728"/>
          </w:tcPr>
          <w:p>
            <w:r>
              <w:t>B</w:t>
            </w:r>
          </w:p>
        </w:tc>
        <w:tc>
          <w:tcPr>
            <w:tcW w:type="dxa" w:w="1728"/>
          </w:tcPr>
          <w:p>
            <w:r>
              <w:t>-</w:t>
            </w:r>
          </w:p>
        </w:tc>
      </w:tr>
    </w:tbl>
    <w:p/>
    <w:p>
      <w:pPr>
        <w:pStyle w:val="Heading2"/>
      </w:pPr>
      <w:r>
        <w:t>9.3 Herhalingstermijnen</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03366" w:val="clear"/>
          </w:tcPr>
          <w:p>
            <w:r>
              <w:rPr>
                <w:b/>
                <w:color w:val="FFFFFF"/>
              </w:rPr>
              <w:t>Trigger</w:t>
            </w:r>
          </w:p>
        </w:tc>
        <w:tc>
          <w:tcPr>
            <w:tcW w:type="dxa" w:w="2880"/>
            <w:shd w:fill="003366" w:val="clear"/>
          </w:tcPr>
          <w:p>
            <w:r>
              <w:rPr>
                <w:b/>
                <w:color w:val="FFFFFF"/>
              </w:rPr>
              <w:t>Frequentie</w:t>
            </w:r>
          </w:p>
        </w:tc>
        <w:tc>
          <w:tcPr>
            <w:tcW w:type="dxa" w:w="2880"/>
            <w:shd w:fill="003366" w:val="clear"/>
          </w:tcPr>
          <w:p>
            <w:r>
              <w:rPr>
                <w:b/>
                <w:color w:val="FFFFFF"/>
              </w:rPr>
              <w:t>Scope</w:t>
            </w:r>
          </w:p>
        </w:tc>
      </w:tr>
      <w:tr>
        <w:tc>
          <w:tcPr>
            <w:tcW w:type="dxa" w:w="2880"/>
          </w:tcPr>
          <w:p>
            <w:r>
              <w:t>Regulier</w:t>
            </w:r>
          </w:p>
        </w:tc>
        <w:tc>
          <w:tcPr>
            <w:tcW w:type="dxa" w:w="2880"/>
          </w:tcPr>
          <w:p>
            <w:r>
              <w:t>Jaarlijks</w:t>
            </w:r>
          </w:p>
        </w:tc>
        <w:tc>
          <w:tcPr>
            <w:tcW w:type="dxa" w:w="2880"/>
          </w:tcPr>
          <w:p>
            <w:r>
              <w:t>Alle opleidingsonderwerpen voor betreffende rol</w:t>
            </w:r>
          </w:p>
        </w:tc>
      </w:tr>
      <w:tr>
        <w:tc>
          <w:tcPr>
            <w:tcW w:type="dxa" w:w="2880"/>
          </w:tcPr>
          <w:p>
            <w:r>
              <w:t>Na incident</w:t>
            </w:r>
          </w:p>
        </w:tc>
        <w:tc>
          <w:tcPr>
            <w:tcW w:type="dxa" w:w="2880"/>
          </w:tcPr>
          <w:p>
            <w:r>
              <w:t>Binnen 1 week na incident</w:t>
            </w:r>
          </w:p>
        </w:tc>
        <w:tc>
          <w:tcPr>
            <w:tcW w:type="dxa" w:w="2880"/>
          </w:tcPr>
          <w:p>
            <w:r>
              <w:t>Stofspecifieke training + root-cause bespreking</w:t>
            </w:r>
          </w:p>
        </w:tc>
      </w:tr>
      <w:tr>
        <w:tc>
          <w:tcPr>
            <w:tcW w:type="dxa" w:w="2880"/>
          </w:tcPr>
          <w:p>
            <w:r>
              <w:t>Bij wijziging</w:t>
            </w:r>
          </w:p>
        </w:tc>
        <w:tc>
          <w:tcPr>
            <w:tcW w:type="dxa" w:w="2880"/>
          </w:tcPr>
          <w:p>
            <w:r>
              <w:t>Voorafgaand aan wijziging</w:t>
            </w:r>
          </w:p>
        </w:tc>
        <w:tc>
          <w:tcPr>
            <w:tcW w:type="dxa" w:w="2880"/>
          </w:tcPr>
          <w:p>
            <w:r>
              <w:t>Nieuwe stoffen, gewijzigde procedures, nieuwe apparatuur</w:t>
            </w:r>
          </w:p>
        </w:tc>
      </w:tr>
      <w:tr>
        <w:tc>
          <w:tcPr>
            <w:tcW w:type="dxa" w:w="2880"/>
          </w:tcPr>
          <w:p>
            <w:r>
              <w:t>Bij indiensttreding</w:t>
            </w:r>
          </w:p>
        </w:tc>
        <w:tc>
          <w:tcPr>
            <w:tcW w:type="dxa" w:w="2880"/>
          </w:tcPr>
          <w:p>
            <w:r>
              <w:t>Voorafgaand aan werkzaamheden</w:t>
            </w:r>
          </w:p>
        </w:tc>
        <w:tc>
          <w:tcPr>
            <w:tcW w:type="dxa" w:w="2880"/>
          </w:tcPr>
          <w:p>
            <w:r>
              <w:t>Volledige opleiding per rol</w:t>
            </w:r>
          </w:p>
        </w:tc>
      </w:tr>
    </w:tbl>
    <w:p/>
    <w:p>
      <w:pPr>
        <w:pStyle w:val="Heading2"/>
      </w:pPr>
      <w:r>
        <w:t>9.4 Competentie-eisen</w:t>
      </w:r>
    </w:p>
    <w:p>
      <w:r>
        <w:t>Alle medewerkers die in aanraking komen met gevaarlijke stoffen moeten aantoonbaar competent zijn. Competentie wordt aangetoond door: (1) succesvolle afronding van de verplichte training, (2) praktijktoets onder supervisie van de veiligheidscoördinator, en (3) ondertekening van een competentieverklaring. De competentieverklaring wordt jaarlijks herzien en bijgehouden in het personeelsdossier. Externe medewerkers ontvangen een specifieke inwerkbriefing bij elke betreding van de opslagruimte.</w:t>
      </w:r>
    </w:p>
    <w:p>
      <w:pPr>
        <w:pStyle w:val="Heading1"/>
      </w:pPr>
      <w:r>
        <w:t>10. Toezicht en Handhaving</w:t>
      </w:r>
    </w:p>
    <w:p>
      <w:r>
        <w:t>Structureel toezicht en handhaving waarborgen de continue naleving van de PGS 15-maatregelen. Dit hoofdstuk definieert het audit- en inspectieregime, de frequentie van controles en de procedure bij non-compliance.</w:t>
      </w:r>
    </w:p>
    <w:p>
      <w:pPr>
        <w:pStyle w:val="Heading2"/>
      </w:pPr>
      <w:r>
        <w:t>10.1 Interne Audits</w:t>
      </w:r>
    </w:p>
    <w:p>
      <w:r>
        <w:t>Jaarlijks wordt een interne audit uitgevoerd op de volledige PGS 15-compliance. De audit wordt uitgevoerd door de veiligheidscoördinator of een aangewezen interne auditor. De scope omvat: stofregisters, stoffenscheiding, lekbakken, ventilatie, brandpreventie, PPE, opleidingsstatus, en documentbeheer. Criteria zijn afgeleid van de PGS 15:2025 maatregelenlijst (M2 t/m M109). Bevindingen worden gecategoriseerd als: conform, afwijking (verbeteractie binnen 30 dagen), of non-conformiteit (directe actie vereist). Het auditrapport wordt besproken met de directie.</w:t>
      </w:r>
    </w:p>
    <w:p>
      <w:pPr>
        <w:pStyle w:val="Heading2"/>
      </w:pPr>
      <w:r>
        <w:t>10.2 Inspectieschema</w:t>
      </w:r>
    </w:p>
    <w:tbl>
      <w:tblPr>
        <w:tblStyle w:val="TableGrid"/>
        <w:tblW w:type="auto" w:w="0"/>
        <w:jc w:val="left"/>
        <w:tblLook w:firstColumn="1" w:firstRow="1" w:lastColumn="0" w:lastRow="0" w:noHBand="0" w:noVBand="1" w:val="04A0"/>
      </w:tblPr>
      <w:tblGrid>
        <w:gridCol w:w="2160"/>
        <w:gridCol w:w="2160"/>
        <w:gridCol w:w="2160"/>
        <w:gridCol w:w="2160"/>
      </w:tblGrid>
      <w:tr>
        <w:tc>
          <w:tcPr>
            <w:tcW w:type="dxa" w:w="2160"/>
            <w:shd w:fill="003366" w:val="clear"/>
          </w:tcPr>
          <w:p>
            <w:r>
              <w:rPr>
                <w:b/>
                <w:color w:val="FFFFFF"/>
              </w:rPr>
              <w:t>Frequentie</w:t>
            </w:r>
          </w:p>
        </w:tc>
        <w:tc>
          <w:tcPr>
            <w:tcW w:type="dxa" w:w="2160"/>
            <w:shd w:fill="003366" w:val="clear"/>
          </w:tcPr>
          <w:p>
            <w:r>
              <w:rPr>
                <w:b/>
                <w:color w:val="FFFFFF"/>
              </w:rPr>
              <w:t>Inspectieonderwerp</w:t>
            </w:r>
          </w:p>
        </w:tc>
        <w:tc>
          <w:tcPr>
            <w:tcW w:type="dxa" w:w="2160"/>
            <w:shd w:fill="003366" w:val="clear"/>
          </w:tcPr>
          <w:p>
            <w:r>
              <w:rPr>
                <w:b/>
                <w:color w:val="FFFFFF"/>
              </w:rPr>
              <w:t>Uitvoerder</w:t>
            </w:r>
          </w:p>
        </w:tc>
        <w:tc>
          <w:tcPr>
            <w:tcW w:type="dxa" w:w="2160"/>
            <w:shd w:fill="003366" w:val="clear"/>
          </w:tcPr>
          <w:p>
            <w:r>
              <w:rPr>
                <w:b/>
                <w:color w:val="FFFFFF"/>
              </w:rPr>
              <w:t>Registratie</w:t>
            </w:r>
          </w:p>
        </w:tc>
      </w:tr>
      <w:tr>
        <w:tc>
          <w:tcPr>
            <w:tcW w:type="dxa" w:w="2160"/>
          </w:tcPr>
          <w:p>
            <w:r>
              <w:t>Dagelijks</w:t>
            </w:r>
          </w:p>
        </w:tc>
        <w:tc>
          <w:tcPr>
            <w:tcW w:type="dxa" w:w="2160"/>
          </w:tcPr>
          <w:p>
            <w:r>
              <w:t>Visuele check verpakkingen, lekbakken, vakmarkering</w:t>
            </w:r>
          </w:p>
        </w:tc>
        <w:tc>
          <w:tcPr>
            <w:tcW w:type="dxa" w:w="2160"/>
          </w:tcPr>
          <w:p>
            <w:r>
              <w:t>Magazijnmedewerker</w:t>
            </w:r>
          </w:p>
        </w:tc>
        <w:tc>
          <w:tcPr>
            <w:tcW w:type="dxa" w:w="2160"/>
          </w:tcPr>
          <w:p>
            <w:r>
              <w:t>Checklist (digitaal)</w:t>
            </w:r>
          </w:p>
        </w:tc>
      </w:tr>
      <w:tr>
        <w:tc>
          <w:tcPr>
            <w:tcW w:type="dxa" w:w="2160"/>
          </w:tcPr>
          <w:p>
            <w:r>
              <w:t>Wekelijks</w:t>
            </w:r>
          </w:p>
        </w:tc>
        <w:tc>
          <w:tcPr>
            <w:tcW w:type="dxa" w:w="2160"/>
          </w:tcPr>
          <w:p>
            <w:r>
              <w:t>Lekbak-capaciteit, PPE-voorraad, absorbent-voorraad</w:t>
            </w:r>
          </w:p>
        </w:tc>
        <w:tc>
          <w:tcPr>
            <w:tcW w:type="dxa" w:w="2160"/>
          </w:tcPr>
          <w:p>
            <w:r>
              <w:t>Veiligheidscoördinator</w:t>
            </w:r>
          </w:p>
        </w:tc>
        <w:tc>
          <w:tcPr>
            <w:tcW w:type="dxa" w:w="2160"/>
          </w:tcPr>
          <w:p>
            <w:r>
              <w:t>Inspectierapport</w:t>
            </w:r>
          </w:p>
        </w:tc>
      </w:tr>
      <w:tr>
        <w:tc>
          <w:tcPr>
            <w:tcW w:type="dxa" w:w="2160"/>
          </w:tcPr>
          <w:p>
            <w:r>
              <w:t>Maandelijks</w:t>
            </w:r>
          </w:p>
        </w:tc>
        <w:tc>
          <w:tcPr>
            <w:tcW w:type="dxa" w:w="2160"/>
          </w:tcPr>
          <w:p>
            <w:r>
              <w:t>Ventilatie, blusmiddelen KEUR-status, SDS-beschikbaarheid</w:t>
            </w:r>
          </w:p>
        </w:tc>
        <w:tc>
          <w:tcPr>
            <w:tcW w:type="dxa" w:w="2160"/>
          </w:tcPr>
          <w:p>
            <w:r>
              <w:t>Veiligheidscoördinator</w:t>
            </w:r>
          </w:p>
        </w:tc>
        <w:tc>
          <w:tcPr>
            <w:tcW w:type="dxa" w:w="2160"/>
          </w:tcPr>
          <w:p>
            <w:r>
              <w:t>Maandrapportage</w:t>
            </w:r>
          </w:p>
        </w:tc>
      </w:tr>
      <w:tr>
        <w:tc>
          <w:tcPr>
            <w:tcW w:type="dxa" w:w="2160"/>
          </w:tcPr>
          <w:p>
            <w:r>
              <w:t>Kwartaallijks</w:t>
            </w:r>
          </w:p>
        </w:tc>
        <w:tc>
          <w:tcPr>
            <w:tcW w:type="dxa" w:w="2160"/>
          </w:tcPr>
          <w:p>
            <w:r>
              <w:t>Opleidingsstatus, competentie-verklaringen, incidentenanalyse</w:t>
            </w:r>
          </w:p>
        </w:tc>
        <w:tc>
          <w:tcPr>
            <w:tcW w:type="dxa" w:w="2160"/>
          </w:tcPr>
          <w:p>
            <w:r>
              <w:t>Directie + VG-coördinator</w:t>
            </w:r>
          </w:p>
        </w:tc>
        <w:tc>
          <w:tcPr>
            <w:tcW w:type="dxa" w:w="2160"/>
          </w:tcPr>
          <w:p>
            <w:r>
              <w:t>Kwartaalreview</w:t>
            </w:r>
          </w:p>
        </w:tc>
      </w:tr>
      <w:tr>
        <w:tc>
          <w:tcPr>
            <w:tcW w:type="dxa" w:w="2160"/>
          </w:tcPr>
          <w:p>
            <w:r>
              <w:t>Jaarlijks</w:t>
            </w:r>
          </w:p>
        </w:tc>
        <w:tc>
          <w:tcPr>
            <w:tcW w:type="dxa" w:w="2160"/>
          </w:tcPr>
          <w:p>
            <w:r>
              <w:t>Volledige PGS 15-audit, RI&amp;E-herziening, noodplanoefening</w:t>
            </w:r>
          </w:p>
        </w:tc>
        <w:tc>
          <w:tcPr>
            <w:tcW w:type="dxa" w:w="2160"/>
          </w:tcPr>
          <w:p>
            <w:r>
              <w:t>Interne auditor</w:t>
            </w:r>
          </w:p>
        </w:tc>
        <w:tc>
          <w:tcPr>
            <w:tcW w:type="dxa" w:w="2160"/>
          </w:tcPr>
          <w:p>
            <w:r>
              <w:t>Auditrapport</w:t>
            </w:r>
          </w:p>
        </w:tc>
      </w:tr>
    </w:tbl>
    <w:p/>
    <w:p>
      <w:pPr>
        <w:pStyle w:val="Heading2"/>
      </w:pPr>
      <w:r>
        <w:t>10.3 Non-Compliance Procedure</w:t>
      </w:r>
    </w:p>
    <w:p>
      <w:r>
        <w:t>Bij constatering van non-compliance wordt de volgende trapsgewijze procedure gevolgd: (1) Mondelinge waarschuwing door de veiligheidscoördinator met directe herstelverplichting; (2) Schriftelijke waarschuwing bij herhaling binnen 3 maanden, met verbeterplan en deadline; (3) Sanctie bij structurele non-compliance: schorsing van bevoegdheid tot aantoonbare herstelling, of — bij ernstig gevaar — onmiddellijke stillegging van de betreffende werkzaamheden. Alle non-conformiteiten worden geregistreerd in het verbeterregister en besproken tijdens de kwartaalreview met de directie.</w:t>
      </w:r>
    </w:p>
    <w:p>
      <w:pPr>
        <w:pStyle w:val="Heading1"/>
      </w:pPr>
      <w:r>
        <w:t>11. Documentbeheer</w:t>
      </w:r>
    </w:p>
    <w:p>
      <w:r>
        <w:t>Dit hoofdstuk beschrijft het versiebeheer, de herzieningstermijnen en de distributie van alle documenten die behoren tot het PGS 15-veiligheidsbeheerssysteem van Phoenix Metals.</w:t>
      </w:r>
    </w:p>
    <w:p>
      <w:pPr>
        <w:pStyle w:val="Heading2"/>
      </w:pPr>
      <w:r>
        <w:t>11.1 Versiebeheer</w:t>
      </w:r>
    </w:p>
    <w:tbl>
      <w:tblPr>
        <w:tblStyle w:val="TableGrid"/>
        <w:tblW w:type="auto" w:w="0"/>
        <w:jc w:val="left"/>
        <w:tblLook w:firstColumn="1" w:firstRow="1" w:lastColumn="0" w:lastRow="0" w:noHBand="0" w:noVBand="1" w:val="04A0"/>
      </w:tblPr>
      <w:tblGrid>
        <w:gridCol w:w="2160"/>
        <w:gridCol w:w="2160"/>
        <w:gridCol w:w="2160"/>
        <w:gridCol w:w="2160"/>
      </w:tblGrid>
      <w:tr>
        <w:tc>
          <w:tcPr>
            <w:tcW w:type="dxa" w:w="2160"/>
            <w:shd w:fill="003366" w:val="clear"/>
          </w:tcPr>
          <w:p>
            <w:r>
              <w:rPr>
                <w:b/>
                <w:color w:val="FFFFFF"/>
              </w:rPr>
              <w:t>Document</w:t>
            </w:r>
          </w:p>
        </w:tc>
        <w:tc>
          <w:tcPr>
            <w:tcW w:type="dxa" w:w="2160"/>
            <w:shd w:fill="003366" w:val="clear"/>
          </w:tcPr>
          <w:p>
            <w:r>
              <w:rPr>
                <w:b/>
                <w:color w:val="FFFFFF"/>
              </w:rPr>
              <w:t>Huidige versie</w:t>
            </w:r>
          </w:p>
        </w:tc>
        <w:tc>
          <w:tcPr>
            <w:tcW w:type="dxa" w:w="2160"/>
            <w:shd w:fill="003366" w:val="clear"/>
          </w:tcPr>
          <w:p>
            <w:r>
              <w:rPr>
                <w:b/>
                <w:color w:val="FFFFFF"/>
              </w:rPr>
              <w:t>Laatste herziening</w:t>
            </w:r>
          </w:p>
        </w:tc>
        <w:tc>
          <w:tcPr>
            <w:tcW w:type="dxa" w:w="2160"/>
            <w:shd w:fill="003366" w:val="clear"/>
          </w:tcPr>
          <w:p>
            <w:r>
              <w:rPr>
                <w:b/>
                <w:color w:val="FFFFFF"/>
              </w:rPr>
              <w:t>Volgende herziening</w:t>
            </w:r>
          </w:p>
        </w:tc>
      </w:tr>
      <w:tr>
        <w:tc>
          <w:tcPr>
            <w:tcW w:type="dxa" w:w="2160"/>
          </w:tcPr>
          <w:p>
            <w:r>
              <w:t>PGS 15 Beleidsdocument (Part A + B)</w:t>
            </w:r>
          </w:p>
        </w:tc>
        <w:tc>
          <w:tcPr>
            <w:tcW w:type="dxa" w:w="2160"/>
          </w:tcPr>
          <w:p>
            <w:r>
              <w:t>v1.0</w:t>
            </w:r>
          </w:p>
        </w:tc>
        <w:tc>
          <w:tcPr>
            <w:tcW w:type="dxa" w:w="2160"/>
          </w:tcPr>
          <w:p>
            <w:r>
              <w:t>26 april 2026</w:t>
            </w:r>
          </w:p>
        </w:tc>
        <w:tc>
          <w:tcPr>
            <w:tcW w:type="dxa" w:w="2160"/>
          </w:tcPr>
          <w:p>
            <w:r>
              <w:t>26 april 2027</w:t>
            </w:r>
          </w:p>
        </w:tc>
      </w:tr>
      <w:tr>
        <w:tc>
          <w:tcPr>
            <w:tcW w:type="dxa" w:w="2160"/>
          </w:tcPr>
          <w:p>
            <w:r>
              <w:t>Chemisch Register</w:t>
            </w:r>
          </w:p>
        </w:tc>
        <w:tc>
          <w:tcPr>
            <w:tcW w:type="dxa" w:w="2160"/>
          </w:tcPr>
          <w:p>
            <w:r>
              <w:t>v2.1.0</w:t>
            </w:r>
          </w:p>
        </w:tc>
        <w:tc>
          <w:tcPr>
            <w:tcW w:type="dxa" w:w="2160"/>
          </w:tcPr>
          <w:p>
            <w:r>
              <w:t>26 april 2026</w:t>
            </w:r>
          </w:p>
        </w:tc>
        <w:tc>
          <w:tcPr>
            <w:tcW w:type="dxa" w:w="2160"/>
          </w:tcPr>
          <w:p>
            <w:r>
              <w:t>Bij wijziging</w:t>
            </w:r>
          </w:p>
        </w:tc>
      </w:tr>
      <w:tr>
        <w:tc>
          <w:tcPr>
            <w:tcW w:type="dxa" w:w="2160"/>
          </w:tcPr>
          <w:p>
            <w:r>
              <w:t>Calamiteitenplan</w:t>
            </w:r>
          </w:p>
        </w:tc>
        <w:tc>
          <w:tcPr>
            <w:tcW w:type="dxa" w:w="2160"/>
          </w:tcPr>
          <w:p>
            <w:r>
              <w:t>v1.0</w:t>
            </w:r>
          </w:p>
        </w:tc>
        <w:tc>
          <w:tcPr>
            <w:tcW w:type="dxa" w:w="2160"/>
          </w:tcPr>
          <w:p>
            <w:r>
              <w:t>26 april 2026</w:t>
            </w:r>
          </w:p>
        </w:tc>
        <w:tc>
          <w:tcPr>
            <w:tcW w:type="dxa" w:w="2160"/>
          </w:tcPr>
          <w:p>
            <w:r>
              <w:t>26 april 2027</w:t>
            </w:r>
          </w:p>
        </w:tc>
      </w:tr>
      <w:tr>
        <w:tc>
          <w:tcPr>
            <w:tcW w:type="dxa" w:w="2160"/>
          </w:tcPr>
          <w:p>
            <w:r>
              <w:t>Inspectieformulieren</w:t>
            </w:r>
          </w:p>
        </w:tc>
        <w:tc>
          <w:tcPr>
            <w:tcW w:type="dxa" w:w="2160"/>
          </w:tcPr>
          <w:p>
            <w:r>
              <w:t>v1.0</w:t>
            </w:r>
          </w:p>
        </w:tc>
        <w:tc>
          <w:tcPr>
            <w:tcW w:type="dxa" w:w="2160"/>
          </w:tcPr>
          <w:p>
            <w:r>
              <w:t>26 april 2026</w:t>
            </w:r>
          </w:p>
        </w:tc>
        <w:tc>
          <w:tcPr>
            <w:tcW w:type="dxa" w:w="2160"/>
          </w:tcPr>
          <w:p>
            <w:r>
              <w:t>26 april 2027</w:t>
            </w:r>
          </w:p>
        </w:tc>
      </w:tr>
      <w:tr>
        <w:tc>
          <w:tcPr>
            <w:tcW w:type="dxa" w:w="2160"/>
          </w:tcPr>
          <w:p>
            <w:r>
              <w:t>Opleidingsmatrix</w:t>
            </w:r>
          </w:p>
        </w:tc>
        <w:tc>
          <w:tcPr>
            <w:tcW w:type="dxa" w:w="2160"/>
          </w:tcPr>
          <w:p>
            <w:r>
              <w:t>v1.0</w:t>
            </w:r>
          </w:p>
        </w:tc>
        <w:tc>
          <w:tcPr>
            <w:tcW w:type="dxa" w:w="2160"/>
          </w:tcPr>
          <w:p>
            <w:r>
              <w:t>26 april 2026</w:t>
            </w:r>
          </w:p>
        </w:tc>
        <w:tc>
          <w:tcPr>
            <w:tcW w:type="dxa" w:w="2160"/>
          </w:tcPr>
          <w:p>
            <w:r>
              <w:t>Bij wijziging</w:t>
            </w:r>
          </w:p>
        </w:tc>
      </w:tr>
      <w:tr>
        <w:tc>
          <w:tcPr>
            <w:tcW w:type="dxa" w:w="2160"/>
          </w:tcPr>
          <w:p>
            <w:r>
              <w:t>RI&amp;E</w:t>
            </w:r>
          </w:p>
        </w:tc>
        <w:tc>
          <w:tcPr>
            <w:tcW w:type="dxa" w:w="2160"/>
          </w:tcPr>
          <w:p>
            <w:r>
              <w:t>v1.0</w:t>
            </w:r>
          </w:p>
        </w:tc>
        <w:tc>
          <w:tcPr>
            <w:tcW w:type="dxa" w:w="2160"/>
          </w:tcPr>
          <w:p>
            <w:r>
              <w:t>26 april 2026</w:t>
            </w:r>
          </w:p>
        </w:tc>
        <w:tc>
          <w:tcPr>
            <w:tcW w:type="dxa" w:w="2160"/>
          </w:tcPr>
          <w:p>
            <w:r>
              <w:t>26 april 2027</w:t>
            </w:r>
          </w:p>
        </w:tc>
      </w:tr>
    </w:tbl>
    <w:p/>
    <w:p>
      <w:pPr>
        <w:pStyle w:val="Heading2"/>
      </w:pPr>
      <w:r>
        <w:t>11.2 Herzieningstermijnen</w:t>
      </w:r>
    </w:p>
    <w:p>
      <w:r>
        <w:t>Alle documenten worden minimaal jaarlijks herzien. Tussentijdse herziening is verplicht bij: (1) wijziging van wet- of regelgeving, (2) wijziging van het stoffenpakket (toevoeging of verwijdering van stoffen), (3) wijziging van de opslagconfiguratie, (4) na een incident of bijna-ongeval, of (5) na een audit met substantiële bevindingen. De verantwoordelijkheid voor herziening ligt bij de veiligheidscoördinator, met goedkeuring door de directie.</w:t>
      </w:r>
    </w:p>
    <w:p>
      <w:pPr>
        <w:pStyle w:val="Heading2"/>
      </w:pPr>
      <w:r>
        <w:t>11.3 Distributielijst</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Document</w:t>
            </w:r>
          </w:p>
        </w:tc>
        <w:tc>
          <w:tcPr>
            <w:tcW w:type="dxa" w:w="1728"/>
            <w:shd w:fill="003366" w:val="clear"/>
          </w:tcPr>
          <w:p>
            <w:r>
              <w:rPr>
                <w:b/>
                <w:color w:val="FFFFFF"/>
              </w:rPr>
              <w:t>Directie</w:t>
            </w:r>
          </w:p>
        </w:tc>
        <w:tc>
          <w:tcPr>
            <w:tcW w:type="dxa" w:w="1728"/>
            <w:shd w:fill="003366" w:val="clear"/>
          </w:tcPr>
          <w:p>
            <w:r>
              <w:rPr>
                <w:b/>
                <w:color w:val="FFFFFF"/>
              </w:rPr>
              <w:t>Veiligheids-coördinator</w:t>
            </w:r>
          </w:p>
        </w:tc>
        <w:tc>
          <w:tcPr>
            <w:tcW w:type="dxa" w:w="1728"/>
            <w:shd w:fill="003366" w:val="clear"/>
          </w:tcPr>
          <w:p>
            <w:r>
              <w:rPr>
                <w:b/>
                <w:color w:val="FFFFFF"/>
              </w:rPr>
              <w:t>Magazijn</w:t>
            </w:r>
          </w:p>
        </w:tc>
        <w:tc>
          <w:tcPr>
            <w:tcW w:type="dxa" w:w="1728"/>
            <w:shd w:fill="003366" w:val="clear"/>
          </w:tcPr>
          <w:p>
            <w:r>
              <w:rPr>
                <w:b/>
                <w:color w:val="FFFFFF"/>
              </w:rPr>
              <w:t>Externe (brandweer)</w:t>
            </w:r>
          </w:p>
        </w:tc>
      </w:tr>
      <w:tr>
        <w:tc>
          <w:tcPr>
            <w:tcW w:type="dxa" w:w="1728"/>
          </w:tcPr>
          <w:p>
            <w:r>
              <w:t>Beleidsdocument</w:t>
            </w:r>
          </w:p>
        </w:tc>
        <w:tc>
          <w:tcPr>
            <w:tcW w:type="dxa" w:w="1728"/>
          </w:tcPr>
          <w:p>
            <w:r>
              <w:t>V</w:t>
            </w:r>
          </w:p>
        </w:tc>
        <w:tc>
          <w:tcPr>
            <w:tcW w:type="dxa" w:w="1728"/>
          </w:tcPr>
          <w:p>
            <w:r>
              <w:t>V</w:t>
            </w:r>
          </w:p>
        </w:tc>
        <w:tc>
          <w:tcPr>
            <w:tcW w:type="dxa" w:w="1728"/>
          </w:tcPr>
          <w:p>
            <w:r>
              <w:t>Samenvatting</w:t>
            </w:r>
          </w:p>
        </w:tc>
        <w:tc>
          <w:tcPr>
            <w:tcW w:type="dxa" w:w="1728"/>
          </w:tcPr>
          <w:p>
            <w:r>
              <w:t>-</w:t>
            </w:r>
          </w:p>
        </w:tc>
      </w:tr>
      <w:tr>
        <w:tc>
          <w:tcPr>
            <w:tcW w:type="dxa" w:w="1728"/>
          </w:tcPr>
          <w:p>
            <w:r>
              <w:t>Chemisch Register</w:t>
            </w:r>
          </w:p>
        </w:tc>
        <w:tc>
          <w:tcPr>
            <w:tcW w:type="dxa" w:w="1728"/>
          </w:tcPr>
          <w:p>
            <w:r>
              <w:t>V</w:t>
            </w:r>
          </w:p>
        </w:tc>
        <w:tc>
          <w:tcPr>
            <w:tcW w:type="dxa" w:w="1728"/>
          </w:tcPr>
          <w:p>
            <w:r>
              <w:t>V</w:t>
            </w:r>
          </w:p>
        </w:tc>
        <w:tc>
          <w:tcPr>
            <w:tcW w:type="dxa" w:w="1728"/>
          </w:tcPr>
          <w:p>
            <w:r>
              <w:t>V (bij opslag)</w:t>
            </w:r>
          </w:p>
        </w:tc>
        <w:tc>
          <w:tcPr>
            <w:tcW w:type="dxa" w:w="1728"/>
          </w:tcPr>
          <w:p>
            <w:r>
              <w:t>Raadpleegbaar</w:t>
            </w:r>
          </w:p>
        </w:tc>
      </w:tr>
      <w:tr>
        <w:tc>
          <w:tcPr>
            <w:tcW w:type="dxa" w:w="1728"/>
          </w:tcPr>
          <w:p>
            <w:r>
              <w:t>Calamiteitenplan</w:t>
            </w:r>
          </w:p>
        </w:tc>
        <w:tc>
          <w:tcPr>
            <w:tcW w:type="dxa" w:w="1728"/>
          </w:tcPr>
          <w:p>
            <w:r>
              <w:t>V</w:t>
            </w:r>
          </w:p>
        </w:tc>
        <w:tc>
          <w:tcPr>
            <w:tcW w:type="dxa" w:w="1728"/>
          </w:tcPr>
          <w:p>
            <w:r>
              <w:t>V</w:t>
            </w:r>
          </w:p>
        </w:tc>
        <w:tc>
          <w:tcPr>
            <w:tcW w:type="dxa" w:w="1728"/>
          </w:tcPr>
          <w:p>
            <w:r>
              <w:t>V</w:t>
            </w:r>
          </w:p>
        </w:tc>
        <w:tc>
          <w:tcPr>
            <w:tcW w:type="dxa" w:w="1728"/>
          </w:tcPr>
          <w:p>
            <w:r>
              <w:t>V</w:t>
            </w:r>
          </w:p>
        </w:tc>
      </w:tr>
      <w:tr>
        <w:tc>
          <w:tcPr>
            <w:tcW w:type="dxa" w:w="1728"/>
          </w:tcPr>
          <w:p>
            <w:r>
              <w:t>SDS / VIB per stof</w:t>
            </w:r>
          </w:p>
        </w:tc>
        <w:tc>
          <w:tcPr>
            <w:tcW w:type="dxa" w:w="1728"/>
          </w:tcPr>
          <w:p>
            <w:r>
              <w:t>Digitaal</w:t>
            </w:r>
          </w:p>
        </w:tc>
        <w:tc>
          <w:tcPr>
            <w:tcW w:type="dxa" w:w="1728"/>
          </w:tcPr>
          <w:p>
            <w:r>
              <w:t>V</w:t>
            </w:r>
          </w:p>
        </w:tc>
        <w:tc>
          <w:tcPr>
            <w:tcW w:type="dxa" w:w="1728"/>
          </w:tcPr>
          <w:p>
            <w:r>
              <w:t>V (bij opslag)</w:t>
            </w:r>
          </w:p>
        </w:tc>
        <w:tc>
          <w:tcPr>
            <w:tcW w:type="dxa" w:w="1728"/>
          </w:tcPr>
          <w:p>
            <w:r>
              <w:t>Op aanvraag</w:t>
            </w:r>
          </w:p>
        </w:tc>
      </w:tr>
      <w:tr>
        <w:tc>
          <w:tcPr>
            <w:tcW w:type="dxa" w:w="1728"/>
          </w:tcPr>
          <w:p>
            <w:r>
              <w:t>Inspectieformulieren</w:t>
            </w:r>
          </w:p>
        </w:tc>
        <w:tc>
          <w:tcPr>
            <w:tcW w:type="dxa" w:w="1728"/>
          </w:tcPr>
          <w:p>
            <w:r>
              <w:t>Inzage</w:t>
            </w:r>
          </w:p>
        </w:tc>
        <w:tc>
          <w:tcPr>
            <w:tcW w:type="dxa" w:w="1728"/>
          </w:tcPr>
          <w:p>
            <w:r>
              <w:t>V</w:t>
            </w:r>
          </w:p>
        </w:tc>
        <w:tc>
          <w:tcPr>
            <w:tcW w:type="dxa" w:w="1728"/>
          </w:tcPr>
          <w:p>
            <w:r>
              <w:t>Uitvoering</w:t>
            </w:r>
          </w:p>
        </w:tc>
        <w:tc>
          <w:tcPr>
            <w:tcW w:type="dxa" w:w="1728"/>
          </w:tcPr>
          <w:p>
            <w:r>
              <w:t>-</w:t>
            </w:r>
          </w:p>
        </w:tc>
      </w:tr>
    </w:tbl>
    <w:p/>
    <w:p>
      <w:pPr>
        <w:pStyle w:val="Heading1"/>
      </w:pPr>
      <w:r>
        <w:t>12. Bijlagen</w:t>
      </w:r>
    </w:p>
    <w:p>
      <w:pPr>
        <w:pStyle w:val="Heading2"/>
      </w:pPr>
      <w:r>
        <w:t>Bijlage A: Chemisch Register Phoenix Metals</w:t>
      </w:r>
    </w:p>
    <w:p>
      <w:r>
        <w:t>Overzicht van alle opgeslagen gevaarlijke stoffen, gebaseerd op het chemisch register v2.1.0.</w:t>
      </w:r>
    </w:p>
    <w:tbl>
      <w:tblPr>
        <w:tblStyle w:val="TableGrid"/>
        <w:tblW w:type="auto" w:w="0"/>
        <w:jc w:val="left"/>
        <w:tblLook w:firstColumn="1" w:firstRow="1" w:lastColumn="0" w:lastRow="0" w:noHBand="0" w:noVBand="1" w:val="04A0"/>
      </w:tblPr>
      <w:tblGrid>
        <w:gridCol w:w="1234"/>
        <w:gridCol w:w="1234"/>
        <w:gridCol w:w="1234"/>
        <w:gridCol w:w="1234"/>
        <w:gridCol w:w="1234"/>
        <w:gridCol w:w="1234"/>
        <w:gridCol w:w="1234"/>
      </w:tblGrid>
      <w:tr>
        <w:tc>
          <w:tcPr>
            <w:tcW w:type="dxa" w:w="1234"/>
            <w:shd w:fill="003366" w:val="clear"/>
          </w:tcPr>
          <w:p>
            <w:r>
              <w:rPr>
                <w:b/>
                <w:color w:val="FFFFFF"/>
              </w:rPr>
              <w:t>#</w:t>
            </w:r>
          </w:p>
        </w:tc>
        <w:tc>
          <w:tcPr>
            <w:tcW w:type="dxa" w:w="1234"/>
            <w:shd w:fill="003366" w:val="clear"/>
          </w:tcPr>
          <w:p>
            <w:r>
              <w:rPr>
                <w:b/>
                <w:color w:val="FFFFFF"/>
              </w:rPr>
              <w:t>Stof</w:t>
            </w:r>
          </w:p>
        </w:tc>
        <w:tc>
          <w:tcPr>
            <w:tcW w:type="dxa" w:w="1234"/>
            <w:shd w:fill="003366" w:val="clear"/>
          </w:tcPr>
          <w:p>
            <w:r>
              <w:rPr>
                <w:b/>
                <w:color w:val="FFFFFF"/>
              </w:rPr>
              <w:t>CAS-nummer</w:t>
            </w:r>
          </w:p>
        </w:tc>
        <w:tc>
          <w:tcPr>
            <w:tcW w:type="dxa" w:w="1234"/>
            <w:shd w:fill="003366" w:val="clear"/>
          </w:tcPr>
          <w:p>
            <w:r>
              <w:rPr>
                <w:b/>
                <w:color w:val="FFFFFF"/>
              </w:rPr>
              <w:t>ADR-klasse</w:t>
            </w:r>
          </w:p>
        </w:tc>
        <w:tc>
          <w:tcPr>
            <w:tcW w:type="dxa" w:w="1234"/>
            <w:shd w:fill="003366" w:val="clear"/>
          </w:tcPr>
          <w:p>
            <w:r>
              <w:rPr>
                <w:b/>
                <w:color w:val="FFFFFF"/>
              </w:rPr>
              <w:t>Verpakkingsgroep</w:t>
            </w:r>
          </w:p>
        </w:tc>
        <w:tc>
          <w:tcPr>
            <w:tcW w:type="dxa" w:w="1234"/>
            <w:shd w:fill="003366" w:val="clear"/>
          </w:tcPr>
          <w:p>
            <w:r>
              <w:rPr>
                <w:b/>
                <w:color w:val="FFFFFF"/>
              </w:rPr>
              <w:t>Volume</w:t>
            </w:r>
          </w:p>
        </w:tc>
        <w:tc>
          <w:tcPr>
            <w:tcW w:type="dxa" w:w="1234"/>
            <w:shd w:fill="003366" w:val="clear"/>
          </w:tcPr>
          <w:p>
            <w:r>
              <w:rPr>
                <w:b/>
                <w:color w:val="FFFFFF"/>
              </w:rPr>
              <w:t>Verpakking</w:t>
            </w:r>
          </w:p>
        </w:tc>
      </w:tr>
      <w:tr>
        <w:tc>
          <w:tcPr>
            <w:tcW w:type="dxa" w:w="1234"/>
          </w:tcPr>
          <w:p>
            <w:r>
              <w:t>1</w:t>
            </w:r>
          </w:p>
        </w:tc>
        <w:tc>
          <w:tcPr>
            <w:tcW w:type="dxa" w:w="1234"/>
          </w:tcPr>
          <w:p>
            <w:r>
              <w:t>Sodium hydroxide 50%</w:t>
            </w:r>
          </w:p>
        </w:tc>
        <w:tc>
          <w:tcPr>
            <w:tcW w:type="dxa" w:w="1234"/>
          </w:tcPr>
          <w:p>
            <w:r>
              <w:t>1310-73-2</w:t>
            </w:r>
          </w:p>
        </w:tc>
        <w:tc>
          <w:tcPr>
            <w:tcW w:type="dxa" w:w="1234"/>
          </w:tcPr>
          <w:p>
            <w:r>
              <w:t>8</w:t>
            </w:r>
          </w:p>
        </w:tc>
        <w:tc>
          <w:tcPr>
            <w:tcW w:type="dxa" w:w="1234"/>
          </w:tcPr>
          <w:p>
            <w:r>
              <w:t>II</w:t>
            </w:r>
          </w:p>
        </w:tc>
        <w:tc>
          <w:tcPr>
            <w:tcW w:type="dxa" w:w="1234"/>
          </w:tcPr>
          <w:p>
            <w:r>
              <w:t>100 l (4×25 l)</w:t>
            </w:r>
          </w:p>
        </w:tc>
        <w:tc>
          <w:tcPr>
            <w:tcW w:type="dxa" w:w="1234"/>
          </w:tcPr>
          <w:p>
            <w:r>
              <w:t>Jerrycan</w:t>
            </w:r>
          </w:p>
        </w:tc>
      </w:tr>
      <w:tr>
        <w:tc>
          <w:tcPr>
            <w:tcW w:type="dxa" w:w="1234"/>
          </w:tcPr>
          <w:p>
            <w:r>
              <w:t>2</w:t>
            </w:r>
          </w:p>
        </w:tc>
        <w:tc>
          <w:tcPr>
            <w:tcW w:type="dxa" w:w="1234"/>
          </w:tcPr>
          <w:p>
            <w:r>
              <w:t>Sulfuric acid 75%</w:t>
            </w:r>
          </w:p>
        </w:tc>
        <w:tc>
          <w:tcPr>
            <w:tcW w:type="dxa" w:w="1234"/>
          </w:tcPr>
          <w:p>
            <w:r>
              <w:t>7664-93-9</w:t>
            </w:r>
          </w:p>
        </w:tc>
        <w:tc>
          <w:tcPr>
            <w:tcW w:type="dxa" w:w="1234"/>
          </w:tcPr>
          <w:p>
            <w:r>
              <w:t>8</w:t>
            </w:r>
          </w:p>
        </w:tc>
        <w:tc>
          <w:tcPr>
            <w:tcW w:type="dxa" w:w="1234"/>
          </w:tcPr>
          <w:p>
            <w:r>
              <w:t>II</w:t>
            </w:r>
          </w:p>
        </w:tc>
        <w:tc>
          <w:tcPr>
            <w:tcW w:type="dxa" w:w="1234"/>
          </w:tcPr>
          <w:p>
            <w:r>
              <w:t>30 l (3×10 l)</w:t>
            </w:r>
          </w:p>
        </w:tc>
        <w:tc>
          <w:tcPr>
            <w:tcW w:type="dxa" w:w="1234"/>
          </w:tcPr>
          <w:p>
            <w:r>
              <w:t>Jerrycan</w:t>
            </w:r>
          </w:p>
        </w:tc>
      </w:tr>
      <w:tr>
        <w:tc>
          <w:tcPr>
            <w:tcW w:type="dxa" w:w="1234"/>
          </w:tcPr>
          <w:p>
            <w:r>
              <w:t>3</w:t>
            </w:r>
          </w:p>
        </w:tc>
        <w:tc>
          <w:tcPr>
            <w:tcW w:type="dxa" w:w="1234"/>
          </w:tcPr>
          <w:p>
            <w:r>
              <w:t>Sulfuric acid 50%</w:t>
            </w:r>
          </w:p>
        </w:tc>
        <w:tc>
          <w:tcPr>
            <w:tcW w:type="dxa" w:w="1234"/>
          </w:tcPr>
          <w:p>
            <w:r>
              <w:t>7664-93-9</w:t>
            </w:r>
          </w:p>
        </w:tc>
        <w:tc>
          <w:tcPr>
            <w:tcW w:type="dxa" w:w="1234"/>
          </w:tcPr>
          <w:p>
            <w:r>
              <w:t>8</w:t>
            </w:r>
          </w:p>
        </w:tc>
        <w:tc>
          <w:tcPr>
            <w:tcW w:type="dxa" w:w="1234"/>
          </w:tcPr>
          <w:p>
            <w:r>
              <w:t>II</w:t>
            </w:r>
          </w:p>
        </w:tc>
        <w:tc>
          <w:tcPr>
            <w:tcW w:type="dxa" w:w="1234"/>
          </w:tcPr>
          <w:p>
            <w:r>
              <w:t>70 l (7×10 l)</w:t>
            </w:r>
          </w:p>
        </w:tc>
        <w:tc>
          <w:tcPr>
            <w:tcW w:type="dxa" w:w="1234"/>
          </w:tcPr>
          <w:p>
            <w:r>
              <w:t>Jerrycan</w:t>
            </w:r>
          </w:p>
        </w:tc>
      </w:tr>
      <w:tr>
        <w:tc>
          <w:tcPr>
            <w:tcW w:type="dxa" w:w="1234"/>
          </w:tcPr>
          <w:p>
            <w:r>
              <w:t>4</w:t>
            </w:r>
          </w:p>
        </w:tc>
        <w:tc>
          <w:tcPr>
            <w:tcW w:type="dxa" w:w="1234"/>
          </w:tcPr>
          <w:p>
            <w:r>
              <w:t>Sulfuric acid 25%</w:t>
            </w:r>
          </w:p>
        </w:tc>
        <w:tc>
          <w:tcPr>
            <w:tcW w:type="dxa" w:w="1234"/>
          </w:tcPr>
          <w:p>
            <w:r>
              <w:t>7664-93-9</w:t>
            </w:r>
          </w:p>
        </w:tc>
        <w:tc>
          <w:tcPr>
            <w:tcW w:type="dxa" w:w="1234"/>
          </w:tcPr>
          <w:p>
            <w:r>
              <w:t>8</w:t>
            </w:r>
          </w:p>
        </w:tc>
        <w:tc>
          <w:tcPr>
            <w:tcW w:type="dxa" w:w="1234"/>
          </w:tcPr>
          <w:p>
            <w:r>
              <w:t>II</w:t>
            </w:r>
          </w:p>
        </w:tc>
        <w:tc>
          <w:tcPr>
            <w:tcW w:type="dxa" w:w="1234"/>
          </w:tcPr>
          <w:p>
            <w:r>
              <w:t>100 l (4×25 l)</w:t>
            </w:r>
          </w:p>
        </w:tc>
        <w:tc>
          <w:tcPr>
            <w:tcW w:type="dxa" w:w="1234"/>
          </w:tcPr>
          <w:p>
            <w:r>
              <w:t>Jerrycan</w:t>
            </w:r>
          </w:p>
        </w:tc>
      </w:tr>
      <w:tr>
        <w:tc>
          <w:tcPr>
            <w:tcW w:type="dxa" w:w="1234"/>
          </w:tcPr>
          <w:p>
            <w:r>
              <w:t>5</w:t>
            </w:r>
          </w:p>
        </w:tc>
        <w:tc>
          <w:tcPr>
            <w:tcW w:type="dxa" w:w="1234"/>
          </w:tcPr>
          <w:p>
            <w:r>
              <w:t>Aluminum sulfate octadecahydrate</w:t>
            </w:r>
          </w:p>
        </w:tc>
        <w:tc>
          <w:tcPr>
            <w:tcW w:type="dxa" w:w="1234"/>
          </w:tcPr>
          <w:p>
            <w:r>
              <w:t>7784-31-8</w:t>
            </w:r>
          </w:p>
        </w:tc>
        <w:tc>
          <w:tcPr>
            <w:tcW w:type="dxa" w:w="1234"/>
          </w:tcPr>
          <w:p>
            <w:r>
              <w:t>N/A</w:t>
            </w:r>
          </w:p>
        </w:tc>
        <w:tc>
          <w:tcPr>
            <w:tcW w:type="dxa" w:w="1234"/>
          </w:tcPr>
          <w:p>
            <w:r>
              <w:t>N/A</w:t>
            </w:r>
          </w:p>
        </w:tc>
        <w:tc>
          <w:tcPr>
            <w:tcW w:type="dxa" w:w="1234"/>
          </w:tcPr>
          <w:p>
            <w:r>
              <w:t>5 kg (2×2,5 kg)</w:t>
            </w:r>
          </w:p>
        </w:tc>
        <w:tc>
          <w:tcPr>
            <w:tcW w:type="dxa" w:w="1234"/>
          </w:tcPr>
          <w:p>
            <w:r>
              <w:t>Canister</w:t>
            </w:r>
          </w:p>
        </w:tc>
      </w:tr>
      <w:tr>
        <w:tc>
          <w:tcPr>
            <w:tcW w:type="dxa" w:w="1234"/>
          </w:tcPr>
          <w:p>
            <w:r>
              <w:t>6</w:t>
            </w:r>
          </w:p>
        </w:tc>
        <w:tc>
          <w:tcPr>
            <w:tcW w:type="dxa" w:w="1234"/>
          </w:tcPr>
          <w:p>
            <w:r>
              <w:t>Calcium oxide</w:t>
            </w:r>
          </w:p>
        </w:tc>
        <w:tc>
          <w:tcPr>
            <w:tcW w:type="dxa" w:w="1234"/>
          </w:tcPr>
          <w:p>
            <w:r>
              <w:t>1305-78-8</w:t>
            </w:r>
          </w:p>
        </w:tc>
        <w:tc>
          <w:tcPr>
            <w:tcW w:type="dxa" w:w="1234"/>
          </w:tcPr>
          <w:p>
            <w:r>
              <w:t>N/A</w:t>
            </w:r>
          </w:p>
        </w:tc>
        <w:tc>
          <w:tcPr>
            <w:tcW w:type="dxa" w:w="1234"/>
          </w:tcPr>
          <w:p>
            <w:r>
              <w:t>N/A</w:t>
            </w:r>
          </w:p>
        </w:tc>
        <w:tc>
          <w:tcPr>
            <w:tcW w:type="dxa" w:w="1234"/>
          </w:tcPr>
          <w:p>
            <w:r>
              <w:t>10 kg (2×5 kg)</w:t>
            </w:r>
          </w:p>
        </w:tc>
        <w:tc>
          <w:tcPr>
            <w:tcW w:type="dxa" w:w="1234"/>
          </w:tcPr>
          <w:p>
            <w:r>
              <w:t>Canister</w:t>
            </w:r>
          </w:p>
        </w:tc>
      </w:tr>
    </w:tbl>
    <w:p/>
    <w:p>
      <w:pPr>
        <w:pStyle w:val="Heading2"/>
      </w:pPr>
      <w:r>
        <w:t>Bijlage B: Compatibiliteitsmatrix</w:t>
      </w:r>
    </w:p>
    <w:p>
      <w:r>
        <w:t>Scheidingseisen voor alle combinaties van de 6 opgeslagen stoffen, gebaseerd op PGS 15 Bijlage E, Tabel 9. A = apart brandcompartiment of 5 m vrije zone; B = beoordelen; - = geen scheiding vereist.</w:t>
      </w:r>
    </w:p>
    <w:tbl>
      <w:tblPr>
        <w:tblStyle w:val="TableGrid"/>
        <w:tblW w:type="auto" w:w="0"/>
        <w:jc w:val="left"/>
        <w:tblLook w:firstColumn="1" w:firstRow="1" w:lastColumn="0" w:lastRow="0" w:noHBand="0" w:noVBand="1" w:val="04A0"/>
      </w:tblPr>
      <w:tblGrid>
        <w:gridCol w:w="1234"/>
        <w:gridCol w:w="1234"/>
        <w:gridCol w:w="1234"/>
        <w:gridCol w:w="1234"/>
        <w:gridCol w:w="1234"/>
        <w:gridCol w:w="1234"/>
        <w:gridCol w:w="1234"/>
      </w:tblGrid>
      <w:tr>
        <w:tc>
          <w:tcPr>
            <w:tcW w:type="dxa" w:w="1234"/>
            <w:shd w:fill="003366" w:val="clear"/>
          </w:tcPr>
          <w:p>
            <w:r>
              <w:rPr>
                <w:b/>
                <w:color w:val="FFFFFF"/>
              </w:rPr>
            </w:r>
          </w:p>
        </w:tc>
        <w:tc>
          <w:tcPr>
            <w:tcW w:type="dxa" w:w="1234"/>
            <w:shd w:fill="003366" w:val="clear"/>
          </w:tcPr>
          <w:p>
            <w:r>
              <w:rPr>
                <w:b/>
                <w:color w:val="FFFFFF"/>
              </w:rPr>
              <w:t>NaOH 50%</w:t>
            </w:r>
          </w:p>
        </w:tc>
        <w:tc>
          <w:tcPr>
            <w:tcW w:type="dxa" w:w="1234"/>
            <w:shd w:fill="003366" w:val="clear"/>
          </w:tcPr>
          <w:p>
            <w:r>
              <w:rPr>
                <w:b/>
                <w:color w:val="FFFFFF"/>
              </w:rPr>
              <w:t>H₂SO₄ 75%</w:t>
            </w:r>
          </w:p>
        </w:tc>
        <w:tc>
          <w:tcPr>
            <w:tcW w:type="dxa" w:w="1234"/>
            <w:shd w:fill="003366" w:val="clear"/>
          </w:tcPr>
          <w:p>
            <w:r>
              <w:rPr>
                <w:b/>
                <w:color w:val="FFFFFF"/>
              </w:rPr>
              <w:t>H₂SO₄ 50%</w:t>
            </w:r>
          </w:p>
        </w:tc>
        <w:tc>
          <w:tcPr>
            <w:tcW w:type="dxa" w:w="1234"/>
            <w:shd w:fill="003366" w:val="clear"/>
          </w:tcPr>
          <w:p>
            <w:r>
              <w:rPr>
                <w:b/>
                <w:color w:val="FFFFFF"/>
              </w:rPr>
              <w:t>H₂SO₄ 25%</w:t>
            </w:r>
          </w:p>
        </w:tc>
        <w:tc>
          <w:tcPr>
            <w:tcW w:type="dxa" w:w="1234"/>
            <w:shd w:fill="003366" w:val="clear"/>
          </w:tcPr>
          <w:p>
            <w:r>
              <w:rPr>
                <w:b/>
                <w:color w:val="FFFFFF"/>
              </w:rPr>
              <w:t>Al₂(SO₄)₃</w:t>
            </w:r>
          </w:p>
        </w:tc>
        <w:tc>
          <w:tcPr>
            <w:tcW w:type="dxa" w:w="1234"/>
            <w:shd w:fill="003366" w:val="clear"/>
          </w:tcPr>
          <w:p>
            <w:r>
              <w:rPr>
                <w:b/>
                <w:color w:val="FFFFFF"/>
              </w:rPr>
              <w:t>CaO</w:t>
            </w:r>
          </w:p>
        </w:tc>
      </w:tr>
      <w:tr>
        <w:tc>
          <w:tcPr>
            <w:tcW w:type="dxa" w:w="1234"/>
          </w:tcPr>
          <w:p>
            <w:r>
              <w:t>NaOH 50%</w:t>
            </w:r>
          </w:p>
        </w:tc>
        <w:tc>
          <w:tcPr>
            <w:tcW w:type="dxa" w:w="1234"/>
          </w:tcPr>
          <w:p>
            <w:r>
              <w:t>-</w:t>
            </w:r>
          </w:p>
        </w:tc>
        <w:tc>
          <w:tcPr>
            <w:tcW w:type="dxa" w:w="1234"/>
          </w:tcPr>
          <w:p>
            <w:r>
              <w:t>A</w:t>
            </w:r>
          </w:p>
        </w:tc>
        <w:tc>
          <w:tcPr>
            <w:tcW w:type="dxa" w:w="1234"/>
          </w:tcPr>
          <w:p>
            <w:r>
              <w:t>A</w:t>
            </w:r>
          </w:p>
        </w:tc>
        <w:tc>
          <w:tcPr>
            <w:tcW w:type="dxa" w:w="1234"/>
          </w:tcPr>
          <w:p>
            <w:r>
              <w:t>A</w:t>
            </w:r>
          </w:p>
        </w:tc>
        <w:tc>
          <w:tcPr>
            <w:tcW w:type="dxa" w:w="1234"/>
          </w:tcPr>
          <w:p>
            <w:r>
              <w:t>B</w:t>
            </w:r>
          </w:p>
        </w:tc>
        <w:tc>
          <w:tcPr>
            <w:tcW w:type="dxa" w:w="1234"/>
          </w:tcPr>
          <w:p>
            <w:r>
              <w:t>B</w:t>
            </w:r>
          </w:p>
        </w:tc>
      </w:tr>
      <w:tr>
        <w:tc>
          <w:tcPr>
            <w:tcW w:type="dxa" w:w="1234"/>
          </w:tcPr>
          <w:p>
            <w:r>
              <w:t>H₂SO₄ 75%</w:t>
            </w:r>
          </w:p>
        </w:tc>
        <w:tc>
          <w:tcPr>
            <w:tcW w:type="dxa" w:w="1234"/>
          </w:tcPr>
          <w:p>
            <w:r>
              <w:t>A</w:t>
            </w:r>
          </w:p>
        </w:tc>
        <w:tc>
          <w:tcPr>
            <w:tcW w:type="dxa" w:w="1234"/>
          </w:tcPr>
          <w:p>
            <w:r>
              <w:t>-</w:t>
            </w:r>
          </w:p>
        </w:tc>
        <w:tc>
          <w:tcPr>
            <w:tcW w:type="dxa" w:w="1234"/>
          </w:tcPr>
          <w:p>
            <w:r>
              <w:t>-</w:t>
            </w:r>
          </w:p>
        </w:tc>
        <w:tc>
          <w:tcPr>
            <w:tcW w:type="dxa" w:w="1234"/>
          </w:tcPr>
          <w:p>
            <w:r>
              <w:t>-</w:t>
            </w:r>
          </w:p>
        </w:tc>
        <w:tc>
          <w:tcPr>
            <w:tcW w:type="dxa" w:w="1234"/>
          </w:tcPr>
          <w:p>
            <w:r>
              <w:t>B</w:t>
            </w:r>
          </w:p>
        </w:tc>
        <w:tc>
          <w:tcPr>
            <w:tcW w:type="dxa" w:w="1234"/>
          </w:tcPr>
          <w:p>
            <w:r>
              <w:t>A</w:t>
            </w:r>
          </w:p>
        </w:tc>
      </w:tr>
      <w:tr>
        <w:tc>
          <w:tcPr>
            <w:tcW w:type="dxa" w:w="1234"/>
          </w:tcPr>
          <w:p>
            <w:r>
              <w:t>H₂SO₄ 50%</w:t>
            </w:r>
          </w:p>
        </w:tc>
        <w:tc>
          <w:tcPr>
            <w:tcW w:type="dxa" w:w="1234"/>
          </w:tcPr>
          <w:p>
            <w:r>
              <w:t>A</w:t>
            </w:r>
          </w:p>
        </w:tc>
        <w:tc>
          <w:tcPr>
            <w:tcW w:type="dxa" w:w="1234"/>
          </w:tcPr>
          <w:p>
            <w:r>
              <w:t>-</w:t>
            </w:r>
          </w:p>
        </w:tc>
        <w:tc>
          <w:tcPr>
            <w:tcW w:type="dxa" w:w="1234"/>
          </w:tcPr>
          <w:p>
            <w:r>
              <w:t>-</w:t>
            </w:r>
          </w:p>
        </w:tc>
        <w:tc>
          <w:tcPr>
            <w:tcW w:type="dxa" w:w="1234"/>
          </w:tcPr>
          <w:p>
            <w:r>
              <w:t>-</w:t>
            </w:r>
          </w:p>
        </w:tc>
        <w:tc>
          <w:tcPr>
            <w:tcW w:type="dxa" w:w="1234"/>
          </w:tcPr>
          <w:p>
            <w:r>
              <w:t>B</w:t>
            </w:r>
          </w:p>
        </w:tc>
        <w:tc>
          <w:tcPr>
            <w:tcW w:type="dxa" w:w="1234"/>
          </w:tcPr>
          <w:p>
            <w:r>
              <w:t>A</w:t>
            </w:r>
          </w:p>
        </w:tc>
      </w:tr>
      <w:tr>
        <w:tc>
          <w:tcPr>
            <w:tcW w:type="dxa" w:w="1234"/>
          </w:tcPr>
          <w:p>
            <w:r>
              <w:t>H₂SO₄ 25%</w:t>
            </w:r>
          </w:p>
        </w:tc>
        <w:tc>
          <w:tcPr>
            <w:tcW w:type="dxa" w:w="1234"/>
          </w:tcPr>
          <w:p>
            <w:r>
              <w:t>A</w:t>
            </w:r>
          </w:p>
        </w:tc>
        <w:tc>
          <w:tcPr>
            <w:tcW w:type="dxa" w:w="1234"/>
          </w:tcPr>
          <w:p>
            <w:r>
              <w:t>-</w:t>
            </w:r>
          </w:p>
        </w:tc>
        <w:tc>
          <w:tcPr>
            <w:tcW w:type="dxa" w:w="1234"/>
          </w:tcPr>
          <w:p>
            <w:r>
              <w:t>-</w:t>
            </w:r>
          </w:p>
        </w:tc>
        <w:tc>
          <w:tcPr>
            <w:tcW w:type="dxa" w:w="1234"/>
          </w:tcPr>
          <w:p>
            <w:r>
              <w:t>-</w:t>
            </w:r>
          </w:p>
        </w:tc>
        <w:tc>
          <w:tcPr>
            <w:tcW w:type="dxa" w:w="1234"/>
          </w:tcPr>
          <w:p>
            <w:r>
              <w:t>B</w:t>
            </w:r>
          </w:p>
        </w:tc>
        <w:tc>
          <w:tcPr>
            <w:tcW w:type="dxa" w:w="1234"/>
          </w:tcPr>
          <w:p>
            <w:r>
              <w:t>A</w:t>
            </w:r>
          </w:p>
        </w:tc>
      </w:tr>
      <w:tr>
        <w:tc>
          <w:tcPr>
            <w:tcW w:type="dxa" w:w="1234"/>
          </w:tcPr>
          <w:p>
            <w:r>
              <w:t>Al₂(SO₄)₃</w:t>
            </w:r>
          </w:p>
        </w:tc>
        <w:tc>
          <w:tcPr>
            <w:tcW w:type="dxa" w:w="1234"/>
          </w:tcPr>
          <w:p>
            <w:r>
              <w:t>B</w:t>
            </w:r>
          </w:p>
        </w:tc>
        <w:tc>
          <w:tcPr>
            <w:tcW w:type="dxa" w:w="1234"/>
          </w:tcPr>
          <w:p>
            <w:r>
              <w:t>B</w:t>
            </w:r>
          </w:p>
        </w:tc>
        <w:tc>
          <w:tcPr>
            <w:tcW w:type="dxa" w:w="1234"/>
          </w:tcPr>
          <w:p>
            <w:r>
              <w:t>B</w:t>
            </w:r>
          </w:p>
        </w:tc>
        <w:tc>
          <w:tcPr>
            <w:tcW w:type="dxa" w:w="1234"/>
          </w:tcPr>
          <w:p>
            <w:r>
              <w:t>B</w:t>
            </w:r>
          </w:p>
        </w:tc>
        <w:tc>
          <w:tcPr>
            <w:tcW w:type="dxa" w:w="1234"/>
          </w:tcPr>
          <w:p>
            <w:r>
              <w:t>-</w:t>
            </w:r>
          </w:p>
        </w:tc>
        <w:tc>
          <w:tcPr>
            <w:tcW w:type="dxa" w:w="1234"/>
          </w:tcPr>
          <w:p>
            <w:r>
              <w:t>-</w:t>
            </w:r>
          </w:p>
        </w:tc>
      </w:tr>
      <w:tr>
        <w:tc>
          <w:tcPr>
            <w:tcW w:type="dxa" w:w="1234"/>
          </w:tcPr>
          <w:p>
            <w:r>
              <w:t>CaO</w:t>
            </w:r>
          </w:p>
        </w:tc>
        <w:tc>
          <w:tcPr>
            <w:tcW w:type="dxa" w:w="1234"/>
          </w:tcPr>
          <w:p>
            <w:r>
              <w:t>B</w:t>
            </w:r>
          </w:p>
        </w:tc>
        <w:tc>
          <w:tcPr>
            <w:tcW w:type="dxa" w:w="1234"/>
          </w:tcPr>
          <w:p>
            <w:r>
              <w:t>A</w:t>
            </w:r>
          </w:p>
        </w:tc>
        <w:tc>
          <w:tcPr>
            <w:tcW w:type="dxa" w:w="1234"/>
          </w:tcPr>
          <w:p>
            <w:r>
              <w:t>A</w:t>
            </w:r>
          </w:p>
        </w:tc>
        <w:tc>
          <w:tcPr>
            <w:tcW w:type="dxa" w:w="1234"/>
          </w:tcPr>
          <w:p>
            <w:r>
              <w:t>A</w:t>
            </w:r>
          </w:p>
        </w:tc>
        <w:tc>
          <w:tcPr>
            <w:tcW w:type="dxa" w:w="1234"/>
          </w:tcPr>
          <w:p>
            <w:r>
              <w:t>-</w:t>
            </w:r>
          </w:p>
        </w:tc>
        <w:tc>
          <w:tcPr>
            <w:tcW w:type="dxa" w:w="1234"/>
          </w:tcPr>
          <w:p>
            <w:r>
              <w:t>-</w:t>
            </w:r>
          </w:p>
        </w:tc>
      </w:tr>
    </w:tbl>
    <w:p/>
    <w:p>
      <w:pPr>
        <w:pStyle w:val="Heading2"/>
      </w:pPr>
      <w:r>
        <w:t>Bijlage C: Referenties PGS 15:2025</w:t>
      </w:r>
    </w:p>
    <w:p>
      <w:r>
        <w:t>Overzicht van de in dit document gehanteerde referenties uit PGS 15:2025 en gerelateerde normen.</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03366" w:val="clear"/>
          </w:tcPr>
          <w:p>
            <w:r>
              <w:rPr>
                <w:b/>
                <w:color w:val="FFFFFF"/>
              </w:rPr>
              <w:t>#</w:t>
            </w:r>
          </w:p>
        </w:tc>
        <w:tc>
          <w:tcPr>
            <w:tcW w:type="dxa" w:w="2880"/>
            <w:shd w:fill="003366" w:val="clear"/>
          </w:tcPr>
          <w:p>
            <w:r>
              <w:rPr>
                <w:b/>
                <w:color w:val="FFFFFF"/>
              </w:rPr>
              <w:t>Referentie</w:t>
            </w:r>
          </w:p>
        </w:tc>
        <w:tc>
          <w:tcPr>
            <w:tcW w:type="dxa" w:w="2880"/>
            <w:shd w:fill="003366" w:val="clear"/>
          </w:tcPr>
          <w:p>
            <w:r>
              <w:rPr>
                <w:b/>
                <w:color w:val="FFFFFF"/>
              </w:rPr>
              <w:t>Omschrijving</w:t>
            </w:r>
          </w:p>
        </w:tc>
      </w:tr>
      <w:tr>
        <w:tc>
          <w:tcPr>
            <w:tcW w:type="dxa" w:w="2880"/>
          </w:tcPr>
          <w:p>
            <w:r>
              <w:t>1</w:t>
            </w:r>
          </w:p>
        </w:tc>
        <w:tc>
          <w:tcPr>
            <w:tcW w:type="dxa" w:w="2880"/>
          </w:tcPr>
          <w:p>
            <w:r>
              <w:t>PGS 15:2025</w:t>
            </w:r>
          </w:p>
        </w:tc>
        <w:tc>
          <w:tcPr>
            <w:tcW w:type="dxa" w:w="2880"/>
          </w:tcPr>
          <w:p>
            <w:r>
              <w:t>Publicatiereeks Gevaarlijke Stoffen 15 — Opslag van verpakte gevaarlijke stoffen</w:t>
            </w:r>
          </w:p>
        </w:tc>
      </w:tr>
      <w:tr>
        <w:tc>
          <w:tcPr>
            <w:tcW w:type="dxa" w:w="2880"/>
          </w:tcPr>
          <w:p>
            <w:r>
              <w:t>2</w:t>
            </w:r>
          </w:p>
        </w:tc>
        <w:tc>
          <w:tcPr>
            <w:tcW w:type="dxa" w:w="2880"/>
          </w:tcPr>
          <w:p>
            <w:r>
              <w:t>Tabel 6</w:t>
            </w:r>
          </w:p>
        </w:tc>
        <w:tc>
          <w:tcPr>
            <w:tcW w:type="dxa" w:w="2880"/>
          </w:tcPr>
          <w:p>
            <w:r>
              <w:t>Drempelwaarden veiligheidsniveaus</w:t>
            </w:r>
          </w:p>
        </w:tc>
      </w:tr>
      <w:tr>
        <w:tc>
          <w:tcPr>
            <w:tcW w:type="dxa" w:w="2880"/>
          </w:tcPr>
          <w:p>
            <w:r>
              <w:t>3</w:t>
            </w:r>
          </w:p>
        </w:tc>
        <w:tc>
          <w:tcPr>
            <w:tcW w:type="dxa" w:w="2880"/>
          </w:tcPr>
          <w:p>
            <w:r>
              <w:t>Tabel 7</w:t>
            </w:r>
          </w:p>
        </w:tc>
        <w:tc>
          <w:tcPr>
            <w:tcW w:type="dxa" w:w="2880"/>
          </w:tcPr>
          <w:p>
            <w:r>
              <w:t>Ondergrenzen per ADR-klasse</w:t>
            </w:r>
          </w:p>
        </w:tc>
      </w:tr>
      <w:tr>
        <w:tc>
          <w:tcPr>
            <w:tcW w:type="dxa" w:w="2880"/>
          </w:tcPr>
          <w:p>
            <w:r>
              <w:t>4</w:t>
            </w:r>
          </w:p>
        </w:tc>
        <w:tc>
          <w:tcPr>
            <w:tcW w:type="dxa" w:w="2880"/>
          </w:tcPr>
          <w:p>
            <w:r>
              <w:t>Tabel 9 / Bijlage E</w:t>
            </w:r>
          </w:p>
        </w:tc>
        <w:tc>
          <w:tcPr>
            <w:tcW w:type="dxa" w:w="2880"/>
          </w:tcPr>
          <w:p>
            <w:r>
              <w:t>Compatibiliteitsmatrix en scheidingseisen</w:t>
            </w:r>
          </w:p>
        </w:tc>
      </w:tr>
      <w:tr>
        <w:tc>
          <w:tcPr>
            <w:tcW w:type="dxa" w:w="2880"/>
          </w:tcPr>
          <w:p>
            <w:r>
              <w:t>5</w:t>
            </w:r>
          </w:p>
        </w:tc>
        <w:tc>
          <w:tcPr>
            <w:tcW w:type="dxa" w:w="2880"/>
          </w:tcPr>
          <w:p>
            <w:r>
              <w:t>M2</w:t>
            </w:r>
          </w:p>
        </w:tc>
        <w:tc>
          <w:tcPr>
            <w:tcW w:type="dxa" w:w="2880"/>
          </w:tcPr>
          <w:p>
            <w:r>
              <w:t>Opslag in daarvoor bestemde voorziening</w:t>
            </w:r>
          </w:p>
        </w:tc>
      </w:tr>
      <w:tr>
        <w:tc>
          <w:tcPr>
            <w:tcW w:type="dxa" w:w="2880"/>
          </w:tcPr>
          <w:p>
            <w:r>
              <w:t>6</w:t>
            </w:r>
          </w:p>
        </w:tc>
        <w:tc>
          <w:tcPr>
            <w:tcW w:type="dxa" w:w="2880"/>
          </w:tcPr>
          <w:p>
            <w:r>
              <w:t>M14</w:t>
            </w:r>
          </w:p>
        </w:tc>
        <w:tc>
          <w:tcPr>
            <w:tcW w:type="dxa" w:w="2880"/>
          </w:tcPr>
          <w:p>
            <w:r>
              <w:t>Werkvoorraadregeling</w:t>
            </w:r>
          </w:p>
        </w:tc>
      </w:tr>
      <w:tr>
        <w:tc>
          <w:tcPr>
            <w:tcW w:type="dxa" w:w="2880"/>
          </w:tcPr>
          <w:p>
            <w:r>
              <w:t>7</w:t>
            </w:r>
          </w:p>
        </w:tc>
        <w:tc>
          <w:tcPr>
            <w:tcW w:type="dxa" w:w="2880"/>
          </w:tcPr>
          <w:p>
            <w:r>
              <w:t>M15</w:t>
            </w:r>
          </w:p>
        </w:tc>
        <w:tc>
          <w:tcPr>
            <w:tcW w:type="dxa" w:w="2880"/>
          </w:tcPr>
          <w:p>
            <w:r>
              <w:t>Maximum oppervlakte brandcompartiment</w:t>
            </w:r>
          </w:p>
        </w:tc>
      </w:tr>
      <w:tr>
        <w:tc>
          <w:tcPr>
            <w:tcW w:type="dxa" w:w="2880"/>
          </w:tcPr>
          <w:p>
            <w:r>
              <w:t>8</w:t>
            </w:r>
          </w:p>
        </w:tc>
        <w:tc>
          <w:tcPr>
            <w:tcW w:type="dxa" w:w="2880"/>
          </w:tcPr>
          <w:p>
            <w:r>
              <w:t>M30</w:t>
            </w:r>
          </w:p>
        </w:tc>
        <w:tc>
          <w:tcPr>
            <w:tcW w:type="dxa" w:w="2880"/>
          </w:tcPr>
          <w:p>
            <w:r>
              <w:t>Ventilatie en vloeistofopvang</w:t>
            </w:r>
          </w:p>
        </w:tc>
      </w:tr>
      <w:tr>
        <w:tc>
          <w:tcPr>
            <w:tcW w:type="dxa" w:w="2880"/>
          </w:tcPr>
          <w:p>
            <w:r>
              <w:t>9</w:t>
            </w:r>
          </w:p>
        </w:tc>
        <w:tc>
          <w:tcPr>
            <w:tcW w:type="dxa" w:w="2880"/>
          </w:tcPr>
          <w:p>
            <w:r>
              <w:t>M35</w:t>
            </w:r>
          </w:p>
        </w:tc>
        <w:tc>
          <w:tcPr>
            <w:tcW w:type="dxa" w:w="2880"/>
          </w:tcPr>
          <w:p>
            <w:r>
              <w:t>Stoffenscheiding</w:t>
            </w:r>
          </w:p>
        </w:tc>
      </w:tr>
      <w:tr>
        <w:tc>
          <w:tcPr>
            <w:tcW w:type="dxa" w:w="2880"/>
          </w:tcPr>
          <w:p>
            <w:r>
              <w:t>10</w:t>
            </w:r>
          </w:p>
        </w:tc>
        <w:tc>
          <w:tcPr>
            <w:tcW w:type="dxa" w:w="2880"/>
          </w:tcPr>
          <w:p>
            <w:r>
              <w:t>M36/M45</w:t>
            </w:r>
          </w:p>
        </w:tc>
        <w:tc>
          <w:tcPr>
            <w:tcW w:type="dxa" w:w="2880"/>
          </w:tcPr>
          <w:p>
            <w:r>
              <w:t>Verpakkingsintegriteit</w:t>
            </w:r>
          </w:p>
        </w:tc>
      </w:tr>
      <w:tr>
        <w:tc>
          <w:tcPr>
            <w:tcW w:type="dxa" w:w="2880"/>
          </w:tcPr>
          <w:p>
            <w:r>
              <w:t>11</w:t>
            </w:r>
          </w:p>
        </w:tc>
        <w:tc>
          <w:tcPr>
            <w:tcW w:type="dxa" w:w="2880"/>
          </w:tcPr>
          <w:p>
            <w:r>
              <w:t>M77/M78</w:t>
            </w:r>
          </w:p>
        </w:tc>
        <w:tc>
          <w:tcPr>
            <w:tcW w:type="dxa" w:w="2880"/>
          </w:tcPr>
          <w:p>
            <w:r>
              <w:t>Fysieke bescherming (botsbeveiliging)</w:t>
            </w:r>
          </w:p>
        </w:tc>
      </w:tr>
      <w:tr>
        <w:tc>
          <w:tcPr>
            <w:tcW w:type="dxa" w:w="2880"/>
          </w:tcPr>
          <w:p>
            <w:r>
              <w:t>12</w:t>
            </w:r>
          </w:p>
        </w:tc>
        <w:tc>
          <w:tcPr>
            <w:tcW w:type="dxa" w:w="2880"/>
          </w:tcPr>
          <w:p>
            <w:r>
              <w:t>M85/M86</w:t>
            </w:r>
          </w:p>
        </w:tc>
        <w:tc>
          <w:tcPr>
            <w:tcW w:type="dxa" w:w="2880"/>
          </w:tcPr>
          <w:p>
            <w:r>
              <w:t>Deskundigheid personeel en opleiding</w:t>
            </w:r>
          </w:p>
        </w:tc>
      </w:tr>
      <w:tr>
        <w:tc>
          <w:tcPr>
            <w:tcW w:type="dxa" w:w="2880"/>
          </w:tcPr>
          <w:p>
            <w:r>
              <w:t>13</w:t>
            </w:r>
          </w:p>
        </w:tc>
        <w:tc>
          <w:tcPr>
            <w:tcW w:type="dxa" w:w="2880"/>
          </w:tcPr>
          <w:p>
            <w:r>
              <w:t>M89</w:t>
            </w:r>
          </w:p>
        </w:tc>
        <w:tc>
          <w:tcPr>
            <w:tcW w:type="dxa" w:w="2880"/>
          </w:tcPr>
          <w:p>
            <w:r>
              <w:t>Noodplan</w:t>
            </w:r>
          </w:p>
        </w:tc>
      </w:tr>
      <w:tr>
        <w:tc>
          <w:tcPr>
            <w:tcW w:type="dxa" w:w="2880"/>
          </w:tcPr>
          <w:p>
            <w:r>
              <w:t>14</w:t>
            </w:r>
          </w:p>
        </w:tc>
        <w:tc>
          <w:tcPr>
            <w:tcW w:type="dxa" w:w="2880"/>
          </w:tcPr>
          <w:p>
            <w:r>
              <w:t>M96</w:t>
            </w:r>
          </w:p>
        </w:tc>
        <w:tc>
          <w:tcPr>
            <w:tcW w:type="dxa" w:w="2880"/>
          </w:tcPr>
          <w:p>
            <w:r>
              <w:t>VBB-installatie</w:t>
            </w:r>
          </w:p>
        </w:tc>
      </w:tr>
      <w:tr>
        <w:tc>
          <w:tcPr>
            <w:tcW w:type="dxa" w:w="2880"/>
          </w:tcPr>
          <w:p>
            <w:r>
              <w:t>15</w:t>
            </w:r>
          </w:p>
        </w:tc>
        <w:tc>
          <w:tcPr>
            <w:tcW w:type="dxa" w:w="2880"/>
          </w:tcPr>
          <w:p>
            <w:r>
              <w:t>M97</w:t>
            </w:r>
          </w:p>
        </w:tc>
        <w:tc>
          <w:tcPr>
            <w:tcW w:type="dxa" w:w="2880"/>
          </w:tcPr>
          <w:p>
            <w:r>
              <w:t>Branddetectie en doormelding</w:t>
            </w:r>
          </w:p>
        </w:tc>
      </w:tr>
      <w:tr>
        <w:tc>
          <w:tcPr>
            <w:tcW w:type="dxa" w:w="2880"/>
          </w:tcPr>
          <w:p>
            <w:r>
              <w:t>16</w:t>
            </w:r>
          </w:p>
        </w:tc>
        <w:tc>
          <w:tcPr>
            <w:tcW w:type="dxa" w:w="2880"/>
          </w:tcPr>
          <w:p>
            <w:r>
              <w:t>M103</w:t>
            </w:r>
          </w:p>
        </w:tc>
        <w:tc>
          <w:tcPr>
            <w:tcW w:type="dxa" w:w="2880"/>
          </w:tcPr>
          <w:p>
            <w:r>
              <w:t>Blussysteem (VN-B)</w:t>
            </w:r>
          </w:p>
        </w:tc>
      </w:tr>
      <w:tr>
        <w:tc>
          <w:tcPr>
            <w:tcW w:type="dxa" w:w="2880"/>
          </w:tcPr>
          <w:p>
            <w:r>
              <w:t>17</w:t>
            </w:r>
          </w:p>
        </w:tc>
        <w:tc>
          <w:tcPr>
            <w:tcW w:type="dxa" w:w="2880"/>
          </w:tcPr>
          <w:p>
            <w:r>
              <w:t>M109</w:t>
            </w:r>
          </w:p>
        </w:tc>
        <w:tc>
          <w:tcPr>
            <w:tcW w:type="dxa" w:w="2880"/>
          </w:tcPr>
          <w:p>
            <w:r>
              <w:t>Brandweerbereikbaarheid</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