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consultancy-logo.jpg"/>
                    <pic:cNvPicPr/>
                  </pic:nvPicPr>
                  <pic:blipFill>
                    <a:blip r:embed="rId9"/>
                    <a:stretch>
                      <a:fillRect/>
                    </a:stretch>
                  </pic:blipFill>
                  <pic:spPr>
                    <a:xfrm>
                      <a:off x="0" y="0"/>
                      <a:ext cx="1440000" cy="1296000"/>
                    </a:xfrm>
                    <a:prstGeom prst="rect"/>
                  </pic:spPr>
                </pic:pic>
              </a:graphicData>
            </a:graphic>
          </wp:inline>
        </w:drawing>
      </w:r>
    </w:p>
    <w:p/>
    <w:p>
      <w:pPr>
        <w:jc w:val="center"/>
      </w:pPr>
      <w:r>
        <w:rPr>
          <w:rFonts w:ascii="Calibri" w:hAnsi="Calibri"/>
          <w:b/>
          <w:color w:val="003366"/>
          <w:sz w:val="48"/>
        </w:rPr>
        <w:t>BELEIDSDOCUMENT OPSLAG GEVAARLIJKE STOFFEN</w:t>
      </w:r>
    </w:p>
    <w:p>
      <w:pPr>
        <w:jc w:val="center"/>
      </w:pPr>
      <w:r>
        <w:rPr>
          <w:rFonts w:ascii="Calibri" w:hAnsi="Calibri"/>
          <w:color w:val="374151"/>
          <w:sz w:val="28"/>
        </w:rPr>
        <w:t>PGS 15:2025 Compliance — Phoenix Metals IJmuiden</w:t>
      </w:r>
    </w:p>
    <w:p/>
    <w:tbl>
      <w:tblPr>
        <w:tblStyle w:val="TableGrid"/>
        <w:tblW w:type="auto" w:w="0"/>
        <w:jc w:val="center"/>
        <w:tblLook w:firstColumn="1" w:firstRow="1" w:lastColumn="0" w:lastRow="0" w:noHBand="0" w:noVBand="1" w:val="04A0"/>
      </w:tblPr>
      <w:tblGrid>
        <w:gridCol w:w="4320"/>
        <w:gridCol w:w="4320"/>
      </w:tblGrid>
      <w:tr>
        <w:tc>
          <w:tcPr>
            <w:tcW w:type="dxa" w:w="2835"/>
            <w:shd w:fill="003366"/>
          </w:tcPr>
          <w:p>
            <w:pPr>
              <w:jc w:val="left"/>
            </w:pPr>
            <w:r/>
            <w:r>
              <w:rPr>
                <w:rFonts w:ascii="Calibri" w:hAnsi="Calibri"/>
                <w:b/>
                <w:color w:val="FFFFFF"/>
                <w:sz w:val="20"/>
              </w:rPr>
              <w:t>Parameter</w:t>
            </w:r>
          </w:p>
        </w:tc>
        <w:tc>
          <w:tcPr>
            <w:tcW w:type="dxa" w:w="5669"/>
            <w:shd w:fill="003366"/>
          </w:tcPr>
          <w:p>
            <w:pPr>
              <w:jc w:val="left"/>
            </w:pPr>
            <w:r/>
            <w:r>
              <w:rPr>
                <w:rFonts w:ascii="Calibri" w:hAnsi="Calibri"/>
                <w:b/>
                <w:color w:val="FFFFFF"/>
                <w:sz w:val="20"/>
              </w:rPr>
              <w:t>Waarde</w:t>
            </w:r>
          </w:p>
        </w:tc>
      </w:tr>
      <w:tr>
        <w:tc>
          <w:tcPr>
            <w:tcW w:type="dxa" w:w="2835"/>
          </w:tcPr>
          <w:p>
            <w:r/>
            <w:r>
              <w:rPr>
                <w:rFonts w:ascii="Calibri" w:hAnsi="Calibri"/>
                <w:color w:val="1F2937"/>
                <w:sz w:val="20"/>
              </w:rPr>
              <w:t>Project</w:t>
            </w:r>
          </w:p>
        </w:tc>
        <w:tc>
          <w:tcPr>
            <w:tcW w:type="dxa" w:w="5669"/>
          </w:tcPr>
          <w:p>
            <w:r/>
            <w:r>
              <w:rPr>
                <w:rFonts w:ascii="Calibri" w:hAnsi="Calibri"/>
                <w:color w:val="1F2937"/>
                <w:sz w:val="20"/>
              </w:rPr>
              <w:t>2026-pgs15-phoenix-metals</w:t>
            </w:r>
          </w:p>
        </w:tc>
      </w:tr>
      <w:tr>
        <w:tc>
          <w:tcPr>
            <w:tcW w:type="dxa" w:w="2835"/>
            <w:shd w:fill="F8F9FA"/>
          </w:tcPr>
          <w:p>
            <w:r/>
            <w:r>
              <w:rPr>
                <w:rFonts w:ascii="Calibri" w:hAnsi="Calibri"/>
                <w:color w:val="1F2937"/>
                <w:sz w:val="20"/>
              </w:rPr>
              <w:t>Documentcode</w:t>
            </w:r>
          </w:p>
        </w:tc>
        <w:tc>
          <w:tcPr>
            <w:tcW w:type="dxa" w:w="5669"/>
            <w:shd w:fill="F8F9FA"/>
          </w:tcPr>
          <w:p>
            <w:r/>
            <w:r>
              <w:rPr>
                <w:rFonts w:ascii="Calibri" w:hAnsi="Calibri"/>
                <w:color w:val="1F2937"/>
                <w:sz w:val="20"/>
              </w:rPr>
              <w:t>PM-BEL-001</w:t>
            </w:r>
          </w:p>
        </w:tc>
      </w:tr>
      <w:tr>
        <w:tc>
          <w:tcPr>
            <w:tcW w:type="dxa" w:w="2835"/>
          </w:tcPr>
          <w:p>
            <w:r/>
            <w:r>
              <w:rPr>
                <w:rFonts w:ascii="Calibri" w:hAnsi="Calibri"/>
                <w:color w:val="1F2937"/>
                <w:sz w:val="20"/>
              </w:rPr>
              <w:t>Versie</w:t>
            </w:r>
          </w:p>
        </w:tc>
        <w:tc>
          <w:tcPr>
            <w:tcW w:type="dxa" w:w="5669"/>
          </w:tcPr>
          <w:p>
            <w:r/>
            <w:r>
              <w:rPr>
                <w:rFonts w:ascii="Calibri" w:hAnsi="Calibri"/>
                <w:color w:val="1F2937"/>
                <w:sz w:val="20"/>
              </w:rPr>
              <w:t>1.0</w:t>
            </w:r>
          </w:p>
        </w:tc>
      </w:tr>
      <w:tr>
        <w:tc>
          <w:tcPr>
            <w:tcW w:type="dxa" w:w="2835"/>
            <w:shd w:fill="F8F9FA"/>
          </w:tcPr>
          <w:p>
            <w:r/>
            <w:r>
              <w:rPr>
                <w:rFonts w:ascii="Calibri" w:hAnsi="Calibri"/>
                <w:color w:val="1F2937"/>
                <w:sz w:val="20"/>
              </w:rPr>
              <w:t>Datum</w:t>
            </w:r>
          </w:p>
        </w:tc>
        <w:tc>
          <w:tcPr>
            <w:tcW w:type="dxa" w:w="5669"/>
            <w:shd w:fill="F8F9FA"/>
          </w:tcPr>
          <w:p>
            <w:r/>
            <w:r>
              <w:rPr>
                <w:rFonts w:ascii="Calibri" w:hAnsi="Calibri"/>
                <w:color w:val="1F2937"/>
                <w:sz w:val="20"/>
              </w:rPr>
              <w:t>26 april 2026</w:t>
            </w:r>
          </w:p>
        </w:tc>
      </w:tr>
      <w:tr>
        <w:tc>
          <w:tcPr>
            <w:tcW w:type="dxa" w:w="2835"/>
          </w:tcPr>
          <w:p>
            <w:r/>
            <w:r>
              <w:rPr>
                <w:rFonts w:ascii="Calibri" w:hAnsi="Calibri"/>
                <w:color w:val="1F2937"/>
                <w:sz w:val="20"/>
              </w:rPr>
              <w:t>Status</w:t>
            </w:r>
          </w:p>
        </w:tc>
        <w:tc>
          <w:tcPr>
            <w:tcW w:type="dxa" w:w="5669"/>
          </w:tcPr>
          <w:p>
            <w:r/>
            <w:r>
              <w:rPr>
                <w:rFonts w:ascii="Calibri" w:hAnsi="Calibri"/>
                <w:color w:val="1F2937"/>
                <w:sz w:val="20"/>
              </w:rPr>
              <w:t>Concept — Ter goedkeuring</w:t>
            </w:r>
          </w:p>
        </w:tc>
      </w:tr>
      <w:tr>
        <w:tc>
          <w:tcPr>
            <w:tcW w:type="dxa" w:w="2835"/>
            <w:shd w:fill="F8F9FA"/>
          </w:tcPr>
          <w:p>
            <w:r/>
            <w:r>
              <w:rPr>
                <w:rFonts w:ascii="Calibri" w:hAnsi="Calibri"/>
                <w:color w:val="1F2937"/>
                <w:sz w:val="20"/>
              </w:rPr>
              <w:t>Classificatie</w:t>
            </w:r>
          </w:p>
        </w:tc>
        <w:tc>
          <w:tcPr>
            <w:tcW w:type="dxa" w:w="5669"/>
            <w:shd w:fill="F8F9FA"/>
          </w:tcPr>
          <w:p>
            <w:r/>
            <w:r>
              <w:rPr>
                <w:rFonts w:ascii="Calibri" w:hAnsi="Calibri"/>
                <w:color w:val="1F2937"/>
                <w:sz w:val="20"/>
              </w:rPr>
              <w:t>Vertrouwelijk</w:t>
            </w:r>
          </w:p>
        </w:tc>
      </w:tr>
      <w:tr>
        <w:tc>
          <w:tcPr>
            <w:tcW w:type="dxa" w:w="2835"/>
          </w:tcPr>
          <w:p>
            <w:r/>
            <w:r>
              <w:rPr>
                <w:rFonts w:ascii="Calibri" w:hAnsi="Calibri"/>
                <w:color w:val="1F2937"/>
                <w:sz w:val="20"/>
              </w:rPr>
              <w:t>Eigenaar</w:t>
            </w:r>
          </w:p>
        </w:tc>
        <w:tc>
          <w:tcPr>
            <w:tcW w:type="dxa" w:w="5669"/>
          </w:tcPr>
          <w:p>
            <w:r/>
            <w:r>
              <w:rPr>
                <w:rFonts w:ascii="Calibri" w:hAnsi="Calibri"/>
                <w:color w:val="1F2937"/>
                <w:sz w:val="20"/>
              </w:rPr>
              <w:t>Directie Phoenix Metals</w:t>
            </w:r>
          </w:p>
        </w:tc>
      </w:tr>
      <w:tr>
        <w:tc>
          <w:tcPr>
            <w:tcW w:type="dxa" w:w="2835"/>
            <w:shd w:fill="F8F9FA"/>
          </w:tcPr>
          <w:p>
            <w:r/>
            <w:r>
              <w:rPr>
                <w:rFonts w:ascii="Calibri" w:hAnsi="Calibri"/>
                <w:color w:val="1F2937"/>
                <w:sz w:val="20"/>
              </w:rPr>
              <w:t>Opsteller</w:t>
            </w:r>
          </w:p>
        </w:tc>
        <w:tc>
          <w:tcPr>
            <w:tcW w:type="dxa" w:w="5669"/>
            <w:shd w:fill="F8F9FA"/>
          </w:tcPr>
          <w:p>
            <w:r/>
            <w:r>
              <w:rPr>
                <w:rFonts w:ascii="Calibri" w:hAnsi="Calibri"/>
                <w:color w:val="1F2937"/>
                <w:sz w:val="20"/>
              </w:rPr>
              <w:t>JvG Consultancy</w:t>
            </w:r>
          </w:p>
        </w:tc>
      </w:tr>
    </w:tbl>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1984"/>
            <w:shd w:fill="003366"/>
          </w:tcPr>
          <w:p>
            <w:pPr>
              <w:jc w:val="left"/>
            </w:pPr>
            <w:r/>
            <w:r>
              <w:rPr>
                <w:rFonts w:ascii="Calibri" w:hAnsi="Calibri"/>
                <w:b/>
                <w:color w:val="FFFFFF"/>
                <w:sz w:val="20"/>
              </w:rPr>
              <w:t>Rol</w:t>
            </w:r>
          </w:p>
        </w:tc>
        <w:tc>
          <w:tcPr>
            <w:tcW w:type="dxa" w:w="2268"/>
            <w:shd w:fill="003366"/>
          </w:tcPr>
          <w:p>
            <w:pPr>
              <w:jc w:val="left"/>
            </w:pPr>
            <w:r/>
            <w:r>
              <w:rPr>
                <w:rFonts w:ascii="Calibri" w:hAnsi="Calibri"/>
                <w:b/>
                <w:color w:val="FFFFFF"/>
                <w:sz w:val="20"/>
              </w:rPr>
              <w:t>Naam</w:t>
            </w:r>
          </w:p>
        </w:tc>
        <w:tc>
          <w:tcPr>
            <w:tcW w:type="dxa" w:w="2268"/>
            <w:shd w:fill="003366"/>
          </w:tcPr>
          <w:p>
            <w:pPr>
              <w:jc w:val="left"/>
            </w:pPr>
            <w:r/>
            <w:r>
              <w:rPr>
                <w:rFonts w:ascii="Calibri" w:hAnsi="Calibri"/>
                <w:b/>
                <w:color w:val="FFFFFF"/>
                <w:sz w:val="20"/>
              </w:rPr>
              <w:t>Handtekening</w:t>
            </w:r>
          </w:p>
        </w:tc>
        <w:tc>
          <w:tcPr>
            <w:tcW w:type="dxa" w:w="1984"/>
            <w:shd w:fill="003366"/>
          </w:tcPr>
          <w:p>
            <w:pPr>
              <w:jc w:val="left"/>
            </w:pPr>
            <w:r/>
            <w:r>
              <w:rPr>
                <w:rFonts w:ascii="Calibri" w:hAnsi="Calibri"/>
                <w:b/>
                <w:color w:val="FFFFFF"/>
                <w:sz w:val="20"/>
              </w:rPr>
              <w:t>Datum</w:t>
            </w:r>
          </w:p>
        </w:tc>
      </w:tr>
      <w:tr>
        <w:tc>
          <w:tcPr>
            <w:tcW w:type="dxa" w:w="1984"/>
          </w:tcPr>
          <w:p>
            <w:r/>
            <w:r>
              <w:rPr>
                <w:rFonts w:ascii="Calibri" w:hAnsi="Calibri"/>
                <w:color w:val="1F2937"/>
                <w:sz w:val="20"/>
              </w:rPr>
              <w:t>Directeur</w:t>
            </w:r>
          </w:p>
        </w:tc>
        <w:tc>
          <w:tcPr>
            <w:tcW w:type="dxa" w:w="2268"/>
          </w:tcPr>
          <w:p>
            <w:r/>
            <w:r>
              <w:rPr>
                <w:rFonts w:ascii="Calibri" w:hAnsi="Calibri"/>
                <w:color w:val="1F2937"/>
                <w:sz w:val="20"/>
              </w:rPr>
              <w:t>TBD</w:t>
            </w:r>
          </w:p>
        </w:tc>
        <w:tc>
          <w:tcPr>
            <w:tcW w:type="dxa" w:w="2268"/>
          </w:tcPr>
          <w:p>
            <w:r/>
            <w:r>
              <w:rPr>
                <w:rFonts w:ascii="Calibri" w:hAnsi="Calibri"/>
                <w:color w:val="1F2937"/>
                <w:sz w:val="20"/>
              </w:rPr>
            </w:r>
          </w:p>
        </w:tc>
        <w:tc>
          <w:tcPr>
            <w:tcW w:type="dxa" w:w="1984"/>
          </w:tcPr>
          <w:p>
            <w:r/>
            <w:r>
              <w:rPr>
                <w:rFonts w:ascii="Calibri" w:hAnsi="Calibri"/>
                <w:color w:val="1F2937"/>
                <w:sz w:val="20"/>
              </w:rPr>
            </w:r>
          </w:p>
        </w:tc>
      </w:tr>
      <w:tr>
        <w:tc>
          <w:tcPr>
            <w:tcW w:type="dxa" w:w="1984"/>
            <w:shd w:fill="F8F9FA"/>
          </w:tcPr>
          <w:p>
            <w:r/>
            <w:r>
              <w:rPr>
                <w:rFonts w:ascii="Calibri" w:hAnsi="Calibri"/>
                <w:color w:val="1F2937"/>
                <w:sz w:val="20"/>
              </w:rPr>
              <w:t>HSEQ Manager</w:t>
            </w:r>
          </w:p>
        </w:tc>
        <w:tc>
          <w:tcPr>
            <w:tcW w:type="dxa" w:w="2268"/>
            <w:shd w:fill="F8F9FA"/>
          </w:tcPr>
          <w:p>
            <w:r/>
            <w:r>
              <w:rPr>
                <w:rFonts w:ascii="Calibri" w:hAnsi="Calibri"/>
                <w:color w:val="1F2937"/>
                <w:sz w:val="20"/>
              </w:rPr>
              <w:t>TBD</w:t>
            </w:r>
          </w:p>
        </w:tc>
        <w:tc>
          <w:tcPr>
            <w:tcW w:type="dxa" w:w="2268"/>
            <w:shd w:fill="F8F9FA"/>
          </w:tcPr>
          <w:p>
            <w:r/>
            <w:r>
              <w:rPr>
                <w:rFonts w:ascii="Calibri" w:hAnsi="Calibri"/>
                <w:color w:val="1F2937"/>
                <w:sz w:val="20"/>
              </w:rPr>
            </w:r>
          </w:p>
        </w:tc>
        <w:tc>
          <w:tcPr>
            <w:tcW w:type="dxa" w:w="1984"/>
            <w:shd w:fill="F8F9FA"/>
          </w:tcPr>
          <w:p>
            <w:r/>
            <w:r>
              <w:rPr>
                <w:rFonts w:ascii="Calibri" w:hAnsi="Calibri"/>
                <w:color w:val="1F2937"/>
                <w:sz w:val="20"/>
              </w:rPr>
            </w:r>
          </w:p>
        </w:tc>
      </w:tr>
      <w:tr>
        <w:tc>
          <w:tcPr>
            <w:tcW w:type="dxa" w:w="1984"/>
          </w:tcPr>
          <w:p>
            <w:r/>
            <w:r>
              <w:rPr>
                <w:rFonts w:ascii="Calibri" w:hAnsi="Calibri"/>
                <w:color w:val="1F2937"/>
                <w:sz w:val="20"/>
              </w:rPr>
              <w:t>Lab Manager</w:t>
            </w:r>
          </w:p>
        </w:tc>
        <w:tc>
          <w:tcPr>
            <w:tcW w:type="dxa" w:w="2268"/>
          </w:tcPr>
          <w:p>
            <w:r/>
            <w:r>
              <w:rPr>
                <w:rFonts w:ascii="Calibri" w:hAnsi="Calibri"/>
                <w:color w:val="1F2937"/>
                <w:sz w:val="20"/>
              </w:rPr>
              <w:t>TBD</w:t>
            </w:r>
          </w:p>
        </w:tc>
        <w:tc>
          <w:tcPr>
            <w:tcW w:type="dxa" w:w="2268"/>
          </w:tcPr>
          <w:p>
            <w:r/>
            <w:r>
              <w:rPr>
                <w:rFonts w:ascii="Calibri" w:hAnsi="Calibri"/>
                <w:color w:val="1F2937"/>
                <w:sz w:val="20"/>
              </w:rPr>
            </w:r>
          </w:p>
        </w:tc>
        <w:tc>
          <w:tcPr>
            <w:tcW w:type="dxa" w:w="1984"/>
          </w:tcPr>
          <w:p>
            <w:r/>
            <w:r>
              <w:rPr>
                <w:rFonts w:ascii="Calibri" w:hAnsi="Calibri"/>
                <w:color w:val="1F2937"/>
                <w:sz w:val="20"/>
              </w:rPr>
            </w:r>
          </w:p>
        </w:tc>
      </w:tr>
    </w:tbl>
    <w:p/>
    <w:p>
      <w:pPr>
        <w:spacing w:after="120"/>
      </w:pPr>
      <w:r>
        <w:rPr>
          <w:rFonts w:ascii="Calibri" w:hAnsi="Calibri"/>
          <w:b w:val="0"/>
          <w:i/>
          <w:color w:val="1F2937"/>
          <w:sz w:val="18"/>
        </w:rPr>
        <w:t>Dit document is eigendom van Phoenix Metals IJmuiden en bevat vertrouwelijke bedrijfsinformatie. Vermenigvuldiging, distributie of openbaarmaking zonder schriftelijke toestemming van de directie is verboden. Dit beleid geldt voor alle medewerkers, aannemers en bezoekers die betrokken zijn bij de opslag van gevaarlijke stoffen op de Phoenix Metals faciliteit te IJmuiden. Overtreding van de in dit document beschreven regels kan leiden tot disciplinaire maatregelen, contractbeëindiging of juridische vervolging conform de geldende wet- en regelgeving. Ontvangers zijn persoonlijk aansprakelijk voor veilige behandeling van dit document.</w:t>
      </w:r>
    </w:p>
    <w:p>
      <w:r>
        <w:br w:type="page"/>
      </w:r>
    </w:p>
    <w:p>
      <w:pPr>
        <w:pStyle w:val="Heading1"/>
      </w:pPr>
      <w:r>
        <w:t>Inhoudsopgave</w:t>
      </w:r>
    </w:p>
    <w:p>
      <w:pPr>
        <w:spacing w:after="120"/>
      </w:pPr>
      <w:r>
        <w:rPr>
          <w:rFonts w:ascii="Calibri" w:hAnsi="Calibri"/>
          <w:b w:val="0"/>
          <w:i/>
          <w:color w:val="1F2937"/>
          <w:sz w:val="20"/>
        </w:rPr>
        <w:t>[Automatisch gegenereerde inhoudsopgave — bijwerken in Word via Referenties → Inhoudsopgave bijwerken]</w:t>
      </w:r>
    </w:p>
    <w:p>
      <w:r>
        <w:br w:type="page"/>
      </w:r>
    </w:p>
    <w:p>
      <w:pPr>
        <w:pStyle w:val="Heading1"/>
      </w:pPr>
      <w:r>
        <w:t>1. Doel en Reikwijdte</w:t>
      </w:r>
    </w:p>
    <w:p>
      <w:pPr>
        <w:spacing w:after="120"/>
      </w:pPr>
      <w:r>
        <w:rPr>
          <w:rFonts w:ascii="Calibri" w:hAnsi="Calibri"/>
          <w:b w:val="0"/>
          <w:i w:val="0"/>
          <w:color w:val="1F2937"/>
          <w:sz w:val="22"/>
        </w:rPr>
        <w:t>Dit beleidsdocument definieert de kaders, verantwoordelijkheden en operationele richtlijnen voor de opslag van verpakte gevaarlijke stoffen bij Phoenix Metals IJmuiden. Het document is opgesteld conform de Publicatiereeks Gevaarlijke Stoffen 15:2025 (PGS 15:2025), de nationale richtlijn voor veilige opslag van verpakte gevaarlijke stoffen in Nederland. PGS 15:2025 vormt de primaire norm waaraan alle opslagactiviteiten op de Phoenix Metals faciliteit moeten voldoen.</w:t>
      </w:r>
    </w:p>
    <w:p>
      <w:pPr>
        <w:spacing w:after="120"/>
      </w:pPr>
      <w:r>
        <w:rPr>
          <w:rFonts w:ascii="Calibri" w:hAnsi="Calibri"/>
          <w:b w:val="0"/>
          <w:i w:val="0"/>
          <w:color w:val="1F2937"/>
          <w:sz w:val="22"/>
        </w:rPr>
        <w:t>Phoenix Metals IJmuiden is een metaalverwerkende onderneming met chemische procesvoering. De huidige opslag bedraagt circa 315 kg/l verdeeld over zes stoffen, waarvan vier ADR-klasse 8 (bijtende stoffen) met een totaal volume van 300 liter en twee niet-ADR-geregistreerde stoffen van 15 kg. De opslag is geconcentreerd in één brandcompartiment: een storage rack voor het laboratorium.</w:t>
      </w:r>
    </w:p>
    <w:p>
      <w:pPr>
        <w:spacing w:after="120"/>
      </w:pPr>
      <w:r>
        <w:rPr>
          <w:rFonts w:ascii="Calibri" w:hAnsi="Calibri"/>
          <w:b w:val="0"/>
          <w:i w:val="0"/>
          <w:color w:val="1F2937"/>
          <w:sz w:val="22"/>
        </w:rPr>
        <w:t>Het geldigheidsgebied van dit beleid omvat alle opslaglocaties voor gevaarlijke stoffen op de Phoenix Metals faciliteit, ongeacht het type verpakking, het volume of de ADR-classificatie. Dit omvat permanente opslag, tijdelijke opslag en werkvoorraad. Het beleid is van toepassing op alle personen die zich op het faciliteitsterrein bevinden en betrokken zijn bij of invloed hebben op de opslag van gevaarlijke stoffen.</w:t>
      </w:r>
    </w:p>
    <w:p>
      <w:pPr>
        <w:spacing w:after="120"/>
      </w:pPr>
      <w:r>
        <w:rPr>
          <w:rFonts w:ascii="Calibri" w:hAnsi="Calibri"/>
          <w:b w:val="0"/>
          <w:i w:val="0"/>
          <w:color w:val="1F2937"/>
          <w:sz w:val="22"/>
        </w:rPr>
        <w:t>De doelgroep van dit beleid omvat: (a) medewerkers van Phoenix Metals in vaste en tijdelijke dienst, (b) aannemers en onderaannemers die werkzaamheden uitvoeren op de faciliteit, en (c) bezoekers die toegang hebben tot opslaglocaties. Alle genoemde groepen dienen op de hoogte te zijn van de in dit beleid vervatte regels en zich daarnaar te gedragen.</w:t>
      </w:r>
    </w:p>
    <w:p>
      <w:pPr>
        <w:spacing w:after="120"/>
      </w:pPr>
      <w:r>
        <w:rPr>
          <w:rFonts w:ascii="Calibri" w:hAnsi="Calibri"/>
          <w:b w:val="0"/>
          <w:i w:val="0"/>
          <w:color w:val="1F2937"/>
          <w:sz w:val="22"/>
        </w:rPr>
        <w:t>Dit beleidsdocument maakt deel uit van een bredere documentenset voor PGS 15-compliance bij Phoenix Metals. Het relateert aan de Risico-Inventarisatie en -Evaluatie (RI&amp;E), het calamiteitenplan, de veiligheidsinformatiebladen (VIB/SDS) per stof en het chemisch register. Waar dit beleid Strategische richting geeft, bieden de genoemde documenten operationele detailuitwerking. Bij tegenstrijdigheid prevaleert dit beleidsdocument, tenzij wettelijke voorschriften anders bepalen.</w:t>
      </w:r>
    </w:p>
    <w:p>
      <w:pPr>
        <w:pStyle w:val="Heading1"/>
      </w:pPr>
      <w:r>
        <w:t>2. Beleidsverklaring</w:t>
      </w:r>
    </w:p>
    <w:p>
      <w:pPr>
        <w:spacing w:after="120"/>
      </w:pPr>
      <w:r>
        <w:rPr>
          <w:rFonts w:ascii="Calibri" w:hAnsi="Calibri"/>
          <w:b w:val="0"/>
          <w:i w:val="0"/>
          <w:color w:val="1F2937"/>
          <w:sz w:val="22"/>
        </w:rPr>
        <w:t>Phoenix Metals streeft naar 100% naleving van de PGS 15:2025-richtlijn voor alle opslag van gevaarlijke stoffen op de IJmuiden-faciliteit. Dit commitment is geworteld in de overtuiging dat veilige opslag van gevaarlijke stoffen een niet-onderhandelbare voorwaarde is voor het beschermen van medewerkers, de omgeving en bedrijfscontinuïteit.</w:t>
      </w:r>
    </w:p>
    <w:p>
      <w:pPr>
        <w:spacing w:after="120"/>
      </w:pPr>
      <w:r>
        <w:rPr>
          <w:rFonts w:ascii="Calibri" w:hAnsi="Calibri"/>
          <w:b w:val="0"/>
          <w:i w:val="0"/>
          <w:color w:val="1F2937"/>
          <w:sz w:val="22"/>
        </w:rPr>
        <w:t>De directie van Phoenix Metals.committeert zich tot het voorzien van voldoende middelen — financieel, materieel en humaan — om volledige PGS 15-compliance te realiseren en te behouden. Management op alle niveaus is verantwoordelijk voor het afdanken van een veiligheidscultuur waarin compliance de norm is, niet de uitzondering.</w:t>
      </w:r>
    </w:p>
    <w:p>
      <w:pPr>
        <w:spacing w:after="120"/>
      </w:pPr>
      <w:r>
        <w:rPr>
          <w:rFonts w:ascii="Calibri" w:hAnsi="Calibri"/>
          <w:b w:val="0"/>
          <w:i w:val="0"/>
          <w:color w:val="1F2937"/>
          <w:sz w:val="22"/>
        </w:rPr>
        <w:t>Phoenix Metals hanteert een zero-tolerancebeleid ten aanzien van het niet-naleven van opslagvoorschriften. Elke afwijking van de in dit beleid beschreven regels wordt gerapporteerd, geanalyseerd en gecorrigeerd. Herhaalde niet-naleving door medewerkers of aannemers leidt tot escalatie conform het disciplinaire protocol.</w:t>
      </w:r>
    </w:p>
    <w:p>
      <w:pPr>
        <w:spacing w:after="120"/>
      </w:pPr>
      <w:r>
        <w:rPr>
          <w:rFonts w:ascii="Calibri" w:hAnsi="Calibri"/>
          <w:b w:val="0"/>
          <w:i w:val="0"/>
          <w:color w:val="1F2937"/>
          <w:sz w:val="22"/>
        </w:rPr>
        <w:t>Continue verbetering is een kernprincipe. Phoenix Metals evalueert de naleving van dit beleid periodiek — minimaal jaarlijks en bij elke wijziging in het stoffenassortiment, de opslagcapaciteit of de geldende regelgeving. Bevindingen uit inspecties, audits en incidentanalyses worden gebruikt om dit beleid en de onderliggende procedures te verbeteren. De managementverantwoordelijkheid omvat het jaarlijks herbevestigen van dit beleid door middel van formele goedkeuring door de directie.</w:t>
      </w:r>
    </w:p>
    <w:p>
      <w:pPr>
        <w:pStyle w:val="Heading1"/>
      </w:pPr>
      <w:r>
        <w:t>3. Wettelijk Kader</w:t>
      </w:r>
    </w:p>
    <w:p>
      <w:pPr>
        <w:spacing w:after="120"/>
      </w:pPr>
      <w:r>
        <w:rPr>
          <w:rFonts w:ascii="Calibri" w:hAnsi="Calibri"/>
          <w:b w:val="0"/>
          <w:i w:val="0"/>
          <w:color w:val="1F2937"/>
          <w:sz w:val="22"/>
        </w:rPr>
        <w:t>De opslag van gevaarlijke stoffen bij Phoenix Metals is onderworpen aan een complex regelgevingskader dat bestaat uit nationale en Europese wet- en regelgeving. Onderstaande tabel geeft een overzicht van de zes belangrijkste kaderstellende documenten met hun relevantie voor Phoenix Metals.</w:t>
      </w:r>
    </w:p>
    <w:tbl>
      <w:tblPr>
        <w:tblStyle w:val="TableGrid"/>
        <w:tblW w:type="auto" w:w="0"/>
        <w:jc w:val="center"/>
        <w:tblLook w:firstColumn="1" w:firstRow="1" w:lastColumn="0" w:lastRow="0" w:noHBand="0" w:noVBand="1" w:val="04A0"/>
      </w:tblPr>
      <w:tblGrid>
        <w:gridCol w:w="2880"/>
        <w:gridCol w:w="2880"/>
        <w:gridCol w:w="2880"/>
      </w:tblGrid>
      <w:tr>
        <w:tc>
          <w:tcPr>
            <w:tcW w:type="dxa" w:w="1984"/>
            <w:shd w:fill="003366"/>
          </w:tcPr>
          <w:p>
            <w:pPr>
              <w:jc w:val="left"/>
            </w:pPr>
            <w:r/>
            <w:r>
              <w:rPr>
                <w:rFonts w:ascii="Calibri" w:hAnsi="Calibri"/>
                <w:b/>
                <w:color w:val="FFFFFF"/>
                <w:sz w:val="20"/>
              </w:rPr>
              <w:t>Wetgeving</w:t>
            </w:r>
          </w:p>
        </w:tc>
        <w:tc>
          <w:tcPr>
            <w:tcW w:type="dxa" w:w="3118"/>
            <w:shd w:fill="003366"/>
          </w:tcPr>
          <w:p>
            <w:pPr>
              <w:jc w:val="left"/>
            </w:pPr>
            <w:r/>
            <w:r>
              <w:rPr>
                <w:rFonts w:ascii="Calibri" w:hAnsi="Calibri"/>
                <w:b/>
                <w:color w:val="FFFFFF"/>
                <w:sz w:val="20"/>
              </w:rPr>
              <w:t>Toelichting</w:t>
            </w:r>
          </w:p>
        </w:tc>
        <w:tc>
          <w:tcPr>
            <w:tcW w:type="dxa" w:w="3118"/>
            <w:shd w:fill="003366"/>
          </w:tcPr>
          <w:p>
            <w:pPr>
              <w:jc w:val="left"/>
            </w:pPr>
            <w:r/>
            <w:r>
              <w:rPr>
                <w:rFonts w:ascii="Calibri" w:hAnsi="Calibri"/>
                <w:b/>
                <w:color w:val="FFFFFF"/>
                <w:sz w:val="20"/>
              </w:rPr>
              <w:t>PM-Relevantie</w:t>
            </w:r>
          </w:p>
        </w:tc>
      </w:tr>
      <w:tr>
        <w:tc>
          <w:tcPr>
            <w:tcW w:type="dxa" w:w="1984"/>
          </w:tcPr>
          <w:p>
            <w:r/>
            <w:r>
              <w:rPr>
                <w:rFonts w:ascii="Calibri" w:hAnsi="Calibri"/>
                <w:color w:val="1F2937"/>
                <w:sz w:val="20"/>
              </w:rPr>
              <w:t>PGS 15:2025</w:t>
            </w:r>
          </w:p>
        </w:tc>
        <w:tc>
          <w:tcPr>
            <w:tcW w:type="dxa" w:w="3118"/>
          </w:tcPr>
          <w:p>
            <w:r/>
            <w:r>
              <w:rPr>
                <w:rFonts w:ascii="Calibri" w:hAnsi="Calibri"/>
                <w:color w:val="1F2937"/>
                <w:sz w:val="20"/>
              </w:rPr>
              <w:t>Nationale richtlijn voor veilige opslag van verpakte gevaarlijke stoffen. Bevat maatregelen voor stoffenscheiding (Tabel 9), veiligheidsniveaus (Tabel 6), vloeistofopvang (M30) en maximale hoeveelheden (M15).</w:t>
            </w:r>
          </w:p>
        </w:tc>
        <w:tc>
          <w:tcPr>
            <w:tcW w:type="dxa" w:w="3118"/>
          </w:tcPr>
          <w:p>
            <w:r/>
            <w:r>
              <w:rPr>
                <w:rFonts w:ascii="Calibri" w:hAnsi="Calibri"/>
                <w:color w:val="1F2937"/>
                <w:sz w:val="20"/>
              </w:rPr>
              <w:t>Primaire compliance-norm. PM valt onder basisveiligheidsniveau met 390 kg ADR 8 stoffen (ver onder 10.000 kg drempel). Stoffenscheidingseis geldig onafhankelijk van veiligheidsniveau.</w:t>
            </w:r>
          </w:p>
        </w:tc>
      </w:tr>
      <w:tr>
        <w:tc>
          <w:tcPr>
            <w:tcW w:type="dxa" w:w="1984"/>
            <w:shd w:fill="F8F9FA"/>
          </w:tcPr>
          <w:p>
            <w:r/>
            <w:r>
              <w:rPr>
                <w:rFonts w:ascii="Calibri" w:hAnsi="Calibri"/>
                <w:color w:val="1F2937"/>
                <w:sz w:val="20"/>
              </w:rPr>
              <w:t>Omgevingswet</w:t>
              <w:br/>
              <w:t>(Bbl/Bkl/Bal)</w:t>
            </w:r>
          </w:p>
        </w:tc>
        <w:tc>
          <w:tcPr>
            <w:tcW w:type="dxa" w:w="3118"/>
            <w:shd w:fill="F8F9FA"/>
          </w:tcPr>
          <w:p>
            <w:r/>
            <w:r>
              <w:rPr>
                <w:rFonts w:ascii="Calibri" w:hAnsi="Calibri"/>
                <w:color w:val="1F2937"/>
                <w:sz w:val="20"/>
              </w:rPr>
              <w:t>Bouwwerken die gevaarlijke stoffen bevatten moeten voldoen aan Bouwbesluit (Bbl), Bouwbesluit kwaliteit (Bkl) en Bouwbesluit activiteit (Bal). Brandcompartimentering en externe veiligheidsafstanden worden hierin geregeld.</w:t>
            </w:r>
          </w:p>
        </w:tc>
        <w:tc>
          <w:tcPr>
            <w:tcW w:type="dxa" w:w="3118"/>
            <w:shd w:fill="F8F9FA"/>
          </w:tcPr>
          <w:p>
            <w:r/>
            <w:r>
              <w:rPr>
                <w:rFonts w:ascii="Calibri" w:hAnsi="Calibri"/>
                <w:color w:val="1F2937"/>
                <w:sz w:val="20"/>
              </w:rPr>
              <w:t>Opslaglocatie moet voldoen aan brandwerendheidseisen. Bbl-artikelen over brandcompartimentgrootte en Wbdbo gelden voor de opslagruimte.</w:t>
            </w:r>
          </w:p>
        </w:tc>
      </w:tr>
      <w:tr>
        <w:tc>
          <w:tcPr>
            <w:tcW w:type="dxa" w:w="1984"/>
          </w:tcPr>
          <w:p>
            <w:r/>
            <w:r>
              <w:rPr>
                <w:rFonts w:ascii="Calibri" w:hAnsi="Calibri"/>
                <w:color w:val="1F2937"/>
                <w:sz w:val="20"/>
              </w:rPr>
              <w:t>Arbowet</w:t>
              <w:br/>
              <w:t>(Arbobesluit art. 4.1c)</w:t>
            </w:r>
          </w:p>
        </w:tc>
        <w:tc>
          <w:tcPr>
            <w:tcW w:type="dxa" w:w="3118"/>
          </w:tcPr>
          <w:p>
            <w:r/>
            <w:r>
              <w:rPr>
                <w:rFonts w:ascii="Calibri" w:hAnsi="Calibri"/>
                <w:color w:val="1F2937"/>
                <w:sz w:val="20"/>
              </w:rPr>
              <w:t>Werkgevers zijn verplicht een RI&amp;E uit te voeren waarin risico's verbonden aan werking met en opslag van gevaarlijke stoffen systematisch worden geïdentificeerd en geëvalueerd. Voorzorgsmaatregelen moeten worden gedocumenteerd.</w:t>
            </w:r>
          </w:p>
        </w:tc>
        <w:tc>
          <w:tcPr>
            <w:tcW w:type="dxa" w:w="3118"/>
          </w:tcPr>
          <w:p>
            <w:r/>
            <w:r>
              <w:rPr>
                <w:rFonts w:ascii="Calibri" w:hAnsi="Calibri"/>
                <w:color w:val="1F2937"/>
                <w:sz w:val="20"/>
              </w:rPr>
              <w:t>PM moet een actuele RI&amp;E hebben die de opslag van NaOH, H₂SO₄ en andere stoffen dekt. Periodieke herbeoordeling vereist.</w:t>
            </w:r>
          </w:p>
        </w:tc>
      </w:tr>
      <w:tr>
        <w:tc>
          <w:tcPr>
            <w:tcW w:type="dxa" w:w="1984"/>
            <w:shd w:fill="F8F9FA"/>
          </w:tcPr>
          <w:p>
            <w:r/>
            <w:r>
              <w:rPr>
                <w:rFonts w:ascii="Calibri" w:hAnsi="Calibri"/>
                <w:color w:val="1F2937"/>
                <w:sz w:val="20"/>
              </w:rPr>
              <w:t>ADR</w:t>
              <w:br/>
              <w:t>(Accord européen)</w:t>
            </w:r>
          </w:p>
        </w:tc>
        <w:tc>
          <w:tcPr>
            <w:tcW w:type="dxa" w:w="3118"/>
            <w:shd w:fill="F8F9FA"/>
          </w:tcPr>
          <w:p>
            <w:r/>
            <w:r>
              <w:rPr>
                <w:rFonts w:ascii="Calibri" w:hAnsi="Calibri"/>
                <w:color w:val="1F2937"/>
                <w:sz w:val="20"/>
              </w:rPr>
              <w:t>Europees verdrag voor het internationaal vervoer van gevaarlijke stoffen over de weg. Classificeert stoffen in 9 gevarenklassen. ADR-classificatie is leidend voor PGS 15 opslagcategorieën.</w:t>
            </w:r>
          </w:p>
        </w:tc>
        <w:tc>
          <w:tcPr>
            <w:tcW w:type="dxa" w:w="3118"/>
            <w:shd w:fill="F8F9FA"/>
          </w:tcPr>
          <w:p>
            <w:r/>
            <w:r>
              <w:rPr>
                <w:rFonts w:ascii="Calibri" w:hAnsi="Calibri"/>
                <w:color w:val="1F2937"/>
                <w:sz w:val="20"/>
              </w:rPr>
              <w:t>Alle vier de vloeibare stoffen zijn ADR-klasse 8, verpakkingsgroep II. Deze classificatie bepaalt de scheidingseisen uit PGS 15 Bijlage E.</w:t>
            </w:r>
          </w:p>
        </w:tc>
      </w:tr>
      <w:tr>
        <w:tc>
          <w:tcPr>
            <w:tcW w:type="dxa" w:w="1984"/>
          </w:tcPr>
          <w:p>
            <w:r/>
            <w:r>
              <w:rPr>
                <w:rFonts w:ascii="Calibri" w:hAnsi="Calibri"/>
                <w:color w:val="1F2937"/>
                <w:sz w:val="20"/>
              </w:rPr>
              <w:t>CLP-Verordening</w:t>
              <w:br/>
              <w:t>(EG 1272/2008)</w:t>
            </w:r>
          </w:p>
        </w:tc>
        <w:tc>
          <w:tcPr>
            <w:tcW w:type="dxa" w:w="3118"/>
          </w:tcPr>
          <w:p>
            <w:r/>
            <w:r>
              <w:rPr>
                <w:rFonts w:ascii="Calibri" w:hAnsi="Calibri"/>
                <w:color w:val="1F2937"/>
                <w:sz w:val="20"/>
              </w:rPr>
              <w:t>EU-verordening voor uniforme classificatie, etikettering en verpakking van stoffen en mengsels. Gebruikt GHS-pictogrammen en H/P-zinnen. Vervangt nationale classificatiesystemen.</w:t>
            </w:r>
          </w:p>
        </w:tc>
        <w:tc>
          <w:tcPr>
            <w:tcW w:type="dxa" w:w="3118"/>
          </w:tcPr>
          <w:p>
            <w:r/>
            <w:r>
              <w:rPr>
                <w:rFonts w:ascii="Calibri" w:hAnsi="Calibri"/>
                <w:color w:val="1F2937"/>
                <w:sz w:val="20"/>
              </w:rPr>
              <w:t>Bepaalt de etikettering van alle PM-stoffen. NaOH 50% en H₂SO₆ dragen het bijtende-pictogram. Geen CMR- of SVHC-stoffen aanwezig.</w:t>
            </w:r>
          </w:p>
        </w:tc>
      </w:tr>
      <w:tr>
        <w:tc>
          <w:tcPr>
            <w:tcW w:type="dxa" w:w="1984"/>
            <w:shd w:fill="F8F9FA"/>
          </w:tcPr>
          <w:p>
            <w:r/>
            <w:r>
              <w:rPr>
                <w:rFonts w:ascii="Calibri" w:hAnsi="Calibri"/>
                <w:color w:val="1F2937"/>
                <w:sz w:val="20"/>
              </w:rPr>
              <w:t>REACH</w:t>
              <w:br/>
              <w:t>(EG 1907/2006)</w:t>
            </w:r>
          </w:p>
        </w:tc>
        <w:tc>
          <w:tcPr>
            <w:tcW w:type="dxa" w:w="3118"/>
            <w:shd w:fill="F8F9FA"/>
          </w:tcPr>
          <w:p>
            <w:r/>
            <w:r>
              <w:rPr>
                <w:rFonts w:ascii="Calibri" w:hAnsi="Calibri"/>
                <w:color w:val="1F2937"/>
                <w:sz w:val="20"/>
              </w:rPr>
              <w:t>EU-verordening voor registratie, evaluatie, autorisatie en beperking van chemische stoffen. Vereist SDS beschikbaarheid, risicobeheer en communicatie in de toeleveringsketen.</w:t>
            </w:r>
          </w:p>
        </w:tc>
        <w:tc>
          <w:tcPr>
            <w:tcW w:type="dxa" w:w="3118"/>
            <w:shd w:fill="F8F9FA"/>
          </w:tcPr>
          <w:p>
            <w:r/>
            <w:r>
              <w:rPr>
                <w:rFonts w:ascii="Calibri" w:hAnsi="Calibri"/>
                <w:color w:val="1F2937"/>
                <w:sz w:val="20"/>
              </w:rPr>
              <w:t>PM moet SDS'en beschikbaar hebben voor alle stoffen. Geen SVHC's in het assortiment. REACH-artikel 31 vereist leveranciers SDS te verstrekken.</w:t>
            </w:r>
          </w:p>
        </w:tc>
      </w:tr>
    </w:tbl>
    <w:p>
      <w:pPr>
        <w:spacing w:after="120"/>
      </w:pPr>
      <w:r>
        <w:rPr>
          <w:rFonts w:ascii="Calibri" w:hAnsi="Calibri"/>
          <w:b w:val="0"/>
          <w:i w:val="0"/>
          <w:color w:val="1F2937"/>
          <w:sz w:val="22"/>
        </w:rPr>
      </w:r>
    </w:p>
    <w:p>
      <w:pPr>
        <w:spacing w:after="120"/>
      </w:pPr>
      <w:r>
        <w:rPr>
          <w:rFonts w:ascii="Calibri" w:hAnsi="Calibri"/>
          <w:b w:val="0"/>
          <w:i w:val="0"/>
          <w:color w:val="1F2937"/>
          <w:sz w:val="22"/>
        </w:rPr>
        <w:t>Naast bovengenoemde kaderstellende wetgeving kunnen aanvullende voorschriften van toepassing zijn, waaronder de NTA 8620 (veiligheidsbeheerssysteem, indien Seveso-status van toepassing is), lokale verordeningen van de gemeente Velsen en specifieke eisen van de brandweer. Phoenix Metals monitort actief wijzigingen in de regelgeving en past dit beleid aan indien vereist.</w:t>
      </w:r>
    </w:p>
    <w:p>
      <w:pPr>
        <w:pStyle w:val="Heading1"/>
      </w:pPr>
      <w:r>
        <w:t>4. Definities en Afkortingen</w:t>
      </w:r>
    </w:p>
    <w:p>
      <w:pPr>
        <w:spacing w:after="120"/>
      </w:pPr>
      <w:r>
        <w:rPr>
          <w:rFonts w:ascii="Calibri" w:hAnsi="Calibri"/>
          <w:b w:val="0"/>
          <w:i w:val="0"/>
          <w:color w:val="1F2937"/>
          <w:sz w:val="22"/>
        </w:rPr>
        <w:t>Onderstaande tabel definieert de in dit document gebruikte termen en afkortingen. Definities zijn conform PGS 15:2025, tenzij anders vermeld.</w:t>
      </w:r>
    </w:p>
    <w:tbl>
      <w:tblPr>
        <w:tblStyle w:val="TableGrid"/>
        <w:tblW w:type="auto" w:w="0"/>
        <w:jc w:val="center"/>
        <w:tblLook w:firstColumn="1" w:firstRow="1" w:lastColumn="0" w:lastRow="0" w:noHBand="0" w:noVBand="1" w:val="04A0"/>
      </w:tblPr>
      <w:tblGrid>
        <w:gridCol w:w="4320"/>
        <w:gridCol w:w="4320"/>
      </w:tblGrid>
      <w:tr>
        <w:tc>
          <w:tcPr>
            <w:tcW w:type="dxa" w:w="1984"/>
            <w:shd w:fill="003366"/>
          </w:tcPr>
          <w:p>
            <w:pPr>
              <w:jc w:val="left"/>
            </w:pPr>
            <w:r/>
            <w:r>
              <w:rPr>
                <w:rFonts w:ascii="Calibri" w:hAnsi="Calibri"/>
                <w:b/>
                <w:color w:val="FFFFFF"/>
                <w:sz w:val="20"/>
              </w:rPr>
              <w:t>Term / Afkorting</w:t>
            </w:r>
          </w:p>
        </w:tc>
        <w:tc>
          <w:tcPr>
            <w:tcW w:type="dxa" w:w="6236"/>
            <w:shd w:fill="003366"/>
          </w:tcPr>
          <w:p>
            <w:pPr>
              <w:jc w:val="left"/>
            </w:pPr>
            <w:r/>
            <w:r>
              <w:rPr>
                <w:rFonts w:ascii="Calibri" w:hAnsi="Calibri"/>
                <w:b/>
                <w:color w:val="FFFFFF"/>
                <w:sz w:val="20"/>
              </w:rPr>
              <w:t>Definitie</w:t>
            </w:r>
          </w:p>
        </w:tc>
      </w:tr>
      <w:tr>
        <w:tc>
          <w:tcPr>
            <w:tcW w:type="dxa" w:w="1984"/>
          </w:tcPr>
          <w:p>
            <w:r/>
            <w:r>
              <w:rPr>
                <w:rFonts w:ascii="Calibri" w:hAnsi="Calibri"/>
                <w:color w:val="1F2937"/>
                <w:sz w:val="20"/>
              </w:rPr>
              <w:t>PGS 15</w:t>
            </w:r>
          </w:p>
        </w:tc>
        <w:tc>
          <w:tcPr>
            <w:tcW w:type="dxa" w:w="6236"/>
          </w:tcPr>
          <w:p>
            <w:r/>
            <w:r>
              <w:rPr>
                <w:rFonts w:ascii="Calibri" w:hAnsi="Calibri"/>
                <w:color w:val="1F2937"/>
                <w:sz w:val="20"/>
              </w:rPr>
              <w:t>Publicatiereeks Gevaarlijke Stoffen 15 — Richtlijn voor opslag van verpakte gevaarlijke stoffen</w:t>
            </w:r>
          </w:p>
        </w:tc>
      </w:tr>
      <w:tr>
        <w:tc>
          <w:tcPr>
            <w:tcW w:type="dxa" w:w="1984"/>
            <w:shd w:fill="F8F9FA"/>
          </w:tcPr>
          <w:p>
            <w:r/>
            <w:r>
              <w:rPr>
                <w:rFonts w:ascii="Calibri" w:hAnsi="Calibri"/>
                <w:color w:val="1F2937"/>
                <w:sz w:val="20"/>
              </w:rPr>
              <w:t>ADR</w:t>
            </w:r>
          </w:p>
        </w:tc>
        <w:tc>
          <w:tcPr>
            <w:tcW w:type="dxa" w:w="6236"/>
            <w:shd w:fill="F8F9FA"/>
          </w:tcPr>
          <w:p>
            <w:r/>
            <w:r>
              <w:rPr>
                <w:rFonts w:ascii="Calibri" w:hAnsi="Calibri"/>
                <w:color w:val="1F2937"/>
                <w:sz w:val="20"/>
              </w:rPr>
              <w:t>Accord européen relatif au transport international des marchandises Dangereuses par Route</w:t>
            </w:r>
          </w:p>
        </w:tc>
      </w:tr>
      <w:tr>
        <w:tc>
          <w:tcPr>
            <w:tcW w:type="dxa" w:w="1984"/>
          </w:tcPr>
          <w:p>
            <w:r/>
            <w:r>
              <w:rPr>
                <w:rFonts w:ascii="Calibri" w:hAnsi="Calibri"/>
                <w:color w:val="1F2937"/>
                <w:sz w:val="20"/>
              </w:rPr>
              <w:t>SDS / VIB</w:t>
            </w:r>
          </w:p>
        </w:tc>
        <w:tc>
          <w:tcPr>
            <w:tcW w:type="dxa" w:w="6236"/>
          </w:tcPr>
          <w:p>
            <w:r/>
            <w:r>
              <w:rPr>
                <w:rFonts w:ascii="Calibri" w:hAnsi="Calibri"/>
                <w:color w:val="1F2937"/>
                <w:sz w:val="20"/>
              </w:rPr>
              <w:t>Safety Data Sheet / Veiligheidsinformatieblad — gestandaardiseerde stofinformatie conform REACH Bijlage II</w:t>
            </w:r>
          </w:p>
        </w:tc>
      </w:tr>
      <w:tr>
        <w:tc>
          <w:tcPr>
            <w:tcW w:type="dxa" w:w="1984"/>
            <w:shd w:fill="F8F9FA"/>
          </w:tcPr>
          <w:p>
            <w:r/>
            <w:r>
              <w:rPr>
                <w:rFonts w:ascii="Calibri" w:hAnsi="Calibri"/>
                <w:color w:val="1F2937"/>
                <w:sz w:val="20"/>
              </w:rPr>
              <w:t>PBM</w:t>
            </w:r>
          </w:p>
        </w:tc>
        <w:tc>
          <w:tcPr>
            <w:tcW w:type="dxa" w:w="6236"/>
            <w:shd w:fill="F8F9FA"/>
          </w:tcPr>
          <w:p>
            <w:r/>
            <w:r>
              <w:rPr>
                <w:rFonts w:ascii="Calibri" w:hAnsi="Calibri"/>
                <w:color w:val="1F2937"/>
                <w:sz w:val="20"/>
              </w:rPr>
              <w:t>Persoonlijke Beschermingsmiddelen — uitrusting ter bescherming van de werknemer tegen chemische risico's</w:t>
            </w:r>
          </w:p>
        </w:tc>
      </w:tr>
      <w:tr>
        <w:tc>
          <w:tcPr>
            <w:tcW w:type="dxa" w:w="1984"/>
          </w:tcPr>
          <w:p>
            <w:r/>
            <w:r>
              <w:rPr>
                <w:rFonts w:ascii="Calibri" w:hAnsi="Calibri"/>
                <w:color w:val="1F2937"/>
                <w:sz w:val="20"/>
              </w:rPr>
              <w:t>VBB</w:t>
            </w:r>
          </w:p>
        </w:tc>
        <w:tc>
          <w:tcPr>
            <w:tcW w:type="dxa" w:w="6236"/>
          </w:tcPr>
          <w:p>
            <w:r/>
            <w:r>
              <w:rPr>
                <w:rFonts w:ascii="Calibri" w:hAnsi="Calibri"/>
                <w:color w:val="1F2937"/>
                <w:sz w:val="20"/>
              </w:rPr>
              <w:t>Vaste Blusmiddelen Berichting — automatisch blussysteem voor opslagruimten</w:t>
            </w:r>
          </w:p>
        </w:tc>
      </w:tr>
      <w:tr>
        <w:tc>
          <w:tcPr>
            <w:tcW w:type="dxa" w:w="1984"/>
            <w:shd w:fill="F8F9FA"/>
          </w:tcPr>
          <w:p>
            <w:r/>
            <w:r>
              <w:rPr>
                <w:rFonts w:ascii="Calibri" w:hAnsi="Calibri"/>
                <w:color w:val="1F2937"/>
                <w:sz w:val="20"/>
              </w:rPr>
              <w:t>UPD</w:t>
            </w:r>
          </w:p>
        </w:tc>
        <w:tc>
          <w:tcPr>
            <w:tcW w:type="dxa" w:w="6236"/>
            <w:shd w:fill="F8F9FA"/>
          </w:tcPr>
          <w:p>
            <w:r/>
            <w:r>
              <w:rPr>
                <w:rFonts w:ascii="Calibri" w:hAnsi="Calibri"/>
                <w:color w:val="1F2937"/>
                <w:sz w:val="20"/>
              </w:rPr>
              <w:t>Uitbreidingsplan Document — plan voor uitbreiding van opslagcapaciteit</w:t>
            </w:r>
          </w:p>
        </w:tc>
      </w:tr>
      <w:tr>
        <w:tc>
          <w:tcPr>
            <w:tcW w:type="dxa" w:w="1984"/>
          </w:tcPr>
          <w:p>
            <w:r/>
            <w:r>
              <w:rPr>
                <w:rFonts w:ascii="Calibri" w:hAnsi="Calibri"/>
                <w:color w:val="1F2937"/>
                <w:sz w:val="20"/>
              </w:rPr>
              <w:t>Wbdbo</w:t>
            </w:r>
          </w:p>
        </w:tc>
        <w:tc>
          <w:tcPr>
            <w:tcW w:type="dxa" w:w="6236"/>
          </w:tcPr>
          <w:p>
            <w:r/>
            <w:r>
              <w:rPr>
                <w:rFonts w:ascii="Calibri" w:hAnsi="Calibri"/>
                <w:color w:val="1F2937"/>
                <w:sz w:val="20"/>
              </w:rPr>
              <w:t>Weerstand tegen Branddoordringing van bouwconstructies — brandwerendheid in minuten</w:t>
            </w:r>
          </w:p>
        </w:tc>
      </w:tr>
      <w:tr>
        <w:tc>
          <w:tcPr>
            <w:tcW w:type="dxa" w:w="1984"/>
            <w:shd w:fill="F8F9FA"/>
          </w:tcPr>
          <w:p>
            <w:r/>
            <w:r>
              <w:rPr>
                <w:rFonts w:ascii="Calibri" w:hAnsi="Calibri"/>
                <w:color w:val="1F2937"/>
                <w:sz w:val="20"/>
              </w:rPr>
              <w:t>RI&amp;E</w:t>
            </w:r>
          </w:p>
        </w:tc>
        <w:tc>
          <w:tcPr>
            <w:tcW w:type="dxa" w:w="6236"/>
            <w:shd w:fill="F8F9FA"/>
          </w:tcPr>
          <w:p>
            <w:r/>
            <w:r>
              <w:rPr>
                <w:rFonts w:ascii="Calibri" w:hAnsi="Calibri"/>
                <w:color w:val="1F2937"/>
                <w:sz w:val="20"/>
              </w:rPr>
              <w:t>Risico-Inventarisatie en -Evaluatie — systematische identificatie en beoordeling van arbeidsrisico's</w:t>
            </w:r>
          </w:p>
        </w:tc>
      </w:tr>
      <w:tr>
        <w:tc>
          <w:tcPr>
            <w:tcW w:type="dxa" w:w="1984"/>
          </w:tcPr>
          <w:p>
            <w:r/>
            <w:r>
              <w:rPr>
                <w:rFonts w:ascii="Calibri" w:hAnsi="Calibri"/>
                <w:color w:val="1F2937"/>
                <w:sz w:val="20"/>
              </w:rPr>
              <w:t>CMR</w:t>
            </w:r>
          </w:p>
        </w:tc>
        <w:tc>
          <w:tcPr>
            <w:tcW w:type="dxa" w:w="6236"/>
          </w:tcPr>
          <w:p>
            <w:r/>
            <w:r>
              <w:rPr>
                <w:rFonts w:ascii="Calibri" w:hAnsi="Calibri"/>
                <w:color w:val="1F2937"/>
                <w:sz w:val="20"/>
              </w:rPr>
              <w:t>Carcinogeen, Mutageen, Reprotoxisch — categorie speciaal gevaarlijke stoffen</w:t>
            </w:r>
          </w:p>
        </w:tc>
      </w:tr>
      <w:tr>
        <w:tc>
          <w:tcPr>
            <w:tcW w:type="dxa" w:w="1984"/>
            <w:shd w:fill="F8F9FA"/>
          </w:tcPr>
          <w:p>
            <w:r/>
            <w:r>
              <w:rPr>
                <w:rFonts w:ascii="Calibri" w:hAnsi="Calibri"/>
                <w:color w:val="1F2937"/>
                <w:sz w:val="20"/>
              </w:rPr>
              <w:t>SVHC</w:t>
            </w:r>
          </w:p>
        </w:tc>
        <w:tc>
          <w:tcPr>
            <w:tcW w:type="dxa" w:w="6236"/>
            <w:shd w:fill="F8F9FA"/>
          </w:tcPr>
          <w:p>
            <w:r/>
            <w:r>
              <w:rPr>
                <w:rFonts w:ascii="Calibri" w:hAnsi="Calibri"/>
                <w:color w:val="1F2937"/>
                <w:sz w:val="20"/>
              </w:rPr>
              <w:t>Substance of Very High Concern — bijzonder zorgwekkende stof conform REACH artikel 57</w:t>
            </w:r>
          </w:p>
        </w:tc>
      </w:tr>
      <w:tr>
        <w:tc>
          <w:tcPr>
            <w:tcW w:type="dxa" w:w="1984"/>
          </w:tcPr>
          <w:p>
            <w:r/>
            <w:r>
              <w:rPr>
                <w:rFonts w:ascii="Calibri" w:hAnsi="Calibri"/>
                <w:color w:val="1F2937"/>
                <w:sz w:val="20"/>
              </w:rPr>
              <w:t>CLP</w:t>
            </w:r>
          </w:p>
        </w:tc>
        <w:tc>
          <w:tcPr>
            <w:tcW w:type="dxa" w:w="6236"/>
          </w:tcPr>
          <w:p>
            <w:r/>
            <w:r>
              <w:rPr>
                <w:rFonts w:ascii="Calibri" w:hAnsi="Calibri"/>
                <w:color w:val="1F2937"/>
                <w:sz w:val="20"/>
              </w:rPr>
              <w:t>Classification, Labelling and Packaging — EU-verordening 1272/2008 voor stofclassificatie</w:t>
            </w:r>
          </w:p>
        </w:tc>
      </w:tr>
      <w:tr>
        <w:tc>
          <w:tcPr>
            <w:tcW w:type="dxa" w:w="1984"/>
            <w:shd w:fill="F8F9FA"/>
          </w:tcPr>
          <w:p>
            <w:r/>
            <w:r>
              <w:rPr>
                <w:rFonts w:ascii="Calibri" w:hAnsi="Calibri"/>
                <w:color w:val="1F2937"/>
                <w:sz w:val="20"/>
              </w:rPr>
              <w:t>REACH</w:t>
            </w:r>
          </w:p>
        </w:tc>
        <w:tc>
          <w:tcPr>
            <w:tcW w:type="dxa" w:w="6236"/>
            <w:shd w:fill="F8F9FA"/>
          </w:tcPr>
          <w:p>
            <w:r/>
            <w:r>
              <w:rPr>
                <w:rFonts w:ascii="Calibri" w:hAnsi="Calibri"/>
                <w:color w:val="1F2937"/>
                <w:sz w:val="20"/>
              </w:rPr>
              <w:t>Registration, Evaluation, Authorisation and Restriction of Chemicals — EU-verordening 1907/2006</w:t>
            </w:r>
          </w:p>
        </w:tc>
      </w:tr>
      <w:tr>
        <w:tc>
          <w:tcPr>
            <w:tcW w:type="dxa" w:w="1984"/>
          </w:tcPr>
          <w:p>
            <w:r/>
            <w:r>
              <w:rPr>
                <w:rFonts w:ascii="Calibri" w:hAnsi="Calibri"/>
                <w:color w:val="1F2937"/>
                <w:sz w:val="20"/>
              </w:rPr>
              <w:t>TRA</w:t>
            </w:r>
          </w:p>
        </w:tc>
        <w:tc>
          <w:tcPr>
            <w:tcW w:type="dxa" w:w="6236"/>
          </w:tcPr>
          <w:p>
            <w:r/>
            <w:r>
              <w:rPr>
                <w:rFonts w:ascii="Calibri" w:hAnsi="Calibri"/>
                <w:color w:val="1F2937"/>
                <w:sz w:val="20"/>
              </w:rPr>
              <w:t>Technical Rules for hazardous substances — technische regelgeving (Duits: TRGS)</w:t>
            </w:r>
          </w:p>
        </w:tc>
      </w:tr>
      <w:tr>
        <w:tc>
          <w:tcPr>
            <w:tcW w:type="dxa" w:w="1984"/>
            <w:shd w:fill="F8F9FA"/>
          </w:tcPr>
          <w:p>
            <w:r/>
            <w:r>
              <w:rPr>
                <w:rFonts w:ascii="Calibri" w:hAnsi="Calibri"/>
                <w:color w:val="1F2937"/>
                <w:sz w:val="20"/>
              </w:rPr>
              <w:t>BNP</w:t>
            </w:r>
          </w:p>
        </w:tc>
        <w:tc>
          <w:tcPr>
            <w:tcW w:type="dxa" w:w="6236"/>
            <w:shd w:fill="F8F9FA"/>
          </w:tcPr>
          <w:p>
            <w:r/>
            <w:r>
              <w:rPr>
                <w:rFonts w:ascii="Calibri" w:hAnsi="Calibri"/>
                <w:color w:val="1F2937"/>
                <w:sz w:val="20"/>
              </w:rPr>
              <w:t>Brandcompartiment NoodPlan — noodplan specifiek voor brand in opslagruimten</w:t>
            </w:r>
          </w:p>
        </w:tc>
      </w:tr>
      <w:tr>
        <w:tc>
          <w:tcPr>
            <w:tcW w:type="dxa" w:w="1984"/>
          </w:tcPr>
          <w:p>
            <w:r/>
            <w:r>
              <w:rPr>
                <w:rFonts w:ascii="Calibri" w:hAnsi="Calibri"/>
                <w:color w:val="1F2937"/>
                <w:sz w:val="20"/>
              </w:rPr>
              <w:t>NEN</w:t>
            </w:r>
          </w:p>
        </w:tc>
        <w:tc>
          <w:tcPr>
            <w:tcW w:type="dxa" w:w="6236"/>
          </w:tcPr>
          <w:p>
            <w:r/>
            <w:r>
              <w:rPr>
                <w:rFonts w:ascii="Calibri" w:hAnsi="Calibri"/>
                <w:color w:val="1F2937"/>
                <w:sz w:val="20"/>
              </w:rPr>
              <w:t>Nederlandse Norm — gestandaardiseerde technische specificaties</w:t>
            </w:r>
          </w:p>
        </w:tc>
      </w:tr>
      <w:tr>
        <w:tc>
          <w:tcPr>
            <w:tcW w:type="dxa" w:w="1984"/>
            <w:shd w:fill="F8F9FA"/>
          </w:tcPr>
          <w:p>
            <w:r/>
            <w:r>
              <w:rPr>
                <w:rFonts w:ascii="Calibri" w:hAnsi="Calibri"/>
                <w:color w:val="1F2937"/>
                <w:sz w:val="20"/>
              </w:rPr>
              <w:t>CAS</w:t>
            </w:r>
          </w:p>
        </w:tc>
        <w:tc>
          <w:tcPr>
            <w:tcW w:type="dxa" w:w="6236"/>
            <w:shd w:fill="F8F9FA"/>
          </w:tcPr>
          <w:p>
            <w:r/>
            <w:r>
              <w:rPr>
                <w:rFonts w:ascii="Calibri" w:hAnsi="Calibri"/>
                <w:color w:val="1F2937"/>
                <w:sz w:val="20"/>
              </w:rPr>
              <w:t>Chemical Abstracts Service — uniek identificatienummer voor chemische stoffen</w:t>
            </w:r>
          </w:p>
        </w:tc>
      </w:tr>
      <w:tr>
        <w:tc>
          <w:tcPr>
            <w:tcW w:type="dxa" w:w="1984"/>
          </w:tcPr>
          <w:p>
            <w:r/>
            <w:r>
              <w:rPr>
                <w:rFonts w:ascii="Calibri" w:hAnsi="Calibri"/>
                <w:color w:val="1F2937"/>
                <w:sz w:val="20"/>
              </w:rPr>
              <w:t>VG</w:t>
            </w:r>
          </w:p>
        </w:tc>
        <w:tc>
          <w:tcPr>
            <w:tcW w:type="dxa" w:w="6236"/>
          </w:tcPr>
          <w:p>
            <w:r/>
            <w:r>
              <w:rPr>
                <w:rFonts w:ascii="Calibri" w:hAnsi="Calibri"/>
                <w:color w:val="1F2937"/>
                <w:sz w:val="20"/>
              </w:rPr>
              <w:t>Verpakkingsgroep — indeling (I/II/III) op basis van gevaarsgraad binnen ADR-klasse</w:t>
            </w:r>
          </w:p>
        </w:tc>
      </w:tr>
      <w:tr>
        <w:tc>
          <w:tcPr>
            <w:tcW w:type="dxa" w:w="1984"/>
            <w:shd w:fill="F8F9FA"/>
          </w:tcPr>
          <w:p>
            <w:r/>
            <w:r>
              <w:rPr>
                <w:rFonts w:ascii="Calibri" w:hAnsi="Calibri"/>
                <w:color w:val="1F2937"/>
                <w:sz w:val="20"/>
              </w:rPr>
              <w:t>VIB</w:t>
            </w:r>
          </w:p>
        </w:tc>
        <w:tc>
          <w:tcPr>
            <w:tcW w:type="dxa" w:w="6236"/>
            <w:shd w:fill="F8F9FA"/>
          </w:tcPr>
          <w:p>
            <w:r/>
            <w:r>
              <w:rPr>
                <w:rFonts w:ascii="Calibri" w:hAnsi="Calibri"/>
                <w:color w:val="1F2937"/>
                <w:sz w:val="20"/>
              </w:rPr>
              <w:t>Veiligheidsinformatieblad — Nederlandse term voor SDS</w:t>
            </w:r>
          </w:p>
        </w:tc>
      </w:tr>
      <w:tr>
        <w:tc>
          <w:tcPr>
            <w:tcW w:type="dxa" w:w="1984"/>
          </w:tcPr>
          <w:p>
            <w:r/>
            <w:r>
              <w:rPr>
                <w:rFonts w:ascii="Calibri" w:hAnsi="Calibri"/>
                <w:color w:val="1F2937"/>
                <w:sz w:val="20"/>
              </w:rPr>
              <w:t>MW1</w:t>
            </w:r>
          </w:p>
        </w:tc>
        <w:tc>
          <w:tcPr>
            <w:tcW w:type="dxa" w:w="6236"/>
          </w:tcPr>
          <w:p>
            <w:r/>
            <w:r>
              <w:rPr>
                <w:rFonts w:ascii="Calibri" w:hAnsi="Calibri"/>
                <w:color w:val="1F2937"/>
                <w:sz w:val="20"/>
              </w:rPr>
              <w:t>Maatregel Welzijn 1 — algemene zorgplicht uit PGS 15</w:t>
            </w:r>
          </w:p>
        </w:tc>
      </w:tr>
      <w:tr>
        <w:tc>
          <w:tcPr>
            <w:tcW w:type="dxa" w:w="1984"/>
            <w:shd w:fill="F8F9FA"/>
          </w:tcPr>
          <w:p>
            <w:r/>
            <w:r>
              <w:rPr>
                <w:rFonts w:ascii="Calibri" w:hAnsi="Calibri"/>
                <w:color w:val="1F2937"/>
                <w:sz w:val="20"/>
              </w:rPr>
              <w:t>M-nummer</w:t>
            </w:r>
          </w:p>
        </w:tc>
        <w:tc>
          <w:tcPr>
            <w:tcW w:type="dxa" w:w="6236"/>
            <w:shd w:fill="F8F9FA"/>
          </w:tcPr>
          <w:p>
            <w:r/>
            <w:r>
              <w:rPr>
                <w:rFonts w:ascii="Calibri" w:hAnsi="Calibri"/>
                <w:color w:val="1F2937"/>
                <w:sz w:val="20"/>
              </w:rPr>
              <w:t>Maatregelnummer uit PGS 15:2025 — specifieke beheersmaatregel met unieke code</w:t>
            </w:r>
          </w:p>
        </w:tc>
      </w:tr>
    </w:tbl>
    <w:p>
      <w:pPr>
        <w:pStyle w:val="Heading1"/>
      </w:pPr>
      <w:r>
        <w:t>5. Verantwoordelijkheden</w:t>
      </w:r>
    </w:p>
    <w:p>
      <w:pPr>
        <w:spacing w:after="120"/>
      </w:pPr>
      <w:r>
        <w:rPr>
          <w:rFonts w:ascii="Calibri" w:hAnsi="Calibri"/>
          <w:b w:val="0"/>
          <w:i w:val="0"/>
          <w:color w:val="1F2937"/>
          <w:sz w:val="22"/>
        </w:rPr>
        <w:t>De verantwoordelijkheden voor het beheer van gevaarlijke stoffen zijn verdeeld over vijf rollen volgens het RACI-model (Responsible, Accountable, Consulted, Informed). Onderstaande matrix definieert de toewijzing per taakgebied.</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984"/>
            <w:shd w:fill="003366"/>
          </w:tcPr>
          <w:p>
            <w:pPr>
              <w:jc w:val="left"/>
            </w:pPr>
            <w:r/>
            <w:r>
              <w:rPr>
                <w:rFonts w:ascii="Calibri" w:hAnsi="Calibri"/>
                <w:b/>
                <w:color w:val="FFFFFF"/>
                <w:sz w:val="20"/>
              </w:rPr>
              <w:t>Taakgebied</w:t>
            </w:r>
          </w:p>
        </w:tc>
        <w:tc>
          <w:tcPr>
            <w:tcW w:type="dxa" w:w="1134"/>
            <w:shd w:fill="003366"/>
          </w:tcPr>
          <w:p>
            <w:pPr>
              <w:jc w:val="left"/>
            </w:pPr>
            <w:r/>
            <w:r>
              <w:rPr>
                <w:rFonts w:ascii="Calibri" w:hAnsi="Calibri"/>
                <w:b/>
                <w:color w:val="FFFFFF"/>
                <w:sz w:val="20"/>
              </w:rPr>
              <w:t>Directie</w:t>
            </w:r>
          </w:p>
        </w:tc>
        <w:tc>
          <w:tcPr>
            <w:tcW w:type="dxa" w:w="1247"/>
            <w:shd w:fill="003366"/>
          </w:tcPr>
          <w:p>
            <w:pPr>
              <w:jc w:val="left"/>
            </w:pPr>
            <w:r/>
            <w:r>
              <w:rPr>
                <w:rFonts w:ascii="Calibri" w:hAnsi="Calibri"/>
                <w:b/>
                <w:color w:val="FFFFFF"/>
                <w:sz w:val="20"/>
              </w:rPr>
              <w:t>HSEQ Manager</w:t>
            </w:r>
          </w:p>
        </w:tc>
        <w:tc>
          <w:tcPr>
            <w:tcW w:type="dxa" w:w="1247"/>
            <w:shd w:fill="003366"/>
          </w:tcPr>
          <w:p>
            <w:pPr>
              <w:jc w:val="left"/>
            </w:pPr>
            <w:r/>
            <w:r>
              <w:rPr>
                <w:rFonts w:ascii="Calibri" w:hAnsi="Calibri"/>
                <w:b/>
                <w:color w:val="FFFFFF"/>
                <w:sz w:val="20"/>
              </w:rPr>
              <w:t>Lab Manager</w:t>
            </w:r>
          </w:p>
        </w:tc>
        <w:tc>
          <w:tcPr>
            <w:tcW w:type="dxa" w:w="1134"/>
            <w:shd w:fill="003366"/>
          </w:tcPr>
          <w:p>
            <w:pPr>
              <w:jc w:val="left"/>
            </w:pPr>
            <w:r/>
            <w:r>
              <w:rPr>
                <w:rFonts w:ascii="Calibri" w:hAnsi="Calibri"/>
                <w:b/>
                <w:color w:val="FFFFFF"/>
                <w:sz w:val="20"/>
              </w:rPr>
              <w:t>Medewerkers</w:t>
            </w:r>
          </w:p>
        </w:tc>
        <w:tc>
          <w:tcPr>
            <w:tcW w:type="dxa" w:w="1134"/>
            <w:shd w:fill="003366"/>
          </w:tcPr>
          <w:p>
            <w:pPr>
              <w:jc w:val="left"/>
            </w:pPr>
            <w:r/>
            <w:r>
              <w:rPr>
                <w:rFonts w:ascii="Calibri" w:hAnsi="Calibri"/>
                <w:b/>
                <w:color w:val="FFFFFF"/>
                <w:sz w:val="20"/>
              </w:rPr>
              <w:t>Aannemers</w:t>
            </w:r>
          </w:p>
        </w:tc>
      </w:tr>
      <w:tr>
        <w:tc>
          <w:tcPr>
            <w:tcW w:type="dxa" w:w="1984"/>
          </w:tcPr>
          <w:p>
            <w:r/>
            <w:r>
              <w:rPr>
                <w:rFonts w:ascii="Calibri" w:hAnsi="Calibri"/>
                <w:color w:val="1F2937"/>
                <w:sz w:val="20"/>
              </w:rPr>
              <w:t>Beleid goedkeuren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RI&amp;E onderhouden</w:t>
            </w:r>
          </w:p>
        </w:tc>
        <w:tc>
          <w:tcPr>
            <w:tcW w:type="dxa" w:w="1134"/>
            <w:shd w:fill="F8F9FA"/>
          </w:tcPr>
          <w:p>
            <w:r/>
            <w:r>
              <w:rPr>
                <w:rFonts w:ascii="Calibri" w:hAnsi="Calibri"/>
                <w:color w:val="1F2937"/>
                <w:sz w:val="20"/>
              </w:rPr>
              <w:t>A</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C</w:t>
            </w:r>
          </w:p>
        </w:tc>
        <w:tc>
          <w:tcPr>
            <w:tcW w:type="dxa" w:w="1134"/>
            <w:shd w:fill="F8F9FA"/>
          </w:tcPr>
          <w:p>
            <w:r/>
            <w:r>
              <w:rPr>
                <w:rFonts w:ascii="Calibri" w:hAnsi="Calibri"/>
                <w:color w:val="1F2937"/>
                <w:sz w:val="20"/>
              </w:rPr>
              <w:t>I</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Chemisch register bijwerken</w:t>
            </w:r>
          </w:p>
        </w:tc>
        <w:tc>
          <w:tcPr>
            <w:tcW w:type="dxa" w:w="1134"/>
          </w:tcPr>
          <w:p>
            <w:r/>
            <w:r>
              <w:rPr>
                <w:rFonts w:ascii="Calibri" w:hAnsi="Calibri"/>
                <w:color w:val="1F2937"/>
                <w:sz w:val="20"/>
              </w:rPr>
              <w:t>I</w:t>
            </w:r>
          </w:p>
        </w:tc>
        <w:tc>
          <w:tcPr>
            <w:tcW w:type="dxa" w:w="1247"/>
          </w:tcPr>
          <w:p>
            <w:r/>
            <w:r>
              <w:rPr>
                <w:rFonts w:ascii="Calibri" w:hAnsi="Calibri"/>
                <w:color w:val="1F2937"/>
                <w:sz w:val="20"/>
              </w:rPr>
              <w:t>C</w:t>
            </w:r>
          </w:p>
        </w:tc>
        <w:tc>
          <w:tcPr>
            <w:tcW w:type="dxa" w:w="1247"/>
          </w:tcPr>
          <w:p>
            <w:r/>
            <w:r>
              <w:rPr>
                <w:rFonts w:ascii="Calibri" w:hAnsi="Calibri"/>
                <w:color w:val="1F2937"/>
                <w:sz w:val="20"/>
              </w:rPr>
              <w:t>R</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Stoffenscheiding controleren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R</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Lekbak inspectie uitvoeren</w:t>
            </w:r>
          </w:p>
        </w:tc>
        <w:tc>
          <w:tcPr>
            <w:tcW w:type="dxa" w:w="1134"/>
          </w:tcPr>
          <w:p>
            <w:r/>
            <w:r>
              <w:rPr>
                <w:rFonts w:ascii="Calibri" w:hAnsi="Calibri"/>
                <w:color w:val="1F2937"/>
                <w:sz w:val="20"/>
              </w:rPr>
              <w:t>I</w:t>
            </w:r>
          </w:p>
        </w:tc>
        <w:tc>
          <w:tcPr>
            <w:tcW w:type="dxa" w:w="1247"/>
          </w:tcPr>
          <w:p>
            <w:r/>
            <w:r>
              <w:rPr>
                <w:rFonts w:ascii="Calibri" w:hAnsi="Calibri"/>
                <w:color w:val="1F2937"/>
                <w:sz w:val="20"/>
              </w:rPr>
              <w:t>C</w:t>
            </w:r>
          </w:p>
        </w:tc>
        <w:tc>
          <w:tcPr>
            <w:tcW w:type="dxa" w:w="1247"/>
          </w:tcPr>
          <w:p>
            <w:r/>
            <w:r>
              <w:rPr>
                <w:rFonts w:ascii="Calibri" w:hAnsi="Calibri"/>
                <w:color w:val="1F2937"/>
                <w:sz w:val="20"/>
              </w:rPr>
              <w:t>A</w:t>
            </w:r>
          </w:p>
        </w:tc>
        <w:tc>
          <w:tcPr>
            <w:tcW w:type="dxa" w:w="1134"/>
          </w:tcPr>
          <w:p>
            <w:r/>
            <w:r>
              <w:rPr>
                <w:rFonts w:ascii="Calibri" w:hAnsi="Calibri"/>
                <w:color w:val="1F2937"/>
                <w:sz w:val="20"/>
              </w:rPr>
              <w:t>R</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SDS beschikbaarheid waarborgen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I</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Personeel instrueren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Inspecties uitvoeren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R</w:t>
            </w:r>
          </w:p>
        </w:tc>
        <w:tc>
          <w:tcPr>
            <w:tcW w:type="dxa" w:w="1247"/>
            <w:shd w:fill="F8F9FA"/>
          </w:tcPr>
          <w:p>
            <w:r/>
            <w:r>
              <w:rPr>
                <w:rFonts w:ascii="Calibri" w:hAnsi="Calibri"/>
                <w:color w:val="1F2937"/>
                <w:sz w:val="20"/>
              </w:rPr>
              <w:t>C</w:t>
            </w:r>
          </w:p>
        </w:tc>
        <w:tc>
          <w:tcPr>
            <w:tcW w:type="dxa" w:w="1134"/>
            <w:shd w:fill="F8F9FA"/>
          </w:tcPr>
          <w:p>
            <w:r/>
            <w:r>
              <w:rPr>
                <w:rFonts w:ascii="Calibri" w:hAnsi="Calibri"/>
                <w:color w:val="1F2937"/>
                <w:sz w:val="20"/>
              </w:rPr>
              <w:t>C</w:t>
            </w:r>
          </w:p>
        </w:tc>
        <w:tc>
          <w:tcPr>
            <w:tcW w:type="dxa" w:w="1134"/>
            <w:shd w:fill="F8F9FA"/>
          </w:tcPr>
          <w:p>
            <w:r/>
            <w:r>
              <w:rPr>
                <w:rFonts w:ascii="Calibri" w:hAnsi="Calibri"/>
                <w:color w:val="1F2937"/>
                <w:sz w:val="20"/>
              </w:rPr>
              <w:t>I</w:t>
            </w:r>
          </w:p>
        </w:tc>
      </w:tr>
      <w:tr>
        <w:tc>
          <w:tcPr>
            <w:tcW w:type="dxa" w:w="1984"/>
          </w:tcPr>
          <w:p>
            <w:r/>
            <w:r>
              <w:rPr>
                <w:rFonts w:ascii="Calibri" w:hAnsi="Calibri"/>
                <w:color w:val="1F2937"/>
                <w:sz w:val="20"/>
              </w:rPr>
              <w:t>Calamiteitenplan onderhouden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r>
        <w:tc>
          <w:tcPr>
            <w:tcW w:type="dxa" w:w="1984"/>
            <w:shd w:fill="F8F9FA"/>
          </w:tcPr>
          <w:p>
            <w:r/>
            <w:r>
              <w:rPr>
                <w:rFonts w:ascii="Calibri" w:hAnsi="Calibri"/>
                <w:color w:val="1F2937"/>
                <w:sz w:val="20"/>
              </w:rPr>
              <w:t>Incidenten rapporteren</w:t>
            </w:r>
          </w:p>
        </w:tc>
        <w:tc>
          <w:tcPr>
            <w:tcW w:type="dxa" w:w="1134"/>
            <w:shd w:fill="F8F9FA"/>
          </w:tcPr>
          <w:p>
            <w:r/>
            <w:r>
              <w:rPr>
                <w:rFonts w:ascii="Calibri" w:hAnsi="Calibri"/>
                <w:color w:val="1F2937"/>
                <w:sz w:val="20"/>
              </w:rPr>
              <w:t>I</w:t>
            </w:r>
          </w:p>
        </w:tc>
        <w:tc>
          <w:tcPr>
            <w:tcW w:type="dxa" w:w="1247"/>
            <w:shd w:fill="F8F9FA"/>
          </w:tcPr>
          <w:p>
            <w:r/>
            <w:r>
              <w:rPr>
                <w:rFonts w:ascii="Calibri" w:hAnsi="Calibri"/>
                <w:color w:val="1F2937"/>
                <w:sz w:val="20"/>
              </w:rPr>
              <w:t>C</w:t>
            </w:r>
          </w:p>
        </w:tc>
        <w:tc>
          <w:tcPr>
            <w:tcW w:type="dxa" w:w="1247"/>
            <w:shd w:fill="F8F9FA"/>
          </w:tcPr>
          <w:p>
            <w:r/>
            <w:r>
              <w:rPr>
                <w:rFonts w:ascii="Calibri" w:hAnsi="Calibri"/>
                <w:color w:val="1F2937"/>
                <w:sz w:val="20"/>
              </w:rPr>
              <w:t>A</w:t>
            </w:r>
          </w:p>
        </w:tc>
        <w:tc>
          <w:tcPr>
            <w:tcW w:type="dxa" w:w="1134"/>
            <w:shd w:fill="F8F9FA"/>
          </w:tcPr>
          <w:p>
            <w:r/>
            <w:r>
              <w:rPr>
                <w:rFonts w:ascii="Calibri" w:hAnsi="Calibri"/>
                <w:color w:val="1F2937"/>
                <w:sz w:val="20"/>
              </w:rPr>
              <w:t>R</w:t>
            </w:r>
          </w:p>
        </w:tc>
        <w:tc>
          <w:tcPr>
            <w:tcW w:type="dxa" w:w="1134"/>
            <w:shd w:fill="F8F9FA"/>
          </w:tcPr>
          <w:p>
            <w:r/>
            <w:r>
              <w:rPr>
                <w:rFonts w:ascii="Calibri" w:hAnsi="Calibri"/>
                <w:color w:val="1F2937"/>
                <w:sz w:val="20"/>
              </w:rPr>
              <w:t>R</w:t>
            </w:r>
          </w:p>
        </w:tc>
      </w:tr>
      <w:tr>
        <w:tc>
          <w:tcPr>
            <w:tcW w:type="dxa" w:w="1984"/>
          </w:tcPr>
          <w:p>
            <w:r/>
            <w:r>
              <w:rPr>
                <w:rFonts w:ascii="Calibri" w:hAnsi="Calibri"/>
                <w:color w:val="1F2937"/>
                <w:sz w:val="20"/>
              </w:rPr>
              <w:t>Aannemers instrueren</w:t>
            </w:r>
          </w:p>
        </w:tc>
        <w:tc>
          <w:tcPr>
            <w:tcW w:type="dxa" w:w="1134"/>
          </w:tcPr>
          <w:p>
            <w:r/>
            <w:r>
              <w:rPr>
                <w:rFonts w:ascii="Calibri" w:hAnsi="Calibri"/>
                <w:color w:val="1F2937"/>
                <w:sz w:val="20"/>
              </w:rPr>
              <w:t>A</w:t>
            </w:r>
          </w:p>
        </w:tc>
        <w:tc>
          <w:tcPr>
            <w:tcW w:type="dxa" w:w="1247"/>
          </w:tcPr>
          <w:p>
            <w:r/>
            <w:r>
              <w:rPr>
                <w:rFonts w:ascii="Calibri" w:hAnsi="Calibri"/>
                <w:color w:val="1F2937"/>
                <w:sz w:val="20"/>
              </w:rPr>
              <w:t>R</w:t>
            </w:r>
          </w:p>
        </w:tc>
        <w:tc>
          <w:tcPr>
            <w:tcW w:type="dxa" w:w="1247"/>
          </w:tcPr>
          <w:p>
            <w:r/>
            <w:r>
              <w:rPr>
                <w:rFonts w:ascii="Calibri" w:hAnsi="Calibri"/>
                <w:color w:val="1F2937"/>
                <w:sz w:val="20"/>
              </w:rPr>
              <w:t>C</w:t>
            </w:r>
          </w:p>
        </w:tc>
        <w:tc>
          <w:tcPr>
            <w:tcW w:type="dxa" w:w="1134"/>
          </w:tcPr>
          <w:p>
            <w:r/>
            <w:r>
              <w:rPr>
                <w:rFonts w:ascii="Calibri" w:hAnsi="Calibri"/>
                <w:color w:val="1F2937"/>
                <w:sz w:val="20"/>
              </w:rPr>
              <w:t>I</w:t>
            </w:r>
          </w:p>
        </w:tc>
        <w:tc>
          <w:tcPr>
            <w:tcW w:type="dxa" w:w="1134"/>
          </w:tcPr>
          <w:p>
            <w:r/>
            <w:r>
              <w:rPr>
                <w:rFonts w:ascii="Calibri" w:hAnsi="Calibri"/>
                <w:color w:val="1F2937"/>
                <w:sz w:val="20"/>
              </w:rPr>
              <w:t>I</w:t>
            </w:r>
          </w:p>
        </w:tc>
      </w:tr>
    </w:tbl>
    <w:p/>
    <w:p>
      <w:pPr>
        <w:spacing w:after="120"/>
      </w:pPr>
      <w:r>
        <w:rPr>
          <w:rFonts w:ascii="Calibri" w:hAnsi="Calibri"/>
          <w:b w:val="0"/>
          <w:i w:val="0"/>
          <w:color w:val="1F2937"/>
          <w:sz w:val="22"/>
        </w:rPr>
        <w:t>Directie. De directie is eindverantwoordelijk (Accountable) voor de vaststelling, uitvoering en handhaving van dit beleid. De directie stelt de middelen beschikbaar die nodig zijn voor compliance, keurt het beleid formeel goed en draagt zorg voor een organisatiecultuur waarin veiligheid prioriteit heeft. De directie ontvangt periodieke rapportages over de compliance-status en interveneert bij structurele afwijkingen.</w:t>
      </w:r>
    </w:p>
    <w:p>
      <w:pPr>
        <w:spacing w:after="120"/>
      </w:pPr>
      <w:r>
        <w:rPr>
          <w:rFonts w:ascii="Calibri" w:hAnsi="Calibri"/>
          <w:b w:val="0"/>
          <w:i w:val="0"/>
          <w:color w:val="1F2937"/>
          <w:sz w:val="22"/>
        </w:rPr>
        <w:t>HSEQ Manager. De HSEQ Manager is verantwoordelijk (Responsible) voor de operationele uitvoering van het beleid. Dit omvat het onderhouden van de RI&amp;E, het uitvoeren van inspecties, het instrueren van personeel en het onderhouden van het calamiteitenplan. De HSEQ Manager fungeert als primair aanspreekpunt voor regelgevingsvraagstukken en toetst wijzigingen in stofassortiment of opslagconfiguratie aan PGS 15-eisen.</w:t>
      </w:r>
    </w:p>
    <w:p>
      <w:pPr>
        <w:spacing w:after="120"/>
      </w:pPr>
      <w:r>
        <w:rPr>
          <w:rFonts w:ascii="Calibri" w:hAnsi="Calibri"/>
          <w:b w:val="0"/>
          <w:i w:val="0"/>
          <w:color w:val="1F2937"/>
          <w:sz w:val="22"/>
        </w:rPr>
        <w:t>Lab Manager. De Lab Manager is verantwoordelijk voor het actueel houden van het chemisch register en de beschikbaarheid van veiligheidsinformatiebladen. De Lab Manager is Accountable voor de dagelijkse controle van de stoffenscheiding, lekbakinspecties en incidentrapportage vanuit het laboratorium. Wijzigingen in stoffen of volumes worden gemeld aan de HSEQ Manager.</w:t>
      </w:r>
    </w:p>
    <w:p>
      <w:pPr>
        <w:spacing w:after="120"/>
      </w:pPr>
      <w:r>
        <w:rPr>
          <w:rFonts w:ascii="Calibri" w:hAnsi="Calibri"/>
          <w:b w:val="0"/>
          <w:i w:val="0"/>
          <w:color w:val="1F2937"/>
          <w:sz w:val="22"/>
        </w:rPr>
        <w:t>Medewerkers. Medewerkers zijn verantwoordelijk voor het volgen van de instructies in dit beleid en het rapporteren van incidenten, near-misses en onveilige situaties. Medewerkers voeren dagelijkse controles uit op lekbakken en stoffenscheiding conform de werkinstructies en dragen de voorgeschreven PBM's bij het hanteren van gevaarlijke stoffen.</w:t>
      </w:r>
    </w:p>
    <w:p>
      <w:pPr>
        <w:spacing w:after="120"/>
      </w:pPr>
      <w:r>
        <w:rPr>
          <w:rFonts w:ascii="Calibri" w:hAnsi="Calibri"/>
          <w:b w:val="0"/>
          <w:i w:val="0"/>
          <w:color w:val="1F2937"/>
          <w:sz w:val="22"/>
        </w:rPr>
        <w:t>Aannemers. Aannemers die werkzaamheden uitvoeren op de faciliteit volgen de veiligheidsinstructies van Phoenix Metals. Aannemers zijn verantwoordelijk voor het rapporteren van incidenten en het naleven van de opslagregels gedurende hun aanwezigheid. Aannemers ontvangen voorafgaand aan de werkzaamheden een instructie over de locatie-specifieke risico's en opslagvoorschriften.</w:t>
      </w:r>
    </w:p>
    <w:p>
      <w:pPr>
        <w:pStyle w:val="Heading1"/>
      </w:pPr>
      <w:r>
        <w:t>6. Opslagprincipes</w:t>
      </w:r>
    </w:p>
    <w:p>
      <w:pPr>
        <w:spacing w:after="120"/>
      </w:pPr>
      <w:r>
        <w:rPr>
          <w:rFonts w:ascii="Calibri" w:hAnsi="Calibri"/>
          <w:b w:val="0"/>
          <w:i w:val="0"/>
          <w:color w:val="1F2937"/>
          <w:sz w:val="22"/>
        </w:rPr>
        <w:t>Dit hoofdstuk beschrijft de fundamentele opslagprincipes die gelden voor alle gevaarlijke stoffen op de Phoenix Metals faciliteit, gebaseerd op PGS 15:2025.</w:t>
      </w:r>
    </w:p>
    <w:p>
      <w:pPr>
        <w:pStyle w:val="Heading2"/>
      </w:pPr>
      <w:r>
        <w:t>6.1 Algemene Beginselen</w:t>
      </w:r>
    </w:p>
    <w:p>
      <w:pPr>
        <w:spacing w:after="120"/>
      </w:pPr>
      <w:r>
        <w:rPr>
          <w:rFonts w:ascii="Calibri" w:hAnsi="Calibri"/>
          <w:b w:val="0"/>
          <w:i w:val="0"/>
          <w:color w:val="1F2937"/>
          <w:sz w:val="22"/>
        </w:rPr>
        <w:t>Maatregel Welzijn 1 (MW1) uit PGS 15:2025 stelt dat de houder van een opslagvoorziening een algemene zorgplicht heeft om ervoor te zorgen dat de opslag van gevaarlijke stoffen geen onaanvaardbare risico's oplevert voor mens en milieu. Deze zorgplicht geldt onverkort voor Phoenix Metals en omvat de gehele levenscyclus van opslag: van ontvangst via opslag tot afvoer. De zorgplicht vereist een proactieve houding waarbij risico's worden geïdentificeerd voordat zich incidenten voordoen.</w:t>
      </w:r>
    </w:p>
    <w:p>
      <w:pPr>
        <w:spacing w:after="120"/>
      </w:pPr>
      <w:r>
        <w:rPr>
          <w:rFonts w:ascii="Calibri" w:hAnsi="Calibri"/>
          <w:b w:val="0"/>
          <w:i w:val="0"/>
          <w:color w:val="1F2937"/>
          <w:sz w:val="22"/>
        </w:rPr>
        <w:t>Maatregel 2 (M2) schrijft voor dat gevaarlijke stoffen uitsluitend worden opgeslagen in daarvoor bestemde voorzieningen. Dit betekent dat opslag alleen mag plaatsvinden in ruimtes die conform de PGS 15-eisen zijn ingericht: met adequate vloeistofopvang, voldoende ventilatie, correcte stoffenscheiding en fysieke bescherming. Ad-hoc opslag op locaties die niet hiervoor zijn ingericht is verboden. Phoenix Metals borgt dit door het aanwijzen van specifieke opslaglocaties in het chemisch register.</w:t>
      </w:r>
    </w:p>
    <w:p>
      <w:pPr>
        <w:pStyle w:val="Heading2"/>
      </w:pPr>
      <w:r>
        <w:t>6.2 Veiligheidsniveaus</w:t>
      </w:r>
    </w:p>
    <w:p>
      <w:pPr>
        <w:spacing w:after="120"/>
      </w:pPr>
      <w:r>
        <w:rPr>
          <w:rFonts w:ascii="Calibri" w:hAnsi="Calibri"/>
          <w:b w:val="0"/>
          <w:i w:val="0"/>
          <w:color w:val="1F2937"/>
          <w:sz w:val="22"/>
        </w:rPr>
        <w:t>PGS 15:2025 kent een gelaagd systeem van veiligheidsniveaus (Tabel 6) dat wordt bepaald door het type en de hoeveelheid opgeslagen gevaarlijke stoffen. De niveaus lopen van basisniveau tot VN-A (hoogste niveau met semi-automatische blussystemen). De vereisten worden strenger naarmate de opgeslagen hoeveelheden toenemen en de gevaren van de stoffen groter zijn.</w:t>
      </w:r>
    </w:p>
    <w:p>
      <w:pPr>
        <w:spacing w:after="120"/>
      </w:pPr>
      <w:r>
        <w:rPr>
          <w:rFonts w:ascii="Calibri" w:hAnsi="Calibri"/>
          <w:b w:val="0"/>
          <w:i w:val="0"/>
          <w:color w:val="1F2937"/>
          <w:sz w:val="22"/>
        </w:rPr>
        <w:t>Phoenix Metals valt onder het basisveiligheidsniveau. Met een totaal van circa 390 kg ADR-klasse 8 verpakkingsgroep II stoffen (onbrandbaar/niet brandonderhoudend) zit de faciliteit ver onder de ondergrens van 2.500 kg uit Tabel 7 en ver onder de VN-drempel van 10.000 kg. Dit betekent dat geen aanvullend veiligheidsniveau (A, B of C) vereist is. Echter, de stoffenscheidingseis uit Tabel 9 (maatregel M35) geldt onafhankelijk van het veiligheidsniveau en is altijd van toepassing.</w:t>
      </w:r>
    </w:p>
    <w:p>
      <w:pPr>
        <w:pStyle w:val="Heading2"/>
      </w:pPr>
      <w:r>
        <w:t>6.3 Stoffenscheiding</w:t>
      </w:r>
    </w:p>
    <w:p>
      <w:pPr>
        <w:spacing w:after="120"/>
      </w:pPr>
      <w:r>
        <w:rPr>
          <w:rFonts w:ascii="Calibri" w:hAnsi="Calibri"/>
          <w:b w:val="0"/>
          <w:i w:val="0"/>
          <w:color w:val="1F2937"/>
          <w:sz w:val="22"/>
        </w:rPr>
        <w:t>Tabel 9 uit PGS 15 Bijlage E definieert de scheidingseisen tussen stoffen van verschillende ADR-klassen. De scheidingniveaus zijn: A (apart brandcompartiment of 5 m vrije zone), B (beoordelen: gescheiden opslag tenzij VIB anders aantoont), V (aparte vakken) en geen scheiding vereist. Voor Phoenix Metals is de kritieke combinatie NaOH 50% (base) versus H₂SO₄ in alle concentraties (zuur). Tabel 9 geeft A-scheiding voor ADR 8 ↔ ADR 8, wat inhoudt dat deze stoffen niet in hetzelfde vak mogen worden opgeslagen.</w:t>
      </w:r>
    </w:p>
    <w:p>
      <w:pPr>
        <w:spacing w:after="120"/>
      </w:pPr>
      <w:r>
        <w:rPr>
          <w:rFonts w:ascii="Calibri" w:hAnsi="Calibri"/>
          <w:b w:val="0"/>
          <w:i w:val="0"/>
          <w:color w:val="1F2937"/>
          <w:sz w:val="22"/>
        </w:rPr>
        <w:t>De E.3-uitzondering biedt een oplossing voor opslag onder 10.000 kg: scheiding binnen één vak is toegestaan mits een minimale vrije afstand van 2 meter wordt aangehouden, of een buffer met goedgekeurde combinatiestof, of aparte lekbakken. Phoenix Metals past deze uitzondering toe door NaOH 50% en H₂SO₄ elk in een eigen lekbak te plaatsen met gemarkeerde vakken en minimaal 2 m afstand. Calciumoxide wordt apart opgeslagen van H₂SO₄ gezien de A-scheidingseis (zuur-base combinatie).</w:t>
      </w:r>
    </w:p>
    <w:p>
      <w:pPr>
        <w:pStyle w:val="Heading2"/>
      </w:pPr>
      <w:r>
        <w:t>6.4 Vloeistofopvang</w:t>
      </w:r>
    </w:p>
    <w:p>
      <w:pPr>
        <w:spacing w:after="120"/>
      </w:pPr>
      <w:r>
        <w:rPr>
          <w:rFonts w:ascii="Calibri" w:hAnsi="Calibri"/>
          <w:b w:val="0"/>
          <w:i w:val="0"/>
          <w:color w:val="1F2937"/>
          <w:sz w:val="22"/>
        </w:rPr>
        <w:t>Maatregel 30 (M30) vereist dat alle vloeibare gevaarlijke stoffen worden opgeslagen met adequate vloeistofopvang ter voorkoming van lekkagespreiding. De opvangcapaciteit moet minimaal 110% bedragen van het volume van de grootste afzonderlijke verpakking in het vak. Dit principe geldt voor alle vloeibare ADR-klasse 8 stoffen in de Phoenix Metals opslag.</w:t>
      </w:r>
    </w:p>
    <w:p>
      <w:pPr>
        <w:spacing w:after="120"/>
      </w:pPr>
      <w:r>
        <w:rPr>
          <w:rFonts w:ascii="Calibri" w:hAnsi="Calibri"/>
          <w:b w:val="0"/>
          <w:i w:val="0"/>
          <w:color w:val="1F2937"/>
          <w:sz w:val="22"/>
        </w:rPr>
        <w:t>Voor de 25-liter jerrycans (NaOH 50% en H₂SO₄ 25%) betekent dit een vereiste lekbakcapaciteit van minimaal 27,5 liter per bak. De 10-liter jerrycans vereisen een minimale opvang van 11 liter. Lekbakken moeten bestand zijn tegen de chemische eigenschappen van de opgeslagen stoffen — bijtende stoffen vereisen bakken van polyethyleen (PE) of met een chemisch bestendige coating. Phoenix Metals zorgt voor aparte lekbakken per stofcategorie conform de stoffenscheidingseisen uit paragraaf 6.3.</w:t>
      </w:r>
    </w:p>
    <w:p>
      <w:pPr>
        <w:pStyle w:val="Heading2"/>
      </w:pPr>
      <w:r>
        <w:t>6.5 Maximale Hoeveelheden</w:t>
      </w:r>
    </w:p>
    <w:p>
      <w:pPr>
        <w:spacing w:after="120"/>
      </w:pPr>
      <w:r>
        <w:rPr>
          <w:rFonts w:ascii="Calibri" w:hAnsi="Calibri"/>
          <w:b w:val="0"/>
          <w:i w:val="0"/>
          <w:color w:val="1F2937"/>
          <w:sz w:val="22"/>
        </w:rPr>
        <w:t>Maatregel 15 (M15) definieert de maximale hoeveelheden gevaarlijke stoffen per brandcompartiment. Voor het basisveiligheidsniveau geldt een maximale oppervlakte van 1.000 m² bij opslag onder 20.000 kg en 2.500 m² boven 20.000 kg. Phoenix Metals bevindt zich met circa 390 kg en één storage rack ver onder deze limieten. Desalniettemin is het essentieel dat bij uitbreiding van het stoffenassortiment of de opslagcapaciteit de drempelwaarden uit Tabel 6 en Tabel 7 opnieuw worden geëvalueerd.</w:t>
      </w:r>
    </w:p>
    <w:p>
      <w:pPr>
        <w:spacing w:after="120"/>
      </w:pPr>
      <w:r>
        <w:rPr>
          <w:rFonts w:ascii="Calibri" w:hAnsi="Calibri"/>
          <w:b w:val="0"/>
          <w:i w:val="0"/>
          <w:color w:val="1F2937"/>
          <w:sz w:val="22"/>
        </w:rPr>
        <w:t>Bij overschrijding van de 10.000 kg-drempel voor ADR-klasse 8 verpakkingsgroep I schuift het vereiste veiligheidsniveau op naar VN-B (60 min Wbdbo, aanvullende blus- en detectie-eisen). Bij 20.000 kg geldt VN-A met VBB-installatie en automatische branddetectie. Phoenix Metals documenteert actuele volumes in het chemisch register en toetst elke wijziging aan de PGS 15-drempelwaarden om tijdig te anticiperen op escalerende veiligheidseisen.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b/>
      <w:color w:val="003366"/>
      <w:sz w:val="24"/>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b/>
      <w:i/>
      <w:iCs/>
      <w:color w:val="003366"/>
      <w:sz w:val="24"/>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