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003366"/>
          <w:sz w:val="52"/>
        </w:rPr>
        <w:t>PGS 15:2025 Audit Checklist</w:t>
      </w:r>
    </w:p>
    <w:p>
      <w:pPr>
        <w:jc w:val="center"/>
      </w:pPr>
      <w:r>
        <w:rPr>
          <w:color w:val="003366"/>
          <w:sz w:val="36"/>
        </w:rPr>
        <w:t>Phoenix Metals v4.0</w:t>
      </w:r>
    </w:p>
    <w:p/>
    <w:p>
      <w:pPr>
        <w:jc w:val="center"/>
      </w:pPr>
      <w:r>
        <w:rPr>
          <w:sz w:val="22"/>
        </w:rPr>
        <w:t>Gebaseerd op PGS 15:2025 versie 1.0 (januari 2025)</w:t>
        <w:br/>
      </w:r>
      <w:r>
        <w:rPr>
          <w:sz w:val="22"/>
        </w:rPr>
        <w:t>Definitief — Audit gebruiksklaar</w:t>
      </w:r>
    </w:p>
    <w:p>
      <w:r>
        <w:br w:type="page"/>
      </w:r>
    </w:p>
    <w:p>
      <w:pPr>
        <w:pStyle w:val="Heading1"/>
      </w:pPr>
      <w:r>
        <w:t>Algemene Informatie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Auditdatum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Auditor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Locatie</w:t>
            </w:r>
          </w:p>
        </w:tc>
        <w:tc>
          <w:tcPr>
            <w:tcW w:type="dxa" w:w="6803"/>
          </w:tcPr>
          <w:p>
            <w:r>
              <w:t>Phoenix Metals</w:t>
            </w:r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Scope</w:t>
            </w:r>
          </w:p>
        </w:tc>
        <w:tc>
          <w:tcPr>
            <w:tcW w:type="dxa" w:w="6803"/>
          </w:tcPr>
          <w:p>
            <w:r>
              <w:t>PGS 15:2025 opslag gevaarlijke stoffen</w:t>
            </w:r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Audittype</w:t>
            </w:r>
          </w:p>
        </w:tc>
        <w:tc>
          <w:tcPr>
            <w:tcW w:type="dxa" w:w="6803"/>
          </w:tcPr>
          <w:p>
            <w:r>
              <w:t>☐ Intern  ☐ Extern  ☐ Heraudit</w:t>
            </w:r>
          </w:p>
        </w:tc>
      </w:tr>
      <w:tr>
        <w:tc>
          <w:tcPr>
            <w:tcW w:type="dxa" w:w="2835"/>
          </w:tcPr>
          <w:p>
            <w:r>
              <w:rPr>
                <w:b/>
                <w:sz w:val="20"/>
              </w:rPr>
              <w:t>Status</w:t>
            </w:r>
          </w:p>
        </w:tc>
        <w:tc>
          <w:tcPr>
            <w:tcW w:type="dxa" w:w="6803"/>
          </w:tcPr>
          <w:p>
            <w:r>
              <w:t>☐ Gepland  ☐ Uitgevoerd  ☐ Afgehandeld</w:t>
            </w:r>
          </w:p>
        </w:tc>
      </w:tr>
    </w:tbl>
    <w:p/>
    <w:p>
      <w:pPr>
        <w:pStyle w:val="Heading1"/>
      </w:pPr>
      <w:r>
        <w:t>Deel A: Algemene Eisen (PGS 15:2025 Hoofdstuk 1–3)</w:t>
      </w:r>
    </w:p>
    <w:p>
      <w:pPr/>
      <w:r>
        <w:t>Betreft algemene eisen rond vergunningen, organisatie en bevoegdheden.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1.1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Bedrijfsomschrijving aanwezig en actueel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Vergunningen compleet en geldig (Wm/Wabo)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1.3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Bouwtechnische vergunningen aanwezig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Organisatiestructuur HSEQ gedocumenteerd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Bevoegdheid en verantwoordelijkheden vastgelegd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2.3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BHV-organisatie ingericht en getraind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2.4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Aanwezigheidsregistratie opslagruimte actief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Risico-inventarisatie &amp; -evaluatie (RI&amp;E) actueel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Beheersmaatregelen geïmplementeerd conform RI&amp;E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3.3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Procedure wijzigingen opslag doorgevoerd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Deel B: Opslag Gevaarlijke Stoffen (PGS 15:2025 Hoofdstuk 4–5)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4.1.1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Opslagoverzicht stoffen actueel en compleet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Maximum hoeveelheden per opslaglocatie gerespecteerd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4.1.3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Stoffen geclassificeerd conform CLP/GHS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Lekbeker / opvangbak aanwezig en functioneel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Lekbeker capaciteit voldoende (≥110% grootste vat / 10% totaal)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4.2.3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Lekbeker visueel inspecteerbaar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4.3.1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Ventilatie adequaat (natuurlijk en/of mechanisch)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4.3.2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Ventilatiecapaciteit conform PGS 15 eisen (luchtverversing)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4.3.3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Ventilatieopeningen niet afgesloten/geblokkeerd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4.4.1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Constructieve veiligheid: brandwerendheid vloeren/wanden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4.4.2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Constructieve veiligheid: draagkracht vloeren toereikend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4.4.3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Constructieve veiligheid: dakconstructie (explosieontlastend indien nodig)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4.5.1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Segregatie stoffen correct (zuur/base gescheiden)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4.5.2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Segregatie conform separatietabel PGS 15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4.5.3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Brandbare stoffen gescheiden van oxiderende stoffen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4.6.1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Verpakkingsvoorschriften nageleefd (ADR/CLP)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4.6.2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Verpakkingen in goede staat (geen lekkage, corrosie)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4.6.3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Binnen-opslag (gasflessen, kleine verpakkingen) conform eisen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4.7.1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Etikettering compleet en leesbaar op alle verpakkingen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4.7.2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GHS-gevaarpictogrammen zichtbaar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4.7.3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H-zinnen en P-zinnen vermeld conform CLP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5.1.1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Buitenslag eisen nageleefd (afstand tot perceelgrens)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5.1.2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Binnenslag specifieke eisen toegepast waar van toepassing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5.2.1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Opslag van giftige stoffen conform specifieke eisen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5.2.2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CMR-stoffen opslag conform aanvullende eisen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Deel C: Veiligheidssystemen (PGS 15:2025 Hoofdstuk 6–7)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6.1.1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Branddetectiesysteem aanwezig en functioneel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Branddetectie getest binnen kalibratieperiode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6.2.1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Brandblusmiddelen adequaat (type en capaciteit)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6.2.2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Brandblusapparatuur gekeurd en toegankelijk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6.2.3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Automatische blusinstallatie (indien vereist) operationeel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Gasdetectiesysteem aanwezig (indien van toepassing)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Gasdetectie gekoppeld aan ventilatie/alarm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6.4.1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Alarmeringssysteem (brand/gas) operationeel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6.4.2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Alarmering hoorbaar/zichtbaar in alle ruimtes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7.1.1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Noodverlichting aanwezig en functioneel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7.1.2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Noodverlichting getest (periodieke controle)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7.2.1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Calamiteitenkaart aanwezig en zichtbaar bij ingang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7.2.2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Calamiteitenkaart bevat juiste contactgegevens en procedures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7.3.1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Vluchtroutes vrij en gemarkeerd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7.3.2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Nooduitgangen vrij toegankelijk en van binnenuit te openen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Deel D: Documentatie (PGS 15:2025 Hoofdstuk 8)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PGS 15 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8.1.1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Safety Data Sheets (SDS) actueel en toegankelijk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8.1.2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SDS'en in taal begrijpelijk voor medewerkers (NL/EN)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8.1.3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SDS bereikbaar binnen 5 minuten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8.2.1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RI&amp;E opslag aanwezig en actueel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8.2.2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RI&amp;E bevat alle opgeslagen stoffen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8.3.1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Task Risk Analyses (TRA's) per werkzaamheid beschikbaar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8.3.2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TRA's geautoriseerd door bevoegd persoon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8.4.1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Calamiteitenplan actueel en goedgekeurd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8.4.2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Calamiteitenplan bevat specifieke stof-scenario's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8.5.1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Inspectierapporten gearchiveerd en raadpleegbaar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8.5.2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Inspecties uitgevoerd conform planning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8.6.1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Oefenverslagen (brand/gas/evacuatie) aanwezig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8.6.2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Oefenfrequentie conform wettelijke eisen (≥ 1x/jaar)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8.7.1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Onderhoudslogboeken installaties bijgewerkt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Deel E: Organisatorische Maatregelen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Werkplekinstructies (WPI's) aanwezig per werkplek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WPI's bevatten juiste stof-specifieke instructies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PBM's beschikbaar, geïnspecteerd en binnen houdbaarheid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E.4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PBM-selectie conform SDS-eisen en RI&amp;E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Training medewerkers gedocumenteerd en actueel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E.6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Inwerkinstructie nieuwe medewerkers conform HSEQ-beleid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Taakverdeling HSEQ duidelijk en gecommuniceerd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E.8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Toezicht op opslagruimte geregeld (deurbeheer)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E.9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Procedure voor ontvangst/vervoer stoffen vastgelegd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E.10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Incidentenregistratie actief en geëvalueerd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Deel F: Specifieke Eisen Phoenix Metals</w:t>
      </w:r>
    </w:p>
    <w:p>
      <w:pPr/>
      <w:r>
        <w:rPr>
          <w:i/>
        </w:rPr>
        <w:t>Specifieke eisen gebaseerd op Phoenix Metals werkzaamheden (metaalrecycling, CMR-stoffen, NORM).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17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Ref.</w:t>
            </w:r>
          </w:p>
        </w:tc>
        <w:tc>
          <w:tcPr>
            <w:tcW w:type="dxa" w:w="3402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Eis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11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CMR-ash opslag conform PGS 15 + aanvullende eisen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F.2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CMR-stoffen gescheiden opgeslagen (afgesloten ruimte)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F.3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Stralingsveiligheid (NORM) maatregelen gedocumenteerd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F.4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NORM-monitoring protocol actief (poortmonitoring)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F.5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Flow cabinet (afzuigkast) gebruik conform voorschrift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F.6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Flow cabinet periodiek gekeurd (afzuigcapaciteit)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F.7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Radioactief afvoer protocol vastgelegd en goedgekeurd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F.8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Vervoer CMR/NORM conform ADR-stralingseisen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</w:tcPr>
          <w:p>
            <w:r>
              <w:rPr>
                <w:sz w:val="18"/>
              </w:rPr>
              <w:t>F.9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Persoonlijke dosimetrie NORM-werkers geregeld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417"/>
            <w:shd w:fill="F2F2F2"/>
          </w:tcPr>
          <w:p>
            <w:r>
              <w:rPr>
                <w:sz w:val="18"/>
              </w:rPr>
              <w:t>F.10</w:t>
            </w:r>
          </w:p>
        </w:tc>
        <w:tc>
          <w:tcPr>
            <w:tcW w:type="dxa" w:w="3402"/>
            <w:shd w:fill="F2F2F2"/>
          </w:tcPr>
          <w:p>
            <w:r>
              <w:rPr>
                <w:sz w:val="18"/>
              </w:rPr>
              <w:t>Afvalstroom registratie CMR/NORM compleet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8"/>
              </w:rPr>
              <w:t>☐ ✅  ☐ ⚠️  ☐ ❌</w:t>
            </w:r>
          </w:p>
        </w:tc>
        <w:tc>
          <w:tcPr>
            <w:tcW w:type="dxa" w:w="3118"/>
            <w:shd w:fill="F2F2F2"/>
          </w:tcPr>
          <w:p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Samenvatting &amp; Handtekeningen</w:t>
      </w:r>
    </w:p>
    <w:p>
      <w:pPr>
        <w:pStyle w:val="Heading2"/>
      </w:pPr>
      <w:r>
        <w:t>Score Overzicht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003366"/>
          </w:tcPr>
          <w:p>
            <w:r>
              <w:rPr>
                <w:sz w:val="20"/>
              </w:rPr>
              <w:t>Deel A</w:t>
            </w:r>
          </w:p>
        </w:tc>
        <w:tc>
          <w:tcPr>
            <w:tcW w:type="dxa" w:w="2493"/>
            <w:shd w:fill="003366"/>
          </w:tcPr>
          <w:p>
            <w:r>
              <w:rPr>
                <w:sz w:val="20"/>
              </w:rPr>
              <w:t>Algemene Eisen</w:t>
            </w:r>
          </w:p>
        </w:tc>
        <w:tc>
          <w:tcPr>
            <w:tcW w:type="dxa" w:w="2493"/>
            <w:shd w:fill="003366"/>
          </w:tcPr>
          <w:p>
            <w:r>
              <w:rPr>
                <w:sz w:val="20"/>
              </w:rPr>
            </w:r>
          </w:p>
        </w:tc>
        <w:tc>
          <w:tcPr>
            <w:tcW w:type="dxa" w:w="2493"/>
            <w:shd w:fill="00336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B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Opslag Gevaarlijke Stoffen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C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Veiligheidssystemen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D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Documentatie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E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Organisatorische Maatregelen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Deel F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Specifieke Eisen Phoenix Metals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b/>
                <w:sz w:val="20"/>
              </w:rPr>
            </w:r>
          </w:p>
        </w:tc>
        <w:tc>
          <w:tcPr>
            <w:tcW w:type="dxa" w:w="2493"/>
          </w:tcPr>
          <w:p>
            <w:r>
              <w:rPr>
                <w:b/>
                <w:sz w:val="20"/>
              </w:rPr>
              <w:t>TOTAAL</w:t>
            </w:r>
          </w:p>
        </w:tc>
        <w:tc>
          <w:tcPr>
            <w:tcW w:type="dxa" w:w="2493"/>
          </w:tcPr>
          <w:p>
            <w:r>
              <w:rPr>
                <w:b/>
                <w:sz w:val="20"/>
              </w:rPr>
            </w:r>
          </w:p>
        </w:tc>
        <w:tc>
          <w:tcPr>
            <w:tcW w:type="dxa" w:w="2493"/>
          </w:tcPr>
          <w:p>
            <w:r>
              <w:rPr>
                <w:b/>
                <w:sz w:val="20"/>
              </w:rPr>
            </w:r>
          </w:p>
        </w:tc>
      </w:tr>
    </w:tbl>
    <w:p/>
    <w:p>
      <w:pPr>
        <w:pStyle w:val="Heading2"/>
      </w:pPr>
      <w:r>
        <w:t>Bevindingen Samenvatting</w:t>
      </w:r>
    </w:p>
    <w:p>
      <w:r>
        <w:rPr>
          <w:b/>
        </w:rPr>
        <w:t>Kritieke bevindingen (❌):</w:t>
      </w:r>
    </w:p>
    <w:p>
      <w:r>
        <w:t>___________________________________________________________________________</w:t>
      </w:r>
    </w:p>
    <w:p>
      <w:r>
        <w:rPr>
          <w:b/>
        </w:rPr>
        <w:t>Verbeterpunten (⚠️):</w:t>
      </w:r>
    </w:p>
    <w:p>
      <w:r>
        <w:t>___________________________________________________________________________</w:t>
      </w:r>
    </w:p>
    <w:p>
      <w:r>
        <w:rPr>
          <w:b/>
        </w:rPr>
        <w:t>Positieve bevindingen (✅):</w:t>
      </w:r>
    </w:p>
    <w:p>
      <w:r>
        <w:t>___________________________________________________________________________</w:t>
      </w:r>
    </w:p>
    <w:p/>
    <w:p>
      <w:pPr>
        <w:pStyle w:val="Heading2"/>
      </w:pPr>
      <w:r>
        <w:t>Vervolgacties</w:t>
      </w:r>
    </w:p>
    <w:p>
      <w:r>
        <w:rPr>
          <w:b/>
        </w:rPr>
        <w:t xml:space="preserve">Datum volgende audit: </w:t>
      </w:r>
      <w:r>
        <w:t>____________________</w:t>
      </w:r>
    </w:p>
    <w:p>
      <w:r>
        <w:rPr>
          <w:b/>
        </w:rPr>
        <w:t xml:space="preserve">Verantwoordelijke opvolging: </w:t>
      </w:r>
      <w:r>
        <w:t>____________________</w:t>
      </w:r>
    </w:p>
    <w:p/>
    <w:p>
      <w:pPr>
        <w:pStyle w:val="Heading2"/>
      </w:pPr>
      <w:r>
        <w:t>Handtekeningen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003366"/>
          </w:tcPr>
          <w:p>
            <w:r>
              <w:rPr>
                <w:color w:val="FFFFFF"/>
                <w:sz w:val="20"/>
              </w:rPr>
              <w:t>Rol</w:t>
            </w:r>
          </w:p>
        </w:tc>
        <w:tc>
          <w:tcPr>
            <w:tcW w:type="dxa" w:w="3324"/>
            <w:shd w:fill="003366"/>
          </w:tcPr>
          <w:p>
            <w:r>
              <w:rPr>
                <w:color w:val="FFFFFF"/>
                <w:sz w:val="20"/>
              </w:rPr>
              <w:t>Naam</w:t>
            </w:r>
          </w:p>
        </w:tc>
        <w:tc>
          <w:tcPr>
            <w:tcW w:type="dxa" w:w="3324"/>
            <w:shd w:fill="003366"/>
          </w:tcPr>
          <w:p>
            <w:r>
              <w:rPr>
                <w:color w:val="FFFFFF"/>
                <w:sz w:val="20"/>
              </w:rPr>
              <w:t>Handtekening / Datum</w:t>
            </w:r>
          </w:p>
        </w:tc>
      </w:tr>
      <w:tr>
        <w:trPr>
          <w:trHeight w:val="1134"/>
        </w:trPr>
        <w:tc>
          <w:tcPr>
            <w:tcW w:type="dxa" w:w="3324"/>
          </w:tcPr>
          <w:p>
            <w:r>
              <w:t>Auditor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rPr>
          <w:trHeight w:val="1134"/>
        </w:trPr>
        <w:tc>
          <w:tcPr>
            <w:tcW w:type="dxa" w:w="3324"/>
          </w:tcPr>
          <w:p>
            <w:r>
              <w:t>Management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pPr>
        <w:jc w:val="center"/>
      </w:pPr>
      <w:r>
        <w:rPr>
          <w:i/>
          <w:color w:val="808080"/>
        </w:rPr>
        <w:t>— Einde Checklist —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