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4320"/>
        <w:gridCol w:w="4320"/>
      </w:tblGrid>
      <w:tr>
        <w:tc>
          <w:tcPr>
            <w:tcW w:type="dxa" w:w="4320"/>
            <w:shd w:fill="003366" w:val="clear"/>
          </w:tcPr>
          <w:p>
            <w:r/>
            <w:r>
              <w:rPr>
                <w:rFonts w:ascii="Calibri" w:hAnsi="Calibri"/>
                <w:b/>
                <w:color w:val="FFFFFF"/>
                <w:sz w:val="20"/>
              </w:rPr>
              <w:t>Project</w:t>
            </w:r>
          </w:p>
        </w:tc>
        <w:tc>
          <w:tcPr>
            <w:tcW w:type="dxa" w:w="4320"/>
          </w:tcPr>
          <w:p>
            <w:r/>
            <w:r>
              <w:rPr>
                <w:rFonts w:ascii="Calibri" w:hAnsi="Calibri"/>
                <w:sz w:val="20"/>
              </w:rPr>
              <w:t>Phoenix Metals B.V. — Pilot Plant Slag Chemicals</w:t>
            </w:r>
          </w:p>
        </w:tc>
      </w:tr>
      <w:tr>
        <w:tc>
          <w:tcPr>
            <w:tcW w:type="dxa" w:w="4320"/>
            <w:shd w:fill="003366" w:val="clear"/>
          </w:tcPr>
          <w:p>
            <w:r/>
            <w:r>
              <w:rPr>
                <w:rFonts w:ascii="Calibri" w:hAnsi="Calibri"/>
                <w:b/>
                <w:color w:val="FFFFFF"/>
                <w:sz w:val="20"/>
              </w:rPr>
              <w:t>Type</w:t>
            </w:r>
          </w:p>
        </w:tc>
        <w:tc>
          <w:tcPr>
            <w:tcW w:type="dxa" w:w="4320"/>
          </w:tcPr>
          <w:p>
            <w:r/>
            <w:r>
              <w:rPr>
                <w:rFonts w:ascii="Calibri" w:hAnsi="Calibri"/>
                <w:sz w:val="20"/>
              </w:rPr>
              <w:t>PGS 15:2025 Norm Toetsing</w:t>
            </w:r>
          </w:p>
        </w:tc>
      </w:tr>
      <w:tr>
        <w:tc>
          <w:tcPr>
            <w:tcW w:type="dxa" w:w="4320"/>
            <w:shd w:fill="003366" w:val="clear"/>
          </w:tcPr>
          <w:p>
            <w:r/>
            <w:r>
              <w:rPr>
                <w:rFonts w:ascii="Calibri" w:hAnsi="Calibri"/>
                <w:b/>
                <w:color w:val="FFFFFF"/>
                <w:sz w:val="20"/>
              </w:rPr>
              <w:t>Auteur</w:t>
            </w:r>
          </w:p>
        </w:tc>
        <w:tc>
          <w:tcPr>
            <w:tcW w:type="dxa" w:w="4320"/>
          </w:tcPr>
          <w:p>
            <w:r/>
            <w:r>
              <w:rPr>
                <w:rFonts w:ascii="Calibri" w:hAnsi="Calibri"/>
                <w:sz w:val="20"/>
              </w:rPr>
              <w:t>JvG Consultancy — Lead Auditor</w:t>
            </w:r>
          </w:p>
        </w:tc>
      </w:tr>
      <w:tr>
        <w:tc>
          <w:tcPr>
            <w:tcW w:type="dxa" w:w="4320"/>
            <w:shd w:fill="003366" w:val="clear"/>
          </w:tcPr>
          <w:p>
            <w:r/>
            <w:r>
              <w:rPr>
                <w:rFonts w:ascii="Calibri" w:hAnsi="Calibri"/>
                <w:b/>
                <w:color w:val="FFFFFF"/>
                <w:sz w:val="20"/>
              </w:rPr>
              <w:t>Versie</w:t>
            </w:r>
          </w:p>
        </w:tc>
        <w:tc>
          <w:tcPr>
            <w:tcW w:type="dxa" w:w="4320"/>
          </w:tcPr>
          <w:p>
            <w:r/>
            <w:r>
              <w:rPr>
                <w:rFonts w:ascii="Calibri" w:hAnsi="Calibri"/>
                <w:sz w:val="20"/>
              </w:rPr>
              <w:t>1.0 | Datum: 7 mei 2026 | Status: Definitief</w:t>
            </w:r>
          </w:p>
        </w:tc>
      </w:tr>
    </w:tbl>
    <w:p/>
    <w:p>
      <w:pPr>
        <w:pStyle w:val="Heading1"/>
        <w:jc w:val="center"/>
      </w:pPr>
      <w:r>
        <w:rPr>
          <w:color w:val="003366"/>
        </w:rPr>
        <w:t>PGS 15:2025 Norm Toetsing — Audit Rapport</w:t>
      </w:r>
    </w:p>
    <w:p>
      <w:pPr>
        <w:jc w:val="center"/>
      </w:pPr>
      <w:r>
        <w:rPr>
          <w:color w:val="1F2937"/>
          <w:sz w:val="24"/>
        </w:rPr>
        <w:t>Vergelijkend onderzoek: Handmatig v6.0 vs. Scanner v6.0</w:t>
        <w:br/>
        <w:t>Phoenix Metals B.V. — Pilot Plant Slag Chemicals</w:t>
      </w:r>
    </w:p>
    <w:p/>
    <w:p>
      <w:pPr>
        <w:pStyle w:val="Heading2"/>
      </w:pPr>
      <w:r>
        <w:t>1. Inleiding</w:t>
      </w:r>
    </w:p>
    <w:p>
      <w:r>
        <w:rPr>
          <w:b/>
        </w:rPr>
        <w:t>1.1 Doel</w:t>
      </w:r>
    </w:p>
    <w:p>
      <w:pPr>
        <w:pStyle w:val="ListBullet"/>
      </w:pPr>
      <w:r>
        <w:t>Dit rapport bevat een onafhankelijke norm-toetsing van twee PGS 15:2025 Compliance Toetsing documenten voor Phoenix Metals B.V. — Pilot Plant Slag Chemicals. Het doel is te bepalen welk document (indien één van beide) feitelijk correct is conform de actuele PGS 15:2025 norm (Publicatie 565, januari 2025).</w:t>
      </w:r>
    </w:p>
    <w:p>
      <w:r>
        <w:rPr>
          <w:b/>
        </w:rPr>
        <w:t>1.2 Referentiekader</w:t>
      </w:r>
    </w:p>
    <w:p>
      <w:pPr>
        <w:pStyle w:val="ListBullet"/>
      </w:pPr>
      <w:r>
        <w:t>PGS 15:2025 — Publicatie 565, januari 2025 (Enige normatieve bron)</w:t>
      </w:r>
    </w:p>
    <w:p>
      <w:pPr>
        <w:pStyle w:val="ListBullet"/>
      </w:pPr>
      <w:r>
        <w:t>Tabel 1: Toepassingsgebied</w:t>
      </w:r>
    </w:p>
    <w:p>
      <w:pPr>
        <w:pStyle w:val="ListBullet"/>
      </w:pPr>
      <w:r>
        <w:t>Tabel 2: Ondergrenzen</w:t>
      </w:r>
    </w:p>
    <w:p>
      <w:pPr>
        <w:pStyle w:val="ListBullet"/>
      </w:pPr>
      <w:r>
        <w:t>Tabel 6: Niveaubepaling</w:t>
      </w:r>
    </w:p>
    <w:p>
      <w:pPr>
        <w:pStyle w:val="ListBullet"/>
      </w:pPr>
      <w:r>
        <w:t>Tabel 7: Grenswaarden veiligheidsniveau</w:t>
      </w:r>
    </w:p>
    <w:p>
      <w:r>
        <w:rPr>
          <w:b/>
        </w:rPr>
        <w:t>1.3 Documenten onderzocht</w:t>
      </w:r>
    </w:p>
    <w:p>
      <w:pPr>
        <w:pStyle w:val="ListBullet"/>
      </w:pPr>
      <w:r>
        <w:t>Document A: PGS 15 Compliance Toetsing v6.0 — Handmatig (HSEQ Division)</w:t>
      </w:r>
    </w:p>
    <w:p>
      <w:pPr>
        <w:pStyle w:val="ListBullet"/>
      </w:pPr>
      <w:r>
        <w:t>Document B: PGS 15 Compliance Toetsing v6.0 — Scanner Validatie (HSEQ Specialist)</w:t>
      </w:r>
    </w:p>
    <w:p>
      <w:pPr>
        <w:pStyle w:val="ListBullet"/>
      </w:pPr>
      <w:r>
        <w:t>Beide documenten: 18 stoffen, 150 kg/ltr per product, zelfde stoffenlijst</w:t>
      </w:r>
    </w:p>
    <w:p>
      <w:pPr>
        <w:pStyle w:val="Heading2"/>
      </w:pPr>
      <w:r>
        <w:t>2. PGS 15:2025 Toetsing per Stof</w:t>
      </w:r>
    </w:p>
    <w:p>
      <w:r>
        <w:t>Per stof wordt bepaald: (1) ADR-klasse/PG, (2) Ondergrens Tabel 2, (3) 150 kg boven/onder ondergrens, (4) Vereist niveau bij 150 kg, (5) Aanvullende routes, (6) Correct niveau. Vervolgens wordt vergeleken met beide documenten.</w:t>
      </w:r>
    </w:p>
    <w:p>
      <w:pPr>
        <w:pStyle w:val="Heading3"/>
      </w:pPr>
      <w:r>
        <w:t>2.1 Vergelijkingstabel</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850"/>
            <w:shd w:fill="003366" w:val="clear"/>
          </w:tcPr>
          <w:p>
            <w:pPr>
              <w:spacing w:before="40" w:after="40"/>
            </w:pPr>
            <w:r/>
            <w:r>
              <w:rPr>
                <w:rFonts w:ascii="Calibri" w:hAnsi="Calibri"/>
                <w:b/>
                <w:color w:val="FFFFFF"/>
                <w:sz w:val="18"/>
              </w:rPr>
              <w:t>ID</w:t>
            </w:r>
          </w:p>
        </w:tc>
        <w:tc>
          <w:tcPr>
            <w:tcW w:type="dxa" w:w="1984"/>
            <w:shd w:fill="003366" w:val="clear"/>
          </w:tcPr>
          <w:p>
            <w:pPr>
              <w:spacing w:before="40" w:after="40"/>
            </w:pPr>
            <w:r/>
            <w:r>
              <w:rPr>
                <w:rFonts w:ascii="Calibri" w:hAnsi="Calibri"/>
                <w:b/>
                <w:color w:val="FFFFFF"/>
                <w:sz w:val="18"/>
              </w:rPr>
              <w:t>Stof</w:t>
            </w:r>
          </w:p>
        </w:tc>
        <w:tc>
          <w:tcPr>
            <w:tcW w:type="dxa" w:w="850"/>
            <w:shd w:fill="003366" w:val="clear"/>
          </w:tcPr>
          <w:p>
            <w:pPr>
              <w:spacing w:before="40" w:after="40"/>
            </w:pPr>
            <w:r/>
            <w:r>
              <w:rPr>
                <w:rFonts w:ascii="Calibri" w:hAnsi="Calibri"/>
                <w:b/>
                <w:color w:val="FFFFFF"/>
                <w:sz w:val="18"/>
              </w:rPr>
              <w:t>ADR/PG</w:t>
            </w:r>
          </w:p>
        </w:tc>
        <w:tc>
          <w:tcPr>
            <w:tcW w:type="dxa" w:w="1417"/>
            <w:shd w:fill="003366" w:val="clear"/>
          </w:tcPr>
          <w:p>
            <w:pPr>
              <w:spacing w:before="40" w:after="40"/>
            </w:pPr>
            <w:r/>
            <w:r>
              <w:rPr>
                <w:rFonts w:ascii="Calibri" w:hAnsi="Calibri"/>
                <w:b/>
                <w:color w:val="FFFFFF"/>
                <w:sz w:val="18"/>
              </w:rPr>
              <w:t>Correct</w:t>
              <w:br/>
              <w:t>Niveau</w:t>
            </w:r>
          </w:p>
        </w:tc>
        <w:tc>
          <w:tcPr>
            <w:tcW w:type="dxa" w:w="1134"/>
            <w:shd w:fill="003366" w:val="clear"/>
          </w:tcPr>
          <w:p>
            <w:pPr>
              <w:spacing w:before="40" w:after="40"/>
            </w:pPr>
            <w:r/>
            <w:r>
              <w:rPr>
                <w:rFonts w:ascii="Calibri" w:hAnsi="Calibri"/>
                <w:b/>
                <w:color w:val="FFFFFF"/>
                <w:sz w:val="18"/>
              </w:rPr>
              <w:t>Handmatig</w:t>
            </w:r>
          </w:p>
        </w:tc>
        <w:tc>
          <w:tcPr>
            <w:tcW w:type="dxa" w:w="1134"/>
            <w:shd w:fill="003366" w:val="clear"/>
          </w:tcPr>
          <w:p>
            <w:pPr>
              <w:spacing w:before="40" w:after="40"/>
            </w:pPr>
            <w:r/>
            <w:r>
              <w:rPr>
                <w:rFonts w:ascii="Calibri" w:hAnsi="Calibri"/>
                <w:b/>
                <w:color w:val="FFFFFF"/>
                <w:sz w:val="18"/>
              </w:rPr>
              <w:t>Scanner</w:t>
            </w:r>
          </w:p>
        </w:tc>
        <w:tc>
          <w:tcPr>
            <w:tcW w:type="dxa" w:w="1417"/>
            <w:shd w:fill="003366" w:val="clear"/>
          </w:tcPr>
          <w:p>
            <w:pPr>
              <w:spacing w:before="40" w:after="40"/>
            </w:pPr>
            <w:r/>
            <w:r>
              <w:rPr>
                <w:rFonts w:ascii="Calibri" w:hAnsi="Calibri"/>
                <w:b/>
                <w:color w:val="FFFFFF"/>
                <w:sz w:val="18"/>
              </w:rPr>
              <w:t>Wie klopt?</w:t>
            </w:r>
          </w:p>
        </w:tc>
      </w:tr>
      <w:tr>
        <w:tc>
          <w:tcPr>
            <w:tcW w:type="dxa" w:w="850"/>
          </w:tcPr>
          <w:p>
            <w:pPr>
              <w:spacing w:before="40" w:after="40"/>
            </w:pPr>
            <w:r/>
            <w:r>
              <w:rPr>
                <w:rFonts w:ascii="Calibri" w:hAnsi="Calibri"/>
                <w:b w:val="0"/>
                <w:sz w:val="18"/>
              </w:rPr>
              <w:t>IC-02</w:t>
            </w:r>
          </w:p>
        </w:tc>
        <w:tc>
          <w:tcPr>
            <w:tcW w:type="dxa" w:w="1984"/>
          </w:tcPr>
          <w:p>
            <w:pPr>
              <w:spacing w:before="40" w:after="40"/>
            </w:pPr>
            <w:r/>
            <w:r>
              <w:rPr>
                <w:rFonts w:ascii="Calibri" w:hAnsi="Calibri"/>
                <w:b w:val="0"/>
                <w:sz w:val="18"/>
              </w:rPr>
              <w:t>Sulfuric acid 25%</w:t>
            </w:r>
          </w:p>
        </w:tc>
        <w:tc>
          <w:tcPr>
            <w:tcW w:type="dxa" w:w="850"/>
          </w:tcPr>
          <w:p>
            <w:pPr>
              <w:spacing w:before="40" w:after="40"/>
            </w:pPr>
            <w:r/>
            <w:r>
              <w:rPr>
                <w:rFonts w:ascii="Calibri" w:hAnsi="Calibri"/>
                <w:b w:val="0"/>
                <w:sz w:val="18"/>
              </w:rPr>
              <w:t>8/II</w:t>
            </w:r>
          </w:p>
        </w:tc>
        <w:tc>
          <w:tcPr>
            <w:tcW w:type="dxa" w:w="1417"/>
          </w:tcPr>
          <w:p>
            <w:pPr>
              <w:spacing w:before="40" w:after="40"/>
            </w:pPr>
            <w:r/>
            <w:r>
              <w:rPr>
                <w:rFonts w:ascii="Calibri" w:hAnsi="Calibri"/>
                <w:b w:val="0"/>
                <w:sz w:val="18"/>
              </w:rPr>
              <w:t>Geen niveau</w:t>
            </w:r>
          </w:p>
        </w:tc>
        <w:tc>
          <w:tcPr>
            <w:tcW w:type="dxa" w:w="1134"/>
          </w:tcPr>
          <w:p>
            <w:pPr>
              <w:spacing w:before="40" w:after="40"/>
            </w:pPr>
            <w:r/>
            <w:r>
              <w:rPr>
                <w:rFonts w:ascii="Calibri" w:hAnsi="Calibri"/>
                <w:b w:val="0"/>
                <w:sz w:val="18"/>
              </w:rPr>
              <w:t>B</w:t>
            </w:r>
          </w:p>
        </w:tc>
        <w:tc>
          <w:tcPr>
            <w:tcW w:type="dxa" w:w="1134"/>
          </w:tcPr>
          <w:p>
            <w:pPr>
              <w:spacing w:before="40" w:after="40"/>
            </w:pPr>
            <w:r/>
            <w:r>
              <w:rPr>
                <w:rFonts w:ascii="Calibri" w:hAnsi="Calibri"/>
                <w:b w:val="0"/>
                <w:sz w:val="18"/>
              </w:rPr>
              <w:t>Buiten scope</w:t>
            </w:r>
          </w:p>
        </w:tc>
        <w:tc>
          <w:tcPr>
            <w:tcW w:type="dxa" w:w="1417"/>
          </w:tcPr>
          <w:p>
            <w:pPr>
              <w:spacing w:before="40" w:after="40"/>
            </w:pPr>
            <w:r/>
            <w:r>
              <w:rPr>
                <w:rFonts w:ascii="Calibri" w:hAnsi="Calibri"/>
                <w:b w:val="0"/>
                <w:sz w:val="18"/>
              </w:rPr>
              <w:t>Scanner</w:t>
            </w:r>
          </w:p>
        </w:tc>
      </w:tr>
      <w:tr>
        <w:tc>
          <w:tcPr>
            <w:tcW w:type="dxa" w:w="850"/>
          </w:tcPr>
          <w:p>
            <w:pPr>
              <w:spacing w:before="40" w:after="40"/>
            </w:pPr>
            <w:r/>
            <w:r>
              <w:rPr>
                <w:rFonts w:ascii="Calibri" w:hAnsi="Calibri"/>
                <w:b w:val="0"/>
                <w:sz w:val="18"/>
              </w:rPr>
              <w:t>IC-05</w:t>
            </w:r>
          </w:p>
        </w:tc>
        <w:tc>
          <w:tcPr>
            <w:tcW w:type="dxa" w:w="1984"/>
          </w:tcPr>
          <w:p>
            <w:pPr>
              <w:spacing w:before="40" w:after="40"/>
            </w:pPr>
            <w:r/>
            <w:r>
              <w:rPr>
                <w:rFonts w:ascii="Calibri" w:hAnsi="Calibri"/>
                <w:b w:val="0"/>
                <w:sz w:val="18"/>
              </w:rPr>
              <w:t>Hydrochloric acid 20%</w:t>
            </w:r>
          </w:p>
        </w:tc>
        <w:tc>
          <w:tcPr>
            <w:tcW w:type="dxa" w:w="850"/>
          </w:tcPr>
          <w:p>
            <w:pPr>
              <w:spacing w:before="40" w:after="40"/>
            </w:pPr>
            <w:r/>
            <w:r>
              <w:rPr>
                <w:rFonts w:ascii="Calibri" w:hAnsi="Calibri"/>
                <w:b w:val="0"/>
                <w:sz w:val="18"/>
              </w:rPr>
              <w:t>8/II</w:t>
            </w:r>
          </w:p>
        </w:tc>
        <w:tc>
          <w:tcPr>
            <w:tcW w:type="dxa" w:w="1417"/>
          </w:tcPr>
          <w:p>
            <w:pPr>
              <w:spacing w:before="40" w:after="40"/>
            </w:pPr>
            <w:r/>
            <w:r>
              <w:rPr>
                <w:rFonts w:ascii="Calibri" w:hAnsi="Calibri"/>
                <w:b w:val="0"/>
                <w:sz w:val="18"/>
              </w:rPr>
              <w:t>Geen niveau</w:t>
            </w:r>
          </w:p>
        </w:tc>
        <w:tc>
          <w:tcPr>
            <w:tcW w:type="dxa" w:w="1134"/>
          </w:tcPr>
          <w:p>
            <w:pPr>
              <w:spacing w:before="40" w:after="40"/>
            </w:pPr>
            <w:r/>
            <w:r>
              <w:rPr>
                <w:rFonts w:ascii="Calibri" w:hAnsi="Calibri"/>
                <w:b w:val="0"/>
                <w:sz w:val="18"/>
              </w:rPr>
              <w:t>B</w:t>
            </w:r>
          </w:p>
        </w:tc>
        <w:tc>
          <w:tcPr>
            <w:tcW w:type="dxa" w:w="1134"/>
          </w:tcPr>
          <w:p>
            <w:pPr>
              <w:spacing w:before="40" w:after="40"/>
            </w:pPr>
            <w:r/>
            <w:r>
              <w:rPr>
                <w:rFonts w:ascii="Calibri" w:hAnsi="Calibri"/>
                <w:b w:val="0"/>
                <w:sz w:val="18"/>
              </w:rPr>
              <w:t>Buiten scope</w:t>
            </w:r>
          </w:p>
        </w:tc>
        <w:tc>
          <w:tcPr>
            <w:tcW w:type="dxa" w:w="1417"/>
          </w:tcPr>
          <w:p>
            <w:pPr>
              <w:spacing w:before="40" w:after="40"/>
            </w:pPr>
            <w:r/>
            <w:r>
              <w:rPr>
                <w:rFonts w:ascii="Calibri" w:hAnsi="Calibri"/>
                <w:b w:val="0"/>
                <w:sz w:val="18"/>
              </w:rPr>
              <w:t>Scanner</w:t>
            </w:r>
          </w:p>
        </w:tc>
      </w:tr>
      <w:tr>
        <w:tc>
          <w:tcPr>
            <w:tcW w:type="dxa" w:w="850"/>
          </w:tcPr>
          <w:p>
            <w:pPr>
              <w:spacing w:before="40" w:after="40"/>
            </w:pPr>
            <w:r/>
            <w:r>
              <w:rPr>
                <w:rFonts w:ascii="Calibri" w:hAnsi="Calibri"/>
                <w:b w:val="0"/>
                <w:sz w:val="18"/>
              </w:rPr>
              <w:t>EP-06</w:t>
            </w:r>
          </w:p>
        </w:tc>
        <w:tc>
          <w:tcPr>
            <w:tcW w:type="dxa" w:w="1984"/>
          </w:tcPr>
          <w:p>
            <w:pPr>
              <w:spacing w:before="40" w:after="40"/>
            </w:pPr>
            <w:r/>
            <w:r>
              <w:rPr>
                <w:rFonts w:ascii="Calibri" w:hAnsi="Calibri"/>
                <w:b w:val="0"/>
                <w:sz w:val="18"/>
              </w:rPr>
              <w:t>Sodium aluminate</w:t>
              <w:br/>
              <w:t>oplossing</w:t>
            </w:r>
          </w:p>
        </w:tc>
        <w:tc>
          <w:tcPr>
            <w:tcW w:type="dxa" w:w="850"/>
          </w:tcPr>
          <w:p>
            <w:pPr>
              <w:spacing w:before="40" w:after="40"/>
            </w:pPr>
            <w:r/>
            <w:r>
              <w:rPr>
                <w:rFonts w:ascii="Calibri" w:hAnsi="Calibri"/>
                <w:b w:val="0"/>
                <w:sz w:val="18"/>
              </w:rPr>
              <w:t>8/III</w:t>
              <w:br/>
              <w:t>(Hand: II)</w:t>
            </w:r>
          </w:p>
        </w:tc>
        <w:tc>
          <w:tcPr>
            <w:tcW w:type="dxa" w:w="1417"/>
          </w:tcPr>
          <w:p>
            <w:pPr>
              <w:spacing w:before="40" w:after="40"/>
            </w:pPr>
            <w:r/>
            <w:r>
              <w:rPr>
                <w:rFonts w:ascii="Calibri" w:hAnsi="Calibri"/>
                <w:b w:val="0"/>
                <w:sz w:val="18"/>
              </w:rPr>
              <w:t>Geen niveau</w:t>
            </w:r>
          </w:p>
        </w:tc>
        <w:tc>
          <w:tcPr>
            <w:tcW w:type="dxa" w:w="1134"/>
          </w:tcPr>
          <w:p>
            <w:pPr>
              <w:spacing w:before="40" w:after="40"/>
            </w:pPr>
            <w:r/>
            <w:r>
              <w:rPr>
                <w:rFonts w:ascii="Calibri" w:hAnsi="Calibri"/>
                <w:b w:val="0"/>
                <w:sz w:val="18"/>
              </w:rPr>
              <w:t>B</w:t>
            </w:r>
          </w:p>
        </w:tc>
        <w:tc>
          <w:tcPr>
            <w:tcW w:type="dxa" w:w="1134"/>
          </w:tcPr>
          <w:p>
            <w:pPr>
              <w:spacing w:before="40" w:after="40"/>
            </w:pPr>
            <w:r/>
            <w:r>
              <w:rPr>
                <w:rFonts w:ascii="Calibri" w:hAnsi="Calibri"/>
                <w:b w:val="0"/>
                <w:sz w:val="18"/>
              </w:rPr>
              <w:t>Buiten scope</w:t>
            </w:r>
          </w:p>
        </w:tc>
        <w:tc>
          <w:tcPr>
            <w:tcW w:type="dxa" w:w="1417"/>
          </w:tcPr>
          <w:p>
            <w:pPr>
              <w:spacing w:before="40" w:after="40"/>
            </w:pPr>
            <w:r/>
            <w:r>
              <w:rPr>
                <w:rFonts w:ascii="Calibri" w:hAnsi="Calibri"/>
                <w:b w:val="0"/>
                <w:sz w:val="18"/>
              </w:rPr>
              <w:t>Scanner</w:t>
            </w:r>
          </w:p>
        </w:tc>
      </w:tr>
      <w:tr>
        <w:tc>
          <w:tcPr>
            <w:tcW w:type="dxa" w:w="850"/>
          </w:tcPr>
          <w:p>
            <w:pPr>
              <w:spacing w:before="40" w:after="40"/>
            </w:pPr>
            <w:r/>
            <w:r>
              <w:rPr>
                <w:rFonts w:ascii="Calibri" w:hAnsi="Calibri"/>
                <w:b w:val="0"/>
                <w:sz w:val="18"/>
              </w:rPr>
              <w:t>EP-09</w:t>
            </w:r>
          </w:p>
        </w:tc>
        <w:tc>
          <w:tcPr>
            <w:tcW w:type="dxa" w:w="1984"/>
          </w:tcPr>
          <w:p>
            <w:pPr>
              <w:spacing w:before="40" w:after="40"/>
            </w:pPr>
            <w:r/>
            <w:r>
              <w:rPr>
                <w:rFonts w:ascii="Calibri" w:hAnsi="Calibri"/>
                <w:b w:val="0"/>
                <w:sz w:val="18"/>
              </w:rPr>
              <w:t>Vanadium electrolyte</w:t>
            </w:r>
          </w:p>
        </w:tc>
        <w:tc>
          <w:tcPr>
            <w:tcW w:type="dxa" w:w="850"/>
          </w:tcPr>
          <w:p>
            <w:pPr>
              <w:spacing w:before="40" w:after="40"/>
            </w:pPr>
            <w:r/>
            <w:r>
              <w:rPr>
                <w:rFonts w:ascii="Calibri" w:hAnsi="Calibri"/>
                <w:b w:val="0"/>
                <w:sz w:val="18"/>
              </w:rPr>
              <w:t>8/II</w:t>
            </w:r>
          </w:p>
        </w:tc>
        <w:tc>
          <w:tcPr>
            <w:tcW w:type="dxa" w:w="1417"/>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C (CMR)</w:t>
            </w:r>
          </w:p>
        </w:tc>
        <w:tc>
          <w:tcPr>
            <w:tcW w:type="dxa" w:w="1134"/>
          </w:tcPr>
          <w:p>
            <w:pPr>
              <w:spacing w:before="40" w:after="40"/>
            </w:pPr>
            <w:r/>
            <w:r>
              <w:rPr>
                <w:rFonts w:ascii="Calibri" w:hAnsi="Calibri"/>
                <w:b w:val="0"/>
                <w:sz w:val="18"/>
              </w:rPr>
              <w:t>Basis</w:t>
            </w:r>
          </w:p>
        </w:tc>
        <w:tc>
          <w:tcPr>
            <w:tcW w:type="dxa" w:w="1417"/>
          </w:tcPr>
          <w:p>
            <w:pPr>
              <w:spacing w:before="40" w:after="40"/>
            </w:pPr>
            <w:r/>
            <w:r>
              <w:rPr>
                <w:rFonts w:ascii="Calibri" w:hAnsi="Calibri"/>
                <w:b w:val="0"/>
                <w:sz w:val="18"/>
              </w:rPr>
              <w:t>Scanner</w:t>
            </w:r>
          </w:p>
        </w:tc>
      </w:tr>
      <w:tr>
        <w:tc>
          <w:tcPr>
            <w:tcW w:type="dxa" w:w="850"/>
          </w:tcPr>
          <w:p>
            <w:pPr>
              <w:spacing w:before="40" w:after="40"/>
            </w:pPr>
            <w:r/>
            <w:r>
              <w:rPr>
                <w:rFonts w:ascii="Calibri" w:hAnsi="Calibri"/>
                <w:b w:val="0"/>
                <w:sz w:val="18"/>
              </w:rPr>
              <w:t>IC-03</w:t>
            </w:r>
          </w:p>
        </w:tc>
        <w:tc>
          <w:tcPr>
            <w:tcW w:type="dxa" w:w="1984"/>
          </w:tcPr>
          <w:p>
            <w:pPr>
              <w:spacing w:before="40" w:after="40"/>
            </w:pPr>
            <w:r/>
            <w:r>
              <w:rPr>
                <w:rFonts w:ascii="Calibri" w:hAnsi="Calibri"/>
                <w:b w:val="0"/>
                <w:sz w:val="18"/>
              </w:rPr>
              <w:t>Hydrogen peroxide 30%</w:t>
            </w:r>
          </w:p>
        </w:tc>
        <w:tc>
          <w:tcPr>
            <w:tcW w:type="dxa" w:w="850"/>
          </w:tcPr>
          <w:p>
            <w:pPr>
              <w:spacing w:before="40" w:after="40"/>
            </w:pPr>
            <w:r/>
            <w:r>
              <w:rPr>
                <w:rFonts w:ascii="Calibri" w:hAnsi="Calibri"/>
                <w:b w:val="0"/>
                <w:sz w:val="18"/>
              </w:rPr>
              <w:t>5.1/II</w:t>
            </w:r>
          </w:p>
        </w:tc>
        <w:tc>
          <w:tcPr>
            <w:tcW w:type="dxa" w:w="1417"/>
          </w:tcPr>
          <w:p>
            <w:pPr>
              <w:spacing w:before="40" w:after="40"/>
            </w:pPr>
            <w:r/>
            <w:r>
              <w:rPr>
                <w:rFonts w:ascii="Calibri" w:hAnsi="Calibri"/>
                <w:b w:val="0"/>
                <w:sz w:val="18"/>
              </w:rPr>
              <w:t>C</w:t>
            </w:r>
          </w:p>
        </w:tc>
        <w:tc>
          <w:tcPr>
            <w:tcW w:type="dxa" w:w="1134"/>
          </w:tcPr>
          <w:p>
            <w:pPr>
              <w:spacing w:before="40" w:after="40"/>
            </w:pPr>
            <w:r/>
            <w:r>
              <w:rPr>
                <w:rFonts w:ascii="Calibri" w:hAnsi="Calibri"/>
                <w:b w:val="0"/>
                <w:sz w:val="18"/>
              </w:rPr>
              <w:t>B</w:t>
            </w:r>
          </w:p>
        </w:tc>
        <w:tc>
          <w:tcPr>
            <w:tcW w:type="dxa" w:w="1134"/>
          </w:tcPr>
          <w:p>
            <w:pPr>
              <w:spacing w:before="40" w:after="40"/>
            </w:pPr>
            <w:r/>
            <w:r>
              <w:rPr>
                <w:rFonts w:ascii="Calibri" w:hAnsi="Calibri"/>
                <w:b w:val="0"/>
                <w:sz w:val="18"/>
              </w:rPr>
              <w:t>C</w:t>
            </w:r>
          </w:p>
        </w:tc>
        <w:tc>
          <w:tcPr>
            <w:tcW w:type="dxa" w:w="1417"/>
          </w:tcPr>
          <w:p>
            <w:pPr>
              <w:spacing w:before="40" w:after="40"/>
            </w:pPr>
            <w:r/>
            <w:r>
              <w:rPr>
                <w:rFonts w:ascii="Calibri" w:hAnsi="Calibri"/>
                <w:b w:val="0"/>
                <w:sz w:val="18"/>
              </w:rPr>
              <w:t>Scanner</w:t>
            </w:r>
          </w:p>
        </w:tc>
      </w:tr>
      <w:tr>
        <w:tc>
          <w:tcPr>
            <w:tcW w:type="dxa" w:w="850"/>
          </w:tcPr>
          <w:p>
            <w:pPr>
              <w:spacing w:before="40" w:after="40"/>
            </w:pPr>
            <w:r/>
            <w:r>
              <w:rPr>
                <w:rFonts w:ascii="Calibri" w:hAnsi="Calibri"/>
                <w:b w:val="0"/>
                <w:sz w:val="18"/>
              </w:rPr>
              <w:t>IC-04</w:t>
            </w:r>
          </w:p>
        </w:tc>
        <w:tc>
          <w:tcPr>
            <w:tcW w:type="dxa" w:w="1984"/>
          </w:tcPr>
          <w:p>
            <w:pPr>
              <w:spacing w:before="40" w:after="40"/>
            </w:pPr>
            <w:r/>
            <w:r>
              <w:rPr>
                <w:rFonts w:ascii="Calibri" w:hAnsi="Calibri"/>
                <w:b w:val="0"/>
                <w:sz w:val="18"/>
              </w:rPr>
              <w:t>Sodium persulfate</w:t>
            </w:r>
          </w:p>
        </w:tc>
        <w:tc>
          <w:tcPr>
            <w:tcW w:type="dxa" w:w="850"/>
          </w:tcPr>
          <w:p>
            <w:pPr>
              <w:spacing w:before="40" w:after="40"/>
            </w:pPr>
            <w:r/>
            <w:r>
              <w:rPr>
                <w:rFonts w:ascii="Calibri" w:hAnsi="Calibri"/>
                <w:b w:val="0"/>
                <w:sz w:val="18"/>
              </w:rPr>
              <w:t>5.1/III</w:t>
            </w:r>
          </w:p>
        </w:tc>
        <w:tc>
          <w:tcPr>
            <w:tcW w:type="dxa" w:w="1417"/>
          </w:tcPr>
          <w:p>
            <w:pPr>
              <w:spacing w:before="40" w:after="40"/>
            </w:pPr>
            <w:r/>
            <w:r>
              <w:rPr>
                <w:rFonts w:ascii="Calibri" w:hAnsi="Calibri"/>
                <w:b w:val="0"/>
                <w:sz w:val="18"/>
              </w:rPr>
              <w:t>C</w:t>
            </w:r>
          </w:p>
        </w:tc>
        <w:tc>
          <w:tcPr>
            <w:tcW w:type="dxa" w:w="1134"/>
          </w:tcPr>
          <w:p>
            <w:pPr>
              <w:spacing w:before="40" w:after="40"/>
            </w:pPr>
            <w:r/>
            <w:r>
              <w:rPr>
                <w:rFonts w:ascii="Calibri" w:hAnsi="Calibri"/>
                <w:b w:val="0"/>
                <w:sz w:val="18"/>
              </w:rPr>
              <w:t>B</w:t>
            </w:r>
          </w:p>
        </w:tc>
        <w:tc>
          <w:tcPr>
            <w:tcW w:type="dxa" w:w="1134"/>
          </w:tcPr>
          <w:p>
            <w:pPr>
              <w:spacing w:before="40" w:after="40"/>
            </w:pPr>
            <w:r/>
            <w:r>
              <w:rPr>
                <w:rFonts w:ascii="Calibri" w:hAnsi="Calibri"/>
                <w:b w:val="0"/>
                <w:sz w:val="18"/>
              </w:rPr>
              <w:t>C</w:t>
            </w:r>
          </w:p>
        </w:tc>
        <w:tc>
          <w:tcPr>
            <w:tcW w:type="dxa" w:w="1417"/>
          </w:tcPr>
          <w:p>
            <w:pPr>
              <w:spacing w:before="40" w:after="40"/>
            </w:pPr>
            <w:r/>
            <w:r>
              <w:rPr>
                <w:rFonts w:ascii="Calibri" w:hAnsi="Calibri"/>
                <w:b w:val="0"/>
                <w:sz w:val="18"/>
              </w:rPr>
              <w:t>Scanner</w:t>
            </w:r>
          </w:p>
        </w:tc>
      </w:tr>
      <w:tr>
        <w:tc>
          <w:tcPr>
            <w:tcW w:type="dxa" w:w="850"/>
          </w:tcPr>
          <w:p>
            <w:pPr>
              <w:spacing w:before="40" w:after="40"/>
            </w:pPr>
            <w:r/>
            <w:r>
              <w:rPr>
                <w:rFonts w:ascii="Calibri" w:hAnsi="Calibri"/>
                <w:b w:val="0"/>
                <w:sz w:val="18"/>
              </w:rPr>
              <w:t>IM-04</w:t>
            </w:r>
          </w:p>
        </w:tc>
        <w:tc>
          <w:tcPr>
            <w:tcW w:type="dxa" w:w="1984"/>
          </w:tcPr>
          <w:p>
            <w:pPr>
              <w:spacing w:before="40" w:after="40"/>
            </w:pPr>
            <w:r/>
            <w:r>
              <w:rPr>
                <w:rFonts w:ascii="Calibri" w:hAnsi="Calibri"/>
                <w:b w:val="0"/>
                <w:sz w:val="18"/>
              </w:rPr>
              <w:t>Sodium metavanadate</w:t>
            </w:r>
          </w:p>
        </w:tc>
        <w:tc>
          <w:tcPr>
            <w:tcW w:type="dxa" w:w="850"/>
          </w:tcPr>
          <w:p>
            <w:pPr>
              <w:spacing w:before="40" w:after="40"/>
            </w:pPr>
            <w:r/>
            <w:r>
              <w:rPr>
                <w:rFonts w:ascii="Calibri" w:hAnsi="Calibri"/>
                <w:b w:val="0"/>
                <w:sz w:val="18"/>
              </w:rPr>
              <w:t>6.1/III</w:t>
            </w:r>
          </w:p>
        </w:tc>
        <w:tc>
          <w:tcPr>
            <w:tcW w:type="dxa" w:w="1417"/>
          </w:tcPr>
          <w:p>
            <w:pPr>
              <w:spacing w:before="40" w:after="40"/>
            </w:pPr>
            <w:r/>
            <w:r>
              <w:rPr>
                <w:rFonts w:ascii="Calibri" w:hAnsi="Calibri"/>
                <w:b w:val="0"/>
                <w:sz w:val="18"/>
              </w:rPr>
              <w:t>C</w:t>
            </w:r>
          </w:p>
        </w:tc>
        <w:tc>
          <w:tcPr>
            <w:tcW w:type="dxa" w:w="1134"/>
          </w:tcPr>
          <w:p>
            <w:pPr>
              <w:spacing w:before="40" w:after="40"/>
            </w:pPr>
            <w:r/>
            <w:r>
              <w:rPr>
                <w:rFonts w:ascii="Calibri" w:hAnsi="Calibri"/>
                <w:b w:val="0"/>
                <w:sz w:val="18"/>
              </w:rPr>
              <w:t>C (CMR)</w:t>
            </w:r>
          </w:p>
        </w:tc>
        <w:tc>
          <w:tcPr>
            <w:tcW w:type="dxa" w:w="1134"/>
          </w:tcPr>
          <w:p>
            <w:pPr>
              <w:spacing w:before="40" w:after="40"/>
            </w:pPr>
            <w:r/>
            <w:r>
              <w:rPr>
                <w:rFonts w:ascii="Calibri" w:hAnsi="Calibri"/>
                <w:b w:val="0"/>
                <w:sz w:val="18"/>
              </w:rPr>
              <w:t>C</w:t>
            </w:r>
          </w:p>
        </w:tc>
        <w:tc>
          <w:tcPr>
            <w:tcW w:type="dxa" w:w="1417"/>
          </w:tcPr>
          <w:p>
            <w:pPr>
              <w:spacing w:before="40" w:after="40"/>
            </w:pPr>
            <w:r/>
            <w:r>
              <w:rPr>
                <w:rFonts w:ascii="Calibri" w:hAnsi="Calibri"/>
                <w:b w:val="0"/>
                <w:sz w:val="18"/>
              </w:rPr>
              <w:t>Beide</w:t>
            </w:r>
          </w:p>
        </w:tc>
      </w:tr>
      <w:tr>
        <w:tc>
          <w:tcPr>
            <w:tcW w:type="dxa" w:w="850"/>
          </w:tcPr>
          <w:p>
            <w:pPr>
              <w:spacing w:before="40" w:after="40"/>
            </w:pPr>
            <w:r/>
            <w:r>
              <w:rPr>
                <w:rFonts w:ascii="Calibri" w:hAnsi="Calibri"/>
                <w:b w:val="0"/>
                <w:sz w:val="18"/>
              </w:rPr>
              <w:t>EP-08</w:t>
            </w:r>
          </w:p>
        </w:tc>
        <w:tc>
          <w:tcPr>
            <w:tcW w:type="dxa" w:w="1984"/>
          </w:tcPr>
          <w:p>
            <w:pPr>
              <w:spacing w:before="40" w:after="40"/>
            </w:pPr>
            <w:r/>
            <w:r>
              <w:rPr>
                <w:rFonts w:ascii="Calibri" w:hAnsi="Calibri"/>
                <w:b w:val="0"/>
                <w:sz w:val="18"/>
              </w:rPr>
              <w:t>Vanadium pentoxide</w:t>
            </w:r>
          </w:p>
        </w:tc>
        <w:tc>
          <w:tcPr>
            <w:tcW w:type="dxa" w:w="850"/>
          </w:tcPr>
          <w:p>
            <w:pPr>
              <w:spacing w:before="40" w:after="40"/>
            </w:pPr>
            <w:r/>
            <w:r>
              <w:rPr>
                <w:rFonts w:ascii="Calibri" w:hAnsi="Calibri"/>
                <w:b w:val="0"/>
                <w:sz w:val="18"/>
              </w:rPr>
              <w:t>6.1/III</w:t>
            </w:r>
          </w:p>
        </w:tc>
        <w:tc>
          <w:tcPr>
            <w:tcW w:type="dxa" w:w="1417"/>
          </w:tcPr>
          <w:p>
            <w:pPr>
              <w:spacing w:before="40" w:after="40"/>
            </w:pPr>
            <w:r/>
            <w:r>
              <w:rPr>
                <w:rFonts w:ascii="Calibri" w:hAnsi="Calibri"/>
                <w:b w:val="0"/>
                <w:sz w:val="18"/>
              </w:rPr>
              <w:t>C</w:t>
            </w:r>
          </w:p>
        </w:tc>
        <w:tc>
          <w:tcPr>
            <w:tcW w:type="dxa" w:w="1134"/>
          </w:tcPr>
          <w:p>
            <w:pPr>
              <w:spacing w:before="40" w:after="40"/>
            </w:pPr>
            <w:r/>
            <w:r>
              <w:rPr>
                <w:rFonts w:ascii="Calibri" w:hAnsi="Calibri"/>
                <w:b w:val="0"/>
                <w:sz w:val="18"/>
              </w:rPr>
              <w:t>C (CMR)</w:t>
            </w:r>
          </w:p>
        </w:tc>
        <w:tc>
          <w:tcPr>
            <w:tcW w:type="dxa" w:w="1134"/>
          </w:tcPr>
          <w:p>
            <w:pPr>
              <w:spacing w:before="40" w:after="40"/>
            </w:pPr>
            <w:r/>
            <w:r>
              <w:rPr>
                <w:rFonts w:ascii="Calibri" w:hAnsi="Calibri"/>
                <w:b w:val="0"/>
                <w:sz w:val="18"/>
              </w:rPr>
              <w:t>C</w:t>
            </w:r>
          </w:p>
        </w:tc>
        <w:tc>
          <w:tcPr>
            <w:tcW w:type="dxa" w:w="1417"/>
          </w:tcPr>
          <w:p>
            <w:pPr>
              <w:spacing w:before="40" w:after="40"/>
            </w:pPr>
            <w:r/>
            <w:r>
              <w:rPr>
                <w:rFonts w:ascii="Calibri" w:hAnsi="Calibri"/>
                <w:b w:val="0"/>
                <w:sz w:val="18"/>
              </w:rPr>
              <w:t>Beide</w:t>
            </w:r>
          </w:p>
        </w:tc>
      </w:tr>
      <w:tr>
        <w:tc>
          <w:tcPr>
            <w:tcW w:type="dxa" w:w="850"/>
          </w:tcPr>
          <w:p>
            <w:pPr>
              <w:spacing w:before="40" w:after="40"/>
            </w:pPr>
            <w:r/>
            <w:r>
              <w:rPr>
                <w:rFonts w:ascii="Calibri" w:hAnsi="Calibri"/>
                <w:b w:val="0"/>
                <w:sz w:val="18"/>
              </w:rPr>
              <w:t>IC-01</w:t>
            </w:r>
          </w:p>
        </w:tc>
        <w:tc>
          <w:tcPr>
            <w:tcW w:type="dxa" w:w="1984"/>
          </w:tcPr>
          <w:p>
            <w:pPr>
              <w:spacing w:before="40" w:after="40"/>
            </w:pPr>
            <w:r/>
            <w:r>
              <w:rPr>
                <w:rFonts w:ascii="Calibri" w:hAnsi="Calibri"/>
                <w:b w:val="0"/>
                <w:sz w:val="18"/>
              </w:rPr>
              <w:t>Steelmaking Slag (poeder)</w:t>
            </w:r>
          </w:p>
        </w:tc>
        <w:tc>
          <w:tcPr>
            <w:tcW w:type="dxa" w:w="850"/>
          </w:tcPr>
          <w:p>
            <w:pPr>
              <w:spacing w:before="40" w:after="40"/>
            </w:pPr>
            <w:r/>
            <w:r>
              <w:rPr>
                <w:rFonts w:ascii="Calibri" w:hAnsi="Calibri"/>
                <w:b w:val="0"/>
                <w:sz w:val="18"/>
              </w:rPr>
              <w:t>Geen/—</w:t>
            </w:r>
          </w:p>
        </w:tc>
        <w:tc>
          <w:tcPr>
            <w:tcW w:type="dxa" w:w="1417"/>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417"/>
          </w:tcPr>
          <w:p>
            <w:pPr>
              <w:spacing w:before="40" w:after="40"/>
            </w:pPr>
            <w:r/>
            <w:r>
              <w:rPr>
                <w:rFonts w:ascii="Calibri" w:hAnsi="Calibri"/>
                <w:b w:val="0"/>
                <w:sz w:val="18"/>
              </w:rPr>
              <w:t>Beide</w:t>
            </w:r>
          </w:p>
        </w:tc>
      </w:tr>
      <w:tr>
        <w:tc>
          <w:tcPr>
            <w:tcW w:type="dxa" w:w="850"/>
          </w:tcPr>
          <w:p>
            <w:pPr>
              <w:spacing w:before="40" w:after="40"/>
            </w:pPr>
            <w:r/>
            <w:r>
              <w:rPr>
                <w:rFonts w:ascii="Calibri" w:hAnsi="Calibri"/>
                <w:b w:val="0"/>
                <w:sz w:val="18"/>
              </w:rPr>
              <w:t>IM-01</w:t>
            </w:r>
          </w:p>
        </w:tc>
        <w:tc>
          <w:tcPr>
            <w:tcW w:type="dxa" w:w="1984"/>
          </w:tcPr>
          <w:p>
            <w:pPr>
              <w:spacing w:before="40" w:after="40"/>
            </w:pPr>
            <w:r/>
            <w:r>
              <w:rPr>
                <w:rFonts w:ascii="Calibri" w:hAnsi="Calibri"/>
                <w:b w:val="0"/>
                <w:sz w:val="18"/>
              </w:rPr>
              <w:t>Calcium sulfate/silica</w:t>
            </w:r>
          </w:p>
        </w:tc>
        <w:tc>
          <w:tcPr>
            <w:tcW w:type="dxa" w:w="850"/>
          </w:tcPr>
          <w:p>
            <w:pPr>
              <w:spacing w:before="40" w:after="40"/>
            </w:pPr>
            <w:r/>
            <w:r>
              <w:rPr>
                <w:rFonts w:ascii="Calibri" w:hAnsi="Calibri"/>
                <w:b w:val="0"/>
                <w:sz w:val="18"/>
              </w:rPr>
              <w:t>Geen/—</w:t>
            </w:r>
          </w:p>
        </w:tc>
        <w:tc>
          <w:tcPr>
            <w:tcW w:type="dxa" w:w="1417"/>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417"/>
          </w:tcPr>
          <w:p>
            <w:pPr>
              <w:spacing w:before="40" w:after="40"/>
            </w:pPr>
            <w:r/>
            <w:r>
              <w:rPr>
                <w:rFonts w:ascii="Calibri" w:hAnsi="Calibri"/>
                <w:b w:val="0"/>
                <w:sz w:val="18"/>
              </w:rPr>
              <w:t>Beide</w:t>
            </w:r>
          </w:p>
        </w:tc>
      </w:tr>
      <w:tr>
        <w:tc>
          <w:tcPr>
            <w:tcW w:type="dxa" w:w="850"/>
          </w:tcPr>
          <w:p>
            <w:pPr>
              <w:spacing w:before="40" w:after="40"/>
            </w:pPr>
            <w:r/>
            <w:r>
              <w:rPr>
                <w:rFonts w:ascii="Calibri" w:hAnsi="Calibri"/>
                <w:b w:val="0"/>
                <w:sz w:val="18"/>
              </w:rPr>
              <w:t>IM-02</w:t>
            </w:r>
          </w:p>
        </w:tc>
        <w:tc>
          <w:tcPr>
            <w:tcW w:type="dxa" w:w="1984"/>
          </w:tcPr>
          <w:p>
            <w:pPr>
              <w:spacing w:before="40" w:after="40"/>
            </w:pPr>
            <w:r/>
            <w:r>
              <w:rPr>
                <w:rFonts w:ascii="Calibri" w:hAnsi="Calibri"/>
                <w:b w:val="0"/>
                <w:sz w:val="18"/>
              </w:rPr>
              <w:t>Sodium sulfate decahydrate</w:t>
            </w:r>
          </w:p>
        </w:tc>
        <w:tc>
          <w:tcPr>
            <w:tcW w:type="dxa" w:w="850"/>
          </w:tcPr>
          <w:p>
            <w:pPr>
              <w:spacing w:before="40" w:after="40"/>
            </w:pPr>
            <w:r/>
            <w:r>
              <w:rPr>
                <w:rFonts w:ascii="Calibri" w:hAnsi="Calibri"/>
                <w:b w:val="0"/>
                <w:sz w:val="18"/>
              </w:rPr>
              <w:t>Geen/—</w:t>
            </w:r>
          </w:p>
        </w:tc>
        <w:tc>
          <w:tcPr>
            <w:tcW w:type="dxa" w:w="1417"/>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417"/>
          </w:tcPr>
          <w:p>
            <w:pPr>
              <w:spacing w:before="40" w:after="40"/>
            </w:pPr>
            <w:r/>
            <w:r>
              <w:rPr>
                <w:rFonts w:ascii="Calibri" w:hAnsi="Calibri"/>
                <w:b w:val="0"/>
                <w:sz w:val="18"/>
              </w:rPr>
              <w:t>Beide</w:t>
            </w:r>
          </w:p>
        </w:tc>
      </w:tr>
      <w:tr>
        <w:tc>
          <w:tcPr>
            <w:tcW w:type="dxa" w:w="850"/>
          </w:tcPr>
          <w:p>
            <w:pPr>
              <w:spacing w:before="40" w:after="40"/>
            </w:pPr>
            <w:r/>
            <w:r>
              <w:rPr>
                <w:rFonts w:ascii="Calibri" w:hAnsi="Calibri"/>
                <w:b w:val="0"/>
                <w:sz w:val="18"/>
              </w:rPr>
              <w:t>IM-03</w:t>
            </w:r>
          </w:p>
        </w:tc>
        <w:tc>
          <w:tcPr>
            <w:tcW w:type="dxa" w:w="1984"/>
          </w:tcPr>
          <w:p>
            <w:pPr>
              <w:spacing w:before="40" w:after="40"/>
            </w:pPr>
            <w:r/>
            <w:r>
              <w:rPr>
                <w:rFonts w:ascii="Calibri" w:hAnsi="Calibri"/>
                <w:b w:val="0"/>
                <w:sz w:val="18"/>
              </w:rPr>
              <w:t>Trisodium orthovanadate</w:t>
            </w:r>
          </w:p>
        </w:tc>
        <w:tc>
          <w:tcPr>
            <w:tcW w:type="dxa" w:w="850"/>
          </w:tcPr>
          <w:p>
            <w:pPr>
              <w:spacing w:before="40" w:after="40"/>
            </w:pPr>
            <w:r/>
            <w:r>
              <w:rPr>
                <w:rFonts w:ascii="Calibri" w:hAnsi="Calibri"/>
                <w:b w:val="0"/>
                <w:sz w:val="18"/>
              </w:rPr>
              <w:t>Geen/—</w:t>
            </w:r>
          </w:p>
        </w:tc>
        <w:tc>
          <w:tcPr>
            <w:tcW w:type="dxa" w:w="1417"/>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417"/>
          </w:tcPr>
          <w:p>
            <w:pPr>
              <w:spacing w:before="40" w:after="40"/>
            </w:pPr>
            <w:r/>
            <w:r>
              <w:rPr>
                <w:rFonts w:ascii="Calibri" w:hAnsi="Calibri"/>
                <w:b w:val="0"/>
                <w:sz w:val="18"/>
              </w:rPr>
              <w:t>Beide</w:t>
            </w:r>
          </w:p>
        </w:tc>
      </w:tr>
      <w:tr>
        <w:tc>
          <w:tcPr>
            <w:tcW w:type="dxa" w:w="850"/>
          </w:tcPr>
          <w:p>
            <w:pPr>
              <w:spacing w:before="40" w:after="40"/>
            </w:pPr>
            <w:r/>
            <w:r>
              <w:rPr>
                <w:rFonts w:ascii="Calibri" w:hAnsi="Calibri"/>
                <w:b w:val="0"/>
                <w:sz w:val="18"/>
              </w:rPr>
              <w:t>EP-01</w:t>
            </w:r>
          </w:p>
        </w:tc>
        <w:tc>
          <w:tcPr>
            <w:tcW w:type="dxa" w:w="1984"/>
          </w:tcPr>
          <w:p>
            <w:pPr>
              <w:spacing w:before="40" w:after="40"/>
            </w:pPr>
            <w:r/>
            <w:r>
              <w:rPr>
                <w:rFonts w:ascii="Calibri" w:hAnsi="Calibri"/>
                <w:b w:val="0"/>
                <w:sz w:val="18"/>
              </w:rPr>
              <w:t>Calcium hydroxide</w:t>
            </w:r>
          </w:p>
        </w:tc>
        <w:tc>
          <w:tcPr>
            <w:tcW w:type="dxa" w:w="850"/>
          </w:tcPr>
          <w:p>
            <w:pPr>
              <w:spacing w:before="40" w:after="40"/>
            </w:pPr>
            <w:r/>
            <w:r>
              <w:rPr>
                <w:rFonts w:ascii="Calibri" w:hAnsi="Calibri"/>
                <w:b w:val="0"/>
                <w:sz w:val="18"/>
              </w:rPr>
              <w:t>Geen/—</w:t>
            </w:r>
          </w:p>
        </w:tc>
        <w:tc>
          <w:tcPr>
            <w:tcW w:type="dxa" w:w="1417"/>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417"/>
          </w:tcPr>
          <w:p>
            <w:pPr>
              <w:spacing w:before="40" w:after="40"/>
            </w:pPr>
            <w:r/>
            <w:r>
              <w:rPr>
                <w:rFonts w:ascii="Calibri" w:hAnsi="Calibri"/>
                <w:b w:val="0"/>
                <w:sz w:val="18"/>
              </w:rPr>
              <w:t>Beide</w:t>
            </w:r>
          </w:p>
        </w:tc>
      </w:tr>
      <w:tr>
        <w:tc>
          <w:tcPr>
            <w:tcW w:type="dxa" w:w="850"/>
          </w:tcPr>
          <w:p>
            <w:pPr>
              <w:spacing w:before="40" w:after="40"/>
            </w:pPr>
            <w:r/>
            <w:r>
              <w:rPr>
                <w:rFonts w:ascii="Calibri" w:hAnsi="Calibri"/>
                <w:b w:val="0"/>
                <w:sz w:val="18"/>
              </w:rPr>
              <w:t>EP-02</w:t>
            </w:r>
          </w:p>
        </w:tc>
        <w:tc>
          <w:tcPr>
            <w:tcW w:type="dxa" w:w="1984"/>
          </w:tcPr>
          <w:p>
            <w:pPr>
              <w:spacing w:before="40" w:after="40"/>
            </w:pPr>
            <w:r/>
            <w:r>
              <w:rPr>
                <w:rFonts w:ascii="Calibri" w:hAnsi="Calibri"/>
                <w:b w:val="0"/>
                <w:sz w:val="18"/>
              </w:rPr>
              <w:t>Silica, precipitated</w:t>
            </w:r>
          </w:p>
        </w:tc>
        <w:tc>
          <w:tcPr>
            <w:tcW w:type="dxa" w:w="850"/>
          </w:tcPr>
          <w:p>
            <w:pPr>
              <w:spacing w:before="40" w:after="40"/>
            </w:pPr>
            <w:r/>
            <w:r>
              <w:rPr>
                <w:rFonts w:ascii="Calibri" w:hAnsi="Calibri"/>
                <w:b w:val="0"/>
                <w:sz w:val="18"/>
              </w:rPr>
              <w:t>Geen/—</w:t>
            </w:r>
          </w:p>
        </w:tc>
        <w:tc>
          <w:tcPr>
            <w:tcW w:type="dxa" w:w="1417"/>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417"/>
          </w:tcPr>
          <w:p>
            <w:pPr>
              <w:spacing w:before="40" w:after="40"/>
            </w:pPr>
            <w:r/>
            <w:r>
              <w:rPr>
                <w:rFonts w:ascii="Calibri" w:hAnsi="Calibri"/>
                <w:b w:val="0"/>
                <w:sz w:val="18"/>
              </w:rPr>
              <w:t>Beide</w:t>
            </w:r>
          </w:p>
        </w:tc>
      </w:tr>
      <w:tr>
        <w:tc>
          <w:tcPr>
            <w:tcW w:type="dxa" w:w="850"/>
          </w:tcPr>
          <w:p>
            <w:pPr>
              <w:spacing w:before="40" w:after="40"/>
            </w:pPr>
            <w:r/>
            <w:r>
              <w:rPr>
                <w:rFonts w:ascii="Calibri" w:hAnsi="Calibri"/>
                <w:b w:val="0"/>
                <w:sz w:val="18"/>
              </w:rPr>
              <w:t>EP-03</w:t>
            </w:r>
          </w:p>
        </w:tc>
        <w:tc>
          <w:tcPr>
            <w:tcW w:type="dxa" w:w="1984"/>
          </w:tcPr>
          <w:p>
            <w:pPr>
              <w:spacing w:before="40" w:after="40"/>
            </w:pPr>
            <w:r/>
            <w:r>
              <w:rPr>
                <w:rFonts w:ascii="Calibri" w:hAnsi="Calibri"/>
                <w:b w:val="0"/>
                <w:sz w:val="18"/>
              </w:rPr>
              <w:t>Iron(III) oxide</w:t>
            </w:r>
          </w:p>
        </w:tc>
        <w:tc>
          <w:tcPr>
            <w:tcW w:type="dxa" w:w="850"/>
          </w:tcPr>
          <w:p>
            <w:pPr>
              <w:spacing w:before="40" w:after="40"/>
            </w:pPr>
            <w:r/>
            <w:r>
              <w:rPr>
                <w:rFonts w:ascii="Calibri" w:hAnsi="Calibri"/>
                <w:b w:val="0"/>
                <w:sz w:val="18"/>
              </w:rPr>
              <w:t>Geen/—</w:t>
            </w:r>
          </w:p>
        </w:tc>
        <w:tc>
          <w:tcPr>
            <w:tcW w:type="dxa" w:w="1417"/>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417"/>
          </w:tcPr>
          <w:p>
            <w:pPr>
              <w:spacing w:before="40" w:after="40"/>
            </w:pPr>
            <w:r/>
            <w:r>
              <w:rPr>
                <w:rFonts w:ascii="Calibri" w:hAnsi="Calibri"/>
                <w:b w:val="0"/>
                <w:sz w:val="18"/>
              </w:rPr>
              <w:t>Beide</w:t>
            </w:r>
          </w:p>
        </w:tc>
      </w:tr>
      <w:tr>
        <w:tc>
          <w:tcPr>
            <w:tcW w:type="dxa" w:w="850"/>
          </w:tcPr>
          <w:p>
            <w:pPr>
              <w:spacing w:before="40" w:after="40"/>
            </w:pPr>
            <w:r/>
            <w:r>
              <w:rPr>
                <w:rFonts w:ascii="Calibri" w:hAnsi="Calibri"/>
                <w:b w:val="0"/>
                <w:sz w:val="18"/>
              </w:rPr>
              <w:t>EP-04</w:t>
            </w:r>
          </w:p>
        </w:tc>
        <w:tc>
          <w:tcPr>
            <w:tcW w:type="dxa" w:w="1984"/>
          </w:tcPr>
          <w:p>
            <w:pPr>
              <w:spacing w:before="40" w:after="40"/>
            </w:pPr>
            <w:r/>
            <w:r>
              <w:rPr>
                <w:rFonts w:ascii="Calibri" w:hAnsi="Calibri"/>
                <w:b w:val="0"/>
                <w:sz w:val="18"/>
              </w:rPr>
              <w:t>Manganese(IV) oxide</w:t>
            </w:r>
          </w:p>
        </w:tc>
        <w:tc>
          <w:tcPr>
            <w:tcW w:type="dxa" w:w="850"/>
          </w:tcPr>
          <w:p>
            <w:pPr>
              <w:spacing w:before="40" w:after="40"/>
            </w:pPr>
            <w:r/>
            <w:r>
              <w:rPr>
                <w:rFonts w:ascii="Calibri" w:hAnsi="Calibri"/>
                <w:b w:val="0"/>
                <w:sz w:val="18"/>
              </w:rPr>
              <w:t>Geen/—</w:t>
            </w:r>
          </w:p>
        </w:tc>
        <w:tc>
          <w:tcPr>
            <w:tcW w:type="dxa" w:w="1417"/>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417"/>
          </w:tcPr>
          <w:p>
            <w:pPr>
              <w:spacing w:before="40" w:after="40"/>
            </w:pPr>
            <w:r/>
            <w:r>
              <w:rPr>
                <w:rFonts w:ascii="Calibri" w:hAnsi="Calibri"/>
                <w:b w:val="0"/>
                <w:sz w:val="18"/>
              </w:rPr>
              <w:t>Beide</w:t>
            </w:r>
          </w:p>
        </w:tc>
      </w:tr>
      <w:tr>
        <w:tc>
          <w:tcPr>
            <w:tcW w:type="dxa" w:w="850"/>
          </w:tcPr>
          <w:p>
            <w:pPr>
              <w:spacing w:before="40" w:after="40"/>
            </w:pPr>
            <w:r/>
            <w:r>
              <w:rPr>
                <w:rFonts w:ascii="Calibri" w:hAnsi="Calibri"/>
                <w:b w:val="0"/>
                <w:sz w:val="18"/>
              </w:rPr>
              <w:t>EP-05</w:t>
            </w:r>
          </w:p>
        </w:tc>
        <w:tc>
          <w:tcPr>
            <w:tcW w:type="dxa" w:w="1984"/>
          </w:tcPr>
          <w:p>
            <w:pPr>
              <w:spacing w:before="40" w:after="40"/>
            </w:pPr>
            <w:r/>
            <w:r>
              <w:rPr>
                <w:rFonts w:ascii="Calibri" w:hAnsi="Calibri"/>
                <w:b w:val="0"/>
                <w:sz w:val="18"/>
              </w:rPr>
              <w:t>Magnesium hydroxide</w:t>
            </w:r>
          </w:p>
        </w:tc>
        <w:tc>
          <w:tcPr>
            <w:tcW w:type="dxa" w:w="850"/>
          </w:tcPr>
          <w:p>
            <w:pPr>
              <w:spacing w:before="40" w:after="40"/>
            </w:pPr>
            <w:r/>
            <w:r>
              <w:rPr>
                <w:rFonts w:ascii="Calibri" w:hAnsi="Calibri"/>
                <w:b w:val="0"/>
                <w:sz w:val="18"/>
              </w:rPr>
              <w:t>Geen/—</w:t>
            </w:r>
          </w:p>
        </w:tc>
        <w:tc>
          <w:tcPr>
            <w:tcW w:type="dxa" w:w="1417"/>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417"/>
          </w:tcPr>
          <w:p>
            <w:pPr>
              <w:spacing w:before="40" w:after="40"/>
            </w:pPr>
            <w:r/>
            <w:r>
              <w:rPr>
                <w:rFonts w:ascii="Calibri" w:hAnsi="Calibri"/>
                <w:b w:val="0"/>
                <w:sz w:val="18"/>
              </w:rPr>
              <w:t>Beide</w:t>
            </w:r>
          </w:p>
        </w:tc>
      </w:tr>
      <w:tr>
        <w:tc>
          <w:tcPr>
            <w:tcW w:type="dxa" w:w="850"/>
          </w:tcPr>
          <w:p>
            <w:pPr>
              <w:spacing w:before="40" w:after="40"/>
            </w:pPr>
            <w:r/>
            <w:r>
              <w:rPr>
                <w:rFonts w:ascii="Calibri" w:hAnsi="Calibri"/>
                <w:b w:val="0"/>
                <w:sz w:val="18"/>
              </w:rPr>
              <w:t>EP-07</w:t>
            </w:r>
          </w:p>
        </w:tc>
        <w:tc>
          <w:tcPr>
            <w:tcW w:type="dxa" w:w="1984"/>
          </w:tcPr>
          <w:p>
            <w:pPr>
              <w:spacing w:before="40" w:after="40"/>
            </w:pPr>
            <w:r/>
            <w:r>
              <w:rPr>
                <w:rFonts w:ascii="Calibri" w:hAnsi="Calibri"/>
                <w:b w:val="0"/>
                <w:sz w:val="18"/>
              </w:rPr>
              <w:t>Sodium phosphate</w:t>
            </w:r>
          </w:p>
        </w:tc>
        <w:tc>
          <w:tcPr>
            <w:tcW w:type="dxa" w:w="850"/>
          </w:tcPr>
          <w:p>
            <w:pPr>
              <w:spacing w:before="40" w:after="40"/>
            </w:pPr>
            <w:r/>
            <w:r>
              <w:rPr>
                <w:rFonts w:ascii="Calibri" w:hAnsi="Calibri"/>
                <w:b w:val="0"/>
                <w:sz w:val="18"/>
              </w:rPr>
              <w:t>Geen/—</w:t>
            </w:r>
          </w:p>
        </w:tc>
        <w:tc>
          <w:tcPr>
            <w:tcW w:type="dxa" w:w="1417"/>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134"/>
          </w:tcPr>
          <w:p>
            <w:pPr>
              <w:spacing w:before="40" w:after="40"/>
            </w:pPr>
            <w:r/>
            <w:r>
              <w:rPr>
                <w:rFonts w:ascii="Calibri" w:hAnsi="Calibri"/>
                <w:b w:val="0"/>
                <w:sz w:val="18"/>
              </w:rPr>
              <w:t>Basisniveau</w:t>
            </w:r>
          </w:p>
        </w:tc>
        <w:tc>
          <w:tcPr>
            <w:tcW w:type="dxa" w:w="1417"/>
          </w:tcPr>
          <w:p>
            <w:pPr>
              <w:spacing w:before="40" w:after="40"/>
            </w:pPr>
            <w:r/>
            <w:r>
              <w:rPr>
                <w:rFonts w:ascii="Calibri" w:hAnsi="Calibri"/>
                <w:b w:val="0"/>
                <w:sz w:val="18"/>
              </w:rPr>
              <w:t>Beide</w:t>
            </w:r>
          </w:p>
        </w:tc>
      </w:tr>
    </w:tbl>
    <w:p/>
    <w:p>
      <w:pPr>
        <w:pStyle w:val="Heading2"/>
      </w:pPr>
      <w:r>
        <w:t>3. Specifieke PGS 15:2025 Regelingen</w:t>
      </w:r>
    </w:p>
    <w:p>
      <w:pPr>
        <w:pStyle w:val="Heading3"/>
      </w:pPr>
      <w:r>
        <w:t>3.1 Toepasselijkheid (Tabel 1)</w:t>
      </w:r>
    </w:p>
    <w:p>
      <w:r>
        <w:t>ADR 8 stoffen: Tabel 1 geeft "Alle stoffen m.u.v. meststoffen" → ADR 8 stoffen zijn WEL in het toepassingsgebied van PGS 15. "Buiten scope" is derhalve NIET correct voor ADR 8 stoffen als zodanig. Echter, de ondergrens (Tabel 2) van 250 kg voor ADR 8 PG II+III betekent dat bij &lt;250 kg de richtlijn niet actief wordt voor die individuele stof.</w:t>
      </w:r>
    </w:p>
    <w:p>
      <w:r>
        <w:t>Scanner: Classificeert ADR 8 PG II/III individueel als "Buiten scope" — dit is feitelijk correct in de zin dat 150 kg &lt; 250 kg ondergrens → geen PGS 15 niveau via deze individuele route. De term "Buiten scope" is semantisch misleidend (de stof IS in het toepassingsgebied, maar valt onder de ondergrens). [1]</w:t>
      </w:r>
    </w:p>
    <w:p>
      <w:r>
        <w:t>Handmatig: Geeft ADR 8 PG II stoffen "Niveau B" — dit is fout. Individueel &lt;250 kg → geen niveau via ADR 8 route. Zelfs via aggregatie (4×150=600 kg) geldt voetnoot c voor onbrandbare ADR 8 stoffen: geen aanvullend veiligheidsniveau vereist. [1]</w:t>
      </w:r>
    </w:p>
    <w:p>
      <w:pPr>
        <w:pStyle w:val="Heading3"/>
      </w:pPr>
      <w:r>
        <w:t>3.2 Ondergrenzen (Tabel 2)</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pPr>
              <w:spacing w:before="40" w:after="40"/>
            </w:pPr>
            <w:r/>
            <w:r>
              <w:rPr>
                <w:rFonts w:ascii="Calibri" w:hAnsi="Calibri"/>
                <w:b/>
                <w:color w:val="FFFFFF"/>
                <w:sz w:val="18"/>
              </w:rPr>
              <w:t>ADR-klasse</w:t>
            </w:r>
          </w:p>
        </w:tc>
        <w:tc>
          <w:tcPr>
            <w:tcW w:type="dxa" w:w="1728"/>
            <w:shd w:fill="003366" w:val="clear"/>
          </w:tcPr>
          <w:p>
            <w:pPr>
              <w:spacing w:before="40" w:after="40"/>
            </w:pPr>
            <w:r/>
            <w:r>
              <w:rPr>
                <w:rFonts w:ascii="Calibri" w:hAnsi="Calibri"/>
                <w:b/>
                <w:color w:val="FFFFFF"/>
                <w:sz w:val="18"/>
              </w:rPr>
              <w:t>PG</w:t>
            </w:r>
          </w:p>
        </w:tc>
        <w:tc>
          <w:tcPr>
            <w:tcW w:type="dxa" w:w="1728"/>
            <w:shd w:fill="003366" w:val="clear"/>
          </w:tcPr>
          <w:p>
            <w:pPr>
              <w:spacing w:before="40" w:after="40"/>
            </w:pPr>
            <w:r/>
            <w:r>
              <w:rPr>
                <w:rFonts w:ascii="Calibri" w:hAnsi="Calibri"/>
                <w:b/>
                <w:color w:val="FFFFFF"/>
                <w:sz w:val="18"/>
              </w:rPr>
              <w:t>Ondergrens</w:t>
            </w:r>
          </w:p>
        </w:tc>
        <w:tc>
          <w:tcPr>
            <w:tcW w:type="dxa" w:w="1728"/>
            <w:shd w:fill="003366" w:val="clear"/>
          </w:tcPr>
          <w:p>
            <w:pPr>
              <w:spacing w:before="40" w:after="40"/>
            </w:pPr>
            <w:r/>
            <w:r>
              <w:rPr>
                <w:rFonts w:ascii="Calibri" w:hAnsi="Calibri"/>
                <w:b/>
                <w:color w:val="FFFFFF"/>
                <w:sz w:val="18"/>
              </w:rPr>
              <w:t>150 kg?</w:t>
            </w:r>
          </w:p>
        </w:tc>
        <w:tc>
          <w:tcPr>
            <w:tcW w:type="dxa" w:w="1728"/>
            <w:shd w:fill="003366" w:val="clear"/>
          </w:tcPr>
          <w:p>
            <w:pPr>
              <w:spacing w:before="40" w:after="40"/>
            </w:pPr>
            <w:r/>
            <w:r>
              <w:rPr>
                <w:rFonts w:ascii="Calibri" w:hAnsi="Calibri"/>
                <w:b/>
                <w:color w:val="FFFFFF"/>
                <w:sz w:val="18"/>
              </w:rPr>
              <w:t>PGS 15 actief?</w:t>
            </w:r>
          </w:p>
        </w:tc>
      </w:tr>
      <w:tr>
        <w:tc>
          <w:tcPr>
            <w:tcW w:type="dxa" w:w="1728"/>
          </w:tcPr>
          <w:p>
            <w:pPr>
              <w:spacing w:before="40" w:after="40"/>
            </w:pPr>
            <w:r/>
            <w:r>
              <w:rPr>
                <w:rFonts w:ascii="Calibri" w:hAnsi="Calibri"/>
                <w:b w:val="0"/>
                <w:sz w:val="18"/>
              </w:rPr>
              <w:t>ADR 8</w:t>
            </w:r>
          </w:p>
        </w:tc>
        <w:tc>
          <w:tcPr>
            <w:tcW w:type="dxa" w:w="1728"/>
          </w:tcPr>
          <w:p>
            <w:pPr>
              <w:spacing w:before="40" w:after="40"/>
            </w:pPr>
            <w:r/>
            <w:r>
              <w:rPr>
                <w:rFonts w:ascii="Calibri" w:hAnsi="Calibri"/>
                <w:b w:val="0"/>
                <w:sz w:val="18"/>
              </w:rPr>
              <w:t>II</w:t>
            </w:r>
          </w:p>
        </w:tc>
        <w:tc>
          <w:tcPr>
            <w:tcW w:type="dxa" w:w="1728"/>
          </w:tcPr>
          <w:p>
            <w:pPr>
              <w:spacing w:before="40" w:after="40"/>
            </w:pPr>
            <w:r/>
            <w:r>
              <w:rPr>
                <w:rFonts w:ascii="Calibri" w:hAnsi="Calibri"/>
                <w:b w:val="0"/>
                <w:sz w:val="18"/>
              </w:rPr>
              <w:t>250 kg</w:t>
            </w:r>
          </w:p>
        </w:tc>
        <w:tc>
          <w:tcPr>
            <w:tcW w:type="dxa" w:w="1728"/>
          </w:tcPr>
          <w:p>
            <w:pPr>
              <w:spacing w:before="40" w:after="40"/>
            </w:pPr>
            <w:r/>
            <w:r>
              <w:rPr>
                <w:rFonts w:ascii="Calibri" w:hAnsi="Calibri"/>
                <w:b w:val="0"/>
                <w:sz w:val="18"/>
              </w:rPr>
              <w:t>150 &lt; 250: ONDER</w:t>
            </w:r>
          </w:p>
        </w:tc>
        <w:tc>
          <w:tcPr>
            <w:tcW w:type="dxa" w:w="1728"/>
          </w:tcPr>
          <w:p>
            <w:pPr>
              <w:spacing w:before="40" w:after="40"/>
            </w:pPr>
            <w:r/>
            <w:r>
              <w:rPr>
                <w:rFonts w:ascii="Calibri" w:hAnsi="Calibri"/>
                <w:b w:val="0"/>
                <w:sz w:val="18"/>
              </w:rPr>
              <w:t>Individueel: NEE</w:t>
            </w:r>
          </w:p>
        </w:tc>
      </w:tr>
      <w:tr>
        <w:tc>
          <w:tcPr>
            <w:tcW w:type="dxa" w:w="1728"/>
          </w:tcPr>
          <w:p>
            <w:pPr>
              <w:spacing w:before="40" w:after="40"/>
            </w:pPr>
            <w:r/>
            <w:r>
              <w:rPr>
                <w:rFonts w:ascii="Calibri" w:hAnsi="Calibri"/>
                <w:b w:val="0"/>
                <w:sz w:val="18"/>
              </w:rPr>
              <w:t>ADR 8</w:t>
            </w:r>
          </w:p>
        </w:tc>
        <w:tc>
          <w:tcPr>
            <w:tcW w:type="dxa" w:w="1728"/>
          </w:tcPr>
          <w:p>
            <w:pPr>
              <w:spacing w:before="40" w:after="40"/>
            </w:pPr>
            <w:r/>
            <w:r>
              <w:rPr>
                <w:rFonts w:ascii="Calibri" w:hAnsi="Calibri"/>
                <w:b w:val="0"/>
                <w:sz w:val="18"/>
              </w:rPr>
              <w:t>III</w:t>
            </w:r>
          </w:p>
        </w:tc>
        <w:tc>
          <w:tcPr>
            <w:tcW w:type="dxa" w:w="1728"/>
          </w:tcPr>
          <w:p>
            <w:pPr>
              <w:spacing w:before="40" w:after="40"/>
            </w:pPr>
            <w:r/>
            <w:r>
              <w:rPr>
                <w:rFonts w:ascii="Calibri" w:hAnsi="Calibri"/>
                <w:b w:val="0"/>
                <w:sz w:val="18"/>
              </w:rPr>
              <w:t>250 kg</w:t>
            </w:r>
          </w:p>
        </w:tc>
        <w:tc>
          <w:tcPr>
            <w:tcW w:type="dxa" w:w="1728"/>
          </w:tcPr>
          <w:p>
            <w:pPr>
              <w:spacing w:before="40" w:after="40"/>
            </w:pPr>
            <w:r/>
            <w:r>
              <w:rPr>
                <w:rFonts w:ascii="Calibri" w:hAnsi="Calibri"/>
                <w:b w:val="0"/>
                <w:sz w:val="18"/>
              </w:rPr>
              <w:t>150 &lt; 250: ONDER</w:t>
            </w:r>
          </w:p>
        </w:tc>
        <w:tc>
          <w:tcPr>
            <w:tcW w:type="dxa" w:w="1728"/>
          </w:tcPr>
          <w:p>
            <w:pPr>
              <w:spacing w:before="40" w:after="40"/>
            </w:pPr>
            <w:r/>
            <w:r>
              <w:rPr>
                <w:rFonts w:ascii="Calibri" w:hAnsi="Calibri"/>
                <w:b w:val="0"/>
                <w:sz w:val="18"/>
              </w:rPr>
              <w:t>Individueel: NEE</w:t>
            </w:r>
          </w:p>
        </w:tc>
      </w:tr>
      <w:tr>
        <w:tc>
          <w:tcPr>
            <w:tcW w:type="dxa" w:w="1728"/>
          </w:tcPr>
          <w:p>
            <w:pPr>
              <w:spacing w:before="40" w:after="40"/>
            </w:pPr>
            <w:r/>
            <w:r>
              <w:rPr>
                <w:rFonts w:ascii="Calibri" w:hAnsi="Calibri"/>
                <w:b w:val="0"/>
                <w:sz w:val="18"/>
              </w:rPr>
              <w:t>ADR 5.1</w:t>
            </w:r>
          </w:p>
        </w:tc>
        <w:tc>
          <w:tcPr>
            <w:tcW w:type="dxa" w:w="1728"/>
          </w:tcPr>
          <w:p>
            <w:pPr>
              <w:spacing w:before="40" w:after="40"/>
            </w:pPr>
            <w:r/>
            <w:r>
              <w:rPr>
                <w:rFonts w:ascii="Calibri" w:hAnsi="Calibri"/>
                <w:b w:val="0"/>
                <w:sz w:val="18"/>
              </w:rPr>
              <w:t>II</w:t>
            </w:r>
          </w:p>
        </w:tc>
        <w:tc>
          <w:tcPr>
            <w:tcW w:type="dxa" w:w="1728"/>
          </w:tcPr>
          <w:p>
            <w:pPr>
              <w:spacing w:before="40" w:after="40"/>
            </w:pPr>
            <w:r/>
            <w:r>
              <w:rPr>
                <w:rFonts w:ascii="Calibri" w:hAnsi="Calibri"/>
                <w:b w:val="0"/>
                <w:sz w:val="18"/>
              </w:rPr>
              <w:t>50 kg</w:t>
            </w:r>
          </w:p>
        </w:tc>
        <w:tc>
          <w:tcPr>
            <w:tcW w:type="dxa" w:w="1728"/>
          </w:tcPr>
          <w:p>
            <w:pPr>
              <w:spacing w:before="40" w:after="40"/>
            </w:pPr>
            <w:r/>
            <w:r>
              <w:rPr>
                <w:rFonts w:ascii="Calibri" w:hAnsi="Calibri"/>
                <w:b w:val="0"/>
                <w:sz w:val="18"/>
              </w:rPr>
              <w:t>150 &gt; 50: BOVEN</w:t>
            </w:r>
          </w:p>
        </w:tc>
        <w:tc>
          <w:tcPr>
            <w:tcW w:type="dxa" w:w="1728"/>
          </w:tcPr>
          <w:p>
            <w:pPr>
              <w:spacing w:before="40" w:after="40"/>
            </w:pPr>
            <w:r/>
            <w:r>
              <w:rPr>
                <w:rFonts w:ascii="Calibri" w:hAnsi="Calibri"/>
                <w:b w:val="0"/>
                <w:sz w:val="18"/>
              </w:rPr>
              <w:t>JA</w:t>
            </w:r>
          </w:p>
        </w:tc>
      </w:tr>
      <w:tr>
        <w:tc>
          <w:tcPr>
            <w:tcW w:type="dxa" w:w="1728"/>
          </w:tcPr>
          <w:p>
            <w:pPr>
              <w:spacing w:before="40" w:after="40"/>
            </w:pPr>
            <w:r/>
            <w:r>
              <w:rPr>
                <w:rFonts w:ascii="Calibri" w:hAnsi="Calibri"/>
                <w:b w:val="0"/>
                <w:sz w:val="18"/>
              </w:rPr>
              <w:t>ADR 5.1</w:t>
            </w:r>
          </w:p>
        </w:tc>
        <w:tc>
          <w:tcPr>
            <w:tcW w:type="dxa" w:w="1728"/>
          </w:tcPr>
          <w:p>
            <w:pPr>
              <w:spacing w:before="40" w:after="40"/>
            </w:pPr>
            <w:r/>
            <w:r>
              <w:rPr>
                <w:rFonts w:ascii="Calibri" w:hAnsi="Calibri"/>
                <w:b w:val="0"/>
                <w:sz w:val="18"/>
              </w:rPr>
              <w:t>III</w:t>
            </w:r>
          </w:p>
        </w:tc>
        <w:tc>
          <w:tcPr>
            <w:tcW w:type="dxa" w:w="1728"/>
          </w:tcPr>
          <w:p>
            <w:pPr>
              <w:spacing w:before="40" w:after="40"/>
            </w:pPr>
            <w:r/>
            <w:r>
              <w:rPr>
                <w:rFonts w:ascii="Calibri" w:hAnsi="Calibri"/>
                <w:b w:val="0"/>
                <w:sz w:val="18"/>
              </w:rPr>
              <w:t>50 kg</w:t>
            </w:r>
          </w:p>
        </w:tc>
        <w:tc>
          <w:tcPr>
            <w:tcW w:type="dxa" w:w="1728"/>
          </w:tcPr>
          <w:p>
            <w:pPr>
              <w:spacing w:before="40" w:after="40"/>
            </w:pPr>
            <w:r/>
            <w:r>
              <w:rPr>
                <w:rFonts w:ascii="Calibri" w:hAnsi="Calibri"/>
                <w:b w:val="0"/>
                <w:sz w:val="18"/>
              </w:rPr>
              <w:t>150 &gt; 50: BOVEN</w:t>
            </w:r>
          </w:p>
        </w:tc>
        <w:tc>
          <w:tcPr>
            <w:tcW w:type="dxa" w:w="1728"/>
          </w:tcPr>
          <w:p>
            <w:pPr>
              <w:spacing w:before="40" w:after="40"/>
            </w:pPr>
            <w:r/>
            <w:r>
              <w:rPr>
                <w:rFonts w:ascii="Calibri" w:hAnsi="Calibri"/>
                <w:b w:val="0"/>
                <w:sz w:val="18"/>
              </w:rPr>
              <w:t>JA</w:t>
            </w:r>
          </w:p>
        </w:tc>
      </w:tr>
      <w:tr>
        <w:tc>
          <w:tcPr>
            <w:tcW w:type="dxa" w:w="1728"/>
          </w:tcPr>
          <w:p>
            <w:pPr>
              <w:spacing w:before="40" w:after="40"/>
            </w:pPr>
            <w:r/>
            <w:r>
              <w:rPr>
                <w:rFonts w:ascii="Calibri" w:hAnsi="Calibri"/>
                <w:b w:val="0"/>
                <w:sz w:val="18"/>
              </w:rPr>
              <w:t>ADR 6.1</w:t>
            </w:r>
          </w:p>
        </w:tc>
        <w:tc>
          <w:tcPr>
            <w:tcW w:type="dxa" w:w="1728"/>
          </w:tcPr>
          <w:p>
            <w:pPr>
              <w:spacing w:before="40" w:after="40"/>
            </w:pPr>
            <w:r/>
            <w:r>
              <w:rPr>
                <w:rFonts w:ascii="Calibri" w:hAnsi="Calibri"/>
                <w:b w:val="0"/>
                <w:sz w:val="18"/>
              </w:rPr>
              <w:t>III</w:t>
            </w:r>
          </w:p>
        </w:tc>
        <w:tc>
          <w:tcPr>
            <w:tcW w:type="dxa" w:w="1728"/>
          </w:tcPr>
          <w:p>
            <w:pPr>
              <w:spacing w:before="40" w:after="40"/>
            </w:pPr>
            <w:r/>
            <w:r>
              <w:rPr>
                <w:rFonts w:ascii="Calibri" w:hAnsi="Calibri"/>
                <w:b w:val="0"/>
                <w:sz w:val="18"/>
              </w:rPr>
              <w:t>50 kg</w:t>
            </w:r>
          </w:p>
        </w:tc>
        <w:tc>
          <w:tcPr>
            <w:tcW w:type="dxa" w:w="1728"/>
          </w:tcPr>
          <w:p>
            <w:pPr>
              <w:spacing w:before="40" w:after="40"/>
            </w:pPr>
            <w:r/>
            <w:r>
              <w:rPr>
                <w:rFonts w:ascii="Calibri" w:hAnsi="Calibri"/>
                <w:b w:val="0"/>
                <w:sz w:val="18"/>
              </w:rPr>
              <w:t>150 &gt; 50: BOVEN</w:t>
            </w:r>
          </w:p>
        </w:tc>
        <w:tc>
          <w:tcPr>
            <w:tcW w:type="dxa" w:w="1728"/>
          </w:tcPr>
          <w:p>
            <w:pPr>
              <w:spacing w:before="40" w:after="40"/>
            </w:pPr>
            <w:r/>
            <w:r>
              <w:rPr>
                <w:rFonts w:ascii="Calibri" w:hAnsi="Calibri"/>
                <w:b w:val="0"/>
                <w:sz w:val="18"/>
              </w:rPr>
              <w:t>JA</w:t>
            </w:r>
          </w:p>
        </w:tc>
      </w:tr>
      <w:tr>
        <w:tc>
          <w:tcPr>
            <w:tcW w:type="dxa" w:w="1728"/>
          </w:tcPr>
          <w:p>
            <w:pPr>
              <w:spacing w:before="40" w:after="40"/>
            </w:pPr>
            <w:r/>
            <w:r>
              <w:rPr>
                <w:rFonts w:ascii="Calibri" w:hAnsi="Calibri"/>
                <w:b w:val="0"/>
                <w:sz w:val="18"/>
              </w:rPr>
              <w:t>CMR</w:t>
            </w:r>
          </w:p>
        </w:tc>
        <w:tc>
          <w:tcPr>
            <w:tcW w:type="dxa" w:w="1728"/>
          </w:tcPr>
          <w:p>
            <w:pPr>
              <w:spacing w:before="40" w:after="40"/>
            </w:pPr>
            <w:r/>
            <w:r>
              <w:rPr>
                <w:rFonts w:ascii="Calibri" w:hAnsi="Calibri"/>
                <w:b w:val="0"/>
                <w:sz w:val="18"/>
              </w:rPr>
              <w:t>n.v.t.</w:t>
            </w:r>
          </w:p>
        </w:tc>
        <w:tc>
          <w:tcPr>
            <w:tcW w:type="dxa" w:w="1728"/>
          </w:tcPr>
          <w:p>
            <w:pPr>
              <w:spacing w:before="40" w:after="40"/>
            </w:pPr>
            <w:r/>
            <w:r>
              <w:rPr>
                <w:rFonts w:ascii="Calibri" w:hAnsi="Calibri"/>
                <w:b w:val="0"/>
                <w:sz w:val="18"/>
              </w:rPr>
              <w:t>25 kg</w:t>
            </w:r>
          </w:p>
        </w:tc>
        <w:tc>
          <w:tcPr>
            <w:tcW w:type="dxa" w:w="1728"/>
          </w:tcPr>
          <w:p>
            <w:pPr>
              <w:spacing w:before="40" w:after="40"/>
            </w:pPr>
            <w:r/>
            <w:r>
              <w:rPr>
                <w:rFonts w:ascii="Calibri" w:hAnsi="Calibri"/>
                <w:b w:val="0"/>
                <w:sz w:val="18"/>
              </w:rPr>
              <w:t>150 &gt; 25: BOVEN</w:t>
            </w:r>
          </w:p>
        </w:tc>
        <w:tc>
          <w:tcPr>
            <w:tcW w:type="dxa" w:w="1728"/>
          </w:tcPr>
          <w:p>
            <w:pPr>
              <w:spacing w:before="40" w:after="40"/>
            </w:pPr>
            <w:r/>
            <w:r>
              <w:rPr>
                <w:rFonts w:ascii="Calibri" w:hAnsi="Calibri"/>
                <w:b w:val="0"/>
                <w:sz w:val="18"/>
              </w:rPr>
              <w:t>JA</w:t>
            </w:r>
          </w:p>
        </w:tc>
      </w:tr>
      <w:tr>
        <w:tc>
          <w:tcPr>
            <w:tcW w:type="dxa" w:w="1728"/>
          </w:tcPr>
          <w:p>
            <w:pPr>
              <w:spacing w:before="40" w:after="40"/>
            </w:pPr>
            <w:r/>
            <w:r>
              <w:rPr>
                <w:rFonts w:ascii="Calibri" w:hAnsi="Calibri"/>
                <w:b w:val="0"/>
                <w:sz w:val="18"/>
              </w:rPr>
              <w:t>CLP acute tox 1</w:t>
            </w:r>
          </w:p>
        </w:tc>
        <w:tc>
          <w:tcPr>
            <w:tcW w:type="dxa" w:w="1728"/>
          </w:tcPr>
          <w:p>
            <w:pPr>
              <w:spacing w:before="40" w:after="40"/>
            </w:pPr>
            <w:r/>
            <w:r>
              <w:rPr>
                <w:rFonts w:ascii="Calibri" w:hAnsi="Calibri"/>
                <w:b w:val="0"/>
                <w:sz w:val="18"/>
              </w:rPr>
              <w:t>n.v.t.</w:t>
            </w:r>
          </w:p>
        </w:tc>
        <w:tc>
          <w:tcPr>
            <w:tcW w:type="dxa" w:w="1728"/>
          </w:tcPr>
          <w:p>
            <w:pPr>
              <w:spacing w:before="40" w:after="40"/>
            </w:pPr>
            <w:r/>
            <w:r>
              <w:rPr>
                <w:rFonts w:ascii="Calibri" w:hAnsi="Calibri"/>
                <w:b w:val="0"/>
                <w:sz w:val="18"/>
              </w:rPr>
              <w:t>1 kg</w:t>
            </w:r>
          </w:p>
        </w:tc>
        <w:tc>
          <w:tcPr>
            <w:tcW w:type="dxa" w:w="1728"/>
          </w:tcPr>
          <w:p>
            <w:pPr>
              <w:spacing w:before="40" w:after="40"/>
            </w:pPr>
            <w:r/>
            <w:r>
              <w:rPr>
                <w:rFonts w:ascii="Calibri" w:hAnsi="Calibri"/>
                <w:b w:val="0"/>
                <w:sz w:val="18"/>
              </w:rPr>
              <w:t>150 &gt; 1: BOVEN</w:t>
            </w:r>
          </w:p>
        </w:tc>
        <w:tc>
          <w:tcPr>
            <w:tcW w:type="dxa" w:w="1728"/>
          </w:tcPr>
          <w:p>
            <w:pPr>
              <w:spacing w:before="40" w:after="40"/>
            </w:pPr>
            <w:r/>
            <w:r>
              <w:rPr>
                <w:rFonts w:ascii="Calibri" w:hAnsi="Calibri"/>
                <w:b w:val="0"/>
                <w:sz w:val="18"/>
              </w:rPr>
              <w:t>JA</w:t>
            </w:r>
          </w:p>
        </w:tc>
      </w:tr>
    </w:tbl>
    <w:p>
      <w:pPr>
        <w:pStyle w:val="Heading3"/>
      </w:pPr>
      <w:r>
        <w:t>3.3 Aggregatie</w:t>
      </w:r>
    </w:p>
    <w:p>
      <w:r>
        <w:t>ADR 8 PG II aggregatie: H₂SO₄ + HCl + V-electrolyte + NaAlO₂ = 4 × 150 = 600 kg &gt; 250 kg ondergrens. Aggregatie is derhalve VAN TOEPASSING voor de ADR 8 PG II stoffen gezamenlijk.</w:t>
      </w:r>
    </w:p>
    <w:p>
      <w:r>
        <w:t>Echter: voetnoot c van Tabel 6 bepaalt dat onbrandbare/niet-brandonderhoudende ADR 8 stoffen in dedicated opslag geen aanvullend veiligheidsniveau vereisen — alleen basisveiligheidsniveau. Alle vier ADR 8 stoffen zijn onbrandbaar. De aggregatie leidt dus NIET tot een hoger niveau dan basisveiligheidsniveau. [1]</w:t>
      </w:r>
    </w:p>
    <w:p>
      <w:r>
        <w:t>ADR 5.1 aggregatie: H₂O₂ (PG II) + Na₂S₂O₈ (PG III) = 300 kg &lt; 2.500 kg → Niveau C (Wbdbo 60 min). [1]</w:t>
      </w:r>
    </w:p>
    <w:p>
      <w:r>
        <w:t>ADR 6.1 PG III aggregatie: V₂O₅ + NaVO₃ = 300 kg &lt; 10 ton → Niveau C (Wbdbo 60 min). [1]</w:t>
      </w:r>
    </w:p>
    <w:p>
      <w:pPr>
        <w:pStyle w:val="Heading3"/>
      </w:pPr>
      <w:r>
        <w:t>3.4 Catch-all</w:t>
      </w:r>
    </w:p>
    <w:p>
      <w:r>
        <w:t>Totaal verpakte gevaarlijke stoffen: 18 × 150 kg = 2.700 kg &gt; 1.000 kg → Catch-all is ALTIJD van toepassing. Beide documenten bevestigen dit correct. De catch-all betekent dat PGS 15 in ieder geval van toepassing is op de inrichting, ook voor stoffen die individueel onder de ondergrens vallen.</w:t>
      </w:r>
    </w:p>
    <w:p>
      <w:pPr>
        <w:pStyle w:val="Heading3"/>
      </w:pPr>
      <w:r>
        <w:t>3.5 CMR-route</w:t>
      </w:r>
    </w:p>
    <w:p>
      <w:r>
        <w:t>V₂O₅ (Carc. 1B): Heeft ADR-classificatie (6.1 PG III) → niveau wordt bepaald via ADR 6.1 route, NIET via CMR-route. PGS 15 Tabel 6: CMR-stoffen ZONDER ADR-classificatie → alleen basisveiligheidsniveau. V₂O₅ HEEFT ADR → via ADR 6.1. 150 kg &lt; 10 ton → Niveau C (Wbdbo 60 min). CMR-classificatie is wel relevant voor Arbowetgeving (zorgplicht, maatregelen). [1]</w:t>
      </w:r>
    </w:p>
    <w:p>
      <w:r>
        <w:t>Na-metavanadate (Muta. 2 + Repr. 2): Heeft ADR 6.1 PG III → via ADR 6.1 route. 150 kg &lt; 10 ton → Niveau C. [1]</w:t>
      </w:r>
    </w:p>
    <w:p>
      <w:r>
        <w:t>V-electrolyte (Repr. 2): Heeft ADR 8 PG II → via ADR 8 route. Individueel 150 kg &lt; 250 kg. Via aggregatie: onbrandbaar → voetnoot c: alleen basisveiligheidsniveau. CMR Repr. 2 is relevant voor Arbowetgeving, maar levert géén PGS 15 niveau via Tabel 6 (omdat de stof een ADR-classificatie heeft). [1]</w:t>
      </w:r>
    </w:p>
    <w:p>
      <w:pPr>
        <w:pStyle w:val="Heading2"/>
      </w:pPr>
      <w:r>
        <w:t>4. Eindoordeel per Document</w:t>
      </w:r>
    </w:p>
    <w:p>
      <w:pPr>
        <w:pStyle w:val="Heading3"/>
      </w:pPr>
      <w:r>
        <w:t>4.1 Handmatig v6.0</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val="clear"/>
          </w:tcPr>
          <w:p>
            <w:pPr>
              <w:spacing w:before="40" w:after="40"/>
            </w:pPr>
            <w:r/>
            <w:r>
              <w:rPr>
                <w:rFonts w:ascii="Calibri" w:hAnsi="Calibri"/>
                <w:b/>
                <w:color w:val="FFFFFF"/>
                <w:sz w:val="18"/>
              </w:rPr>
              <w:t>Aspect</w:t>
            </w:r>
          </w:p>
        </w:tc>
        <w:tc>
          <w:tcPr>
            <w:tcW w:type="dxa" w:w="2880"/>
            <w:shd w:fill="003366" w:val="clear"/>
          </w:tcPr>
          <w:p>
            <w:pPr>
              <w:spacing w:before="40" w:after="40"/>
            </w:pPr>
            <w:r/>
            <w:r>
              <w:rPr>
                <w:rFonts w:ascii="Calibri" w:hAnsi="Calibri"/>
                <w:b/>
                <w:color w:val="FFFFFF"/>
                <w:sz w:val="18"/>
              </w:rPr>
              <w:t>Bevinding</w:t>
            </w:r>
          </w:p>
        </w:tc>
        <w:tc>
          <w:tcPr>
            <w:tcW w:type="dxa" w:w="2880"/>
            <w:shd w:fill="003366" w:val="clear"/>
          </w:tcPr>
          <w:p>
            <w:pPr>
              <w:spacing w:before="40" w:after="40"/>
            </w:pPr>
            <w:r/>
            <w:r>
              <w:rPr>
                <w:rFonts w:ascii="Calibri" w:hAnsi="Calibri"/>
                <w:b/>
                <w:color w:val="FFFFFF"/>
                <w:sz w:val="18"/>
              </w:rPr>
              <w:t>Correct?</w:t>
            </w:r>
          </w:p>
        </w:tc>
      </w:tr>
      <w:tr>
        <w:tc>
          <w:tcPr>
            <w:tcW w:type="dxa" w:w="2880"/>
          </w:tcPr>
          <w:p>
            <w:pPr>
              <w:spacing w:before="40" w:after="40"/>
            </w:pPr>
            <w:r/>
            <w:r>
              <w:rPr>
                <w:rFonts w:ascii="Calibri" w:hAnsi="Calibri"/>
                <w:b w:val="0"/>
                <w:sz w:val="18"/>
              </w:rPr>
              <w:t>IC-02 H₂SO₄: Niveau B</w:t>
            </w:r>
          </w:p>
        </w:tc>
        <w:tc>
          <w:tcPr>
            <w:tcW w:type="dxa" w:w="2880"/>
          </w:tcPr>
          <w:p>
            <w:pPr>
              <w:spacing w:before="40" w:after="40"/>
            </w:pPr>
            <w:r/>
            <w:r>
              <w:rPr>
                <w:rFonts w:ascii="Calibri" w:hAnsi="Calibri"/>
                <w:b w:val="0"/>
                <w:sz w:val="18"/>
              </w:rPr>
              <w:t>ADR 8 PG II, 150 kg &lt; 250 kg ondergrens → geen niveau via ADR 8. Onbrandbaar → voetnoot c</w:t>
            </w:r>
          </w:p>
        </w:tc>
        <w:tc>
          <w:tcPr>
            <w:tcW w:type="dxa" w:w="2880"/>
          </w:tcPr>
          <w:p>
            <w:pPr>
              <w:spacing w:before="40" w:after="40"/>
            </w:pPr>
            <w:r/>
            <w:r>
              <w:rPr>
                <w:rFonts w:ascii="Calibri" w:hAnsi="Calibri"/>
                <w:b w:val="0"/>
                <w:sz w:val="18"/>
              </w:rPr>
              <w:t>FOUT</w:t>
            </w:r>
          </w:p>
        </w:tc>
      </w:tr>
      <w:tr>
        <w:tc>
          <w:tcPr>
            <w:tcW w:type="dxa" w:w="2880"/>
          </w:tcPr>
          <w:p>
            <w:pPr>
              <w:spacing w:before="40" w:after="40"/>
            </w:pPr>
            <w:r/>
            <w:r>
              <w:rPr>
                <w:rFonts w:ascii="Calibri" w:hAnsi="Calibri"/>
                <w:b w:val="0"/>
                <w:sz w:val="18"/>
              </w:rPr>
              <w:t>IC-05 HCl: Niveau B</w:t>
            </w:r>
          </w:p>
        </w:tc>
        <w:tc>
          <w:tcPr>
            <w:tcW w:type="dxa" w:w="2880"/>
          </w:tcPr>
          <w:p>
            <w:pPr>
              <w:spacing w:before="40" w:after="40"/>
            </w:pPr>
            <w:r/>
            <w:r>
              <w:rPr>
                <w:rFonts w:ascii="Calibri" w:hAnsi="Calibri"/>
                <w:b w:val="0"/>
                <w:sz w:val="18"/>
              </w:rPr>
              <w:t>Zelfde als IC-02</w:t>
            </w:r>
          </w:p>
        </w:tc>
        <w:tc>
          <w:tcPr>
            <w:tcW w:type="dxa" w:w="2880"/>
          </w:tcPr>
          <w:p>
            <w:pPr>
              <w:spacing w:before="40" w:after="40"/>
            </w:pPr>
            <w:r/>
            <w:r>
              <w:rPr>
                <w:rFonts w:ascii="Calibri" w:hAnsi="Calibri"/>
                <w:b w:val="0"/>
                <w:sz w:val="18"/>
              </w:rPr>
              <w:t>FOUT</w:t>
            </w:r>
          </w:p>
        </w:tc>
      </w:tr>
      <w:tr>
        <w:tc>
          <w:tcPr>
            <w:tcW w:type="dxa" w:w="2880"/>
          </w:tcPr>
          <w:p>
            <w:pPr>
              <w:spacing w:before="40" w:after="40"/>
            </w:pPr>
            <w:r/>
            <w:r>
              <w:rPr>
                <w:rFonts w:ascii="Calibri" w:hAnsi="Calibri"/>
                <w:b w:val="0"/>
                <w:sz w:val="18"/>
              </w:rPr>
              <w:t>EP-06 NaAlO₂: PG II</w:t>
            </w:r>
          </w:p>
        </w:tc>
        <w:tc>
          <w:tcPr>
            <w:tcW w:type="dxa" w:w="2880"/>
          </w:tcPr>
          <w:p>
            <w:pPr>
              <w:spacing w:before="40" w:after="40"/>
            </w:pPr>
            <w:r/>
            <w:r>
              <w:rPr>
                <w:rFonts w:ascii="Calibri" w:hAnsi="Calibri"/>
                <w:b w:val="0"/>
                <w:sz w:val="18"/>
              </w:rPr>
              <w:t>Scanner geeft PG III. PG-discrepantie tussen documenten. Controleer SDS.</w:t>
            </w:r>
          </w:p>
        </w:tc>
        <w:tc>
          <w:tcPr>
            <w:tcW w:type="dxa" w:w="2880"/>
          </w:tcPr>
          <w:p>
            <w:pPr>
              <w:spacing w:before="40" w:after="40"/>
            </w:pPr>
            <w:r/>
            <w:r>
              <w:rPr>
                <w:rFonts w:ascii="Calibri" w:hAnsi="Calibri"/>
                <w:b w:val="0"/>
                <w:sz w:val="18"/>
              </w:rPr>
              <w:t>Twijfelachtig</w:t>
            </w:r>
          </w:p>
        </w:tc>
      </w:tr>
      <w:tr>
        <w:tc>
          <w:tcPr>
            <w:tcW w:type="dxa" w:w="2880"/>
          </w:tcPr>
          <w:p>
            <w:pPr>
              <w:spacing w:before="40" w:after="40"/>
            </w:pPr>
            <w:r/>
            <w:r>
              <w:rPr>
                <w:rFonts w:ascii="Calibri" w:hAnsi="Calibri"/>
                <w:b w:val="0"/>
                <w:sz w:val="18"/>
              </w:rPr>
              <w:t>EP-06 NaAlO₂: Niveau B</w:t>
            </w:r>
          </w:p>
        </w:tc>
        <w:tc>
          <w:tcPr>
            <w:tcW w:type="dxa" w:w="2880"/>
          </w:tcPr>
          <w:p>
            <w:pPr>
              <w:spacing w:before="40" w:after="40"/>
            </w:pPr>
            <w:r/>
            <w:r>
              <w:rPr>
                <w:rFonts w:ascii="Calibri" w:hAnsi="Calibri"/>
                <w:b w:val="0"/>
                <w:sz w:val="18"/>
              </w:rPr>
              <w:t>ADR 8 PG II/III, 150 kg &lt; 250 kg → geen niveau via ADR 8</w:t>
            </w:r>
          </w:p>
        </w:tc>
        <w:tc>
          <w:tcPr>
            <w:tcW w:type="dxa" w:w="2880"/>
          </w:tcPr>
          <w:p>
            <w:pPr>
              <w:spacing w:before="40" w:after="40"/>
            </w:pPr>
            <w:r/>
            <w:r>
              <w:rPr>
                <w:rFonts w:ascii="Calibri" w:hAnsi="Calibri"/>
                <w:b w:val="0"/>
                <w:sz w:val="18"/>
              </w:rPr>
              <w:t>FOUT</w:t>
            </w:r>
          </w:p>
        </w:tc>
      </w:tr>
      <w:tr>
        <w:tc>
          <w:tcPr>
            <w:tcW w:type="dxa" w:w="2880"/>
          </w:tcPr>
          <w:p>
            <w:pPr>
              <w:spacing w:before="40" w:after="40"/>
            </w:pPr>
            <w:r/>
            <w:r>
              <w:rPr>
                <w:rFonts w:ascii="Calibri" w:hAnsi="Calibri"/>
                <w:b w:val="0"/>
                <w:sz w:val="18"/>
              </w:rPr>
              <w:t>IC-03 H₂O₂: Niveau B</w:t>
            </w:r>
          </w:p>
        </w:tc>
        <w:tc>
          <w:tcPr>
            <w:tcW w:type="dxa" w:w="2880"/>
          </w:tcPr>
          <w:p>
            <w:pPr>
              <w:spacing w:before="40" w:after="40"/>
            </w:pPr>
            <w:r/>
            <w:r>
              <w:rPr>
                <w:rFonts w:ascii="Calibri" w:hAnsi="Calibri"/>
                <w:b w:val="0"/>
                <w:sz w:val="18"/>
              </w:rPr>
              <w:t>ADR 5.1 PG II, 150 kg &gt; 50 kg, &lt;2,5 ton → Niveau C</w:t>
            </w:r>
          </w:p>
        </w:tc>
        <w:tc>
          <w:tcPr>
            <w:tcW w:type="dxa" w:w="2880"/>
          </w:tcPr>
          <w:p>
            <w:pPr>
              <w:spacing w:before="40" w:after="40"/>
            </w:pPr>
            <w:r/>
            <w:r>
              <w:rPr>
                <w:rFonts w:ascii="Calibri" w:hAnsi="Calibri"/>
                <w:b w:val="0"/>
                <w:sz w:val="18"/>
              </w:rPr>
              <w:t>FOUT</w:t>
            </w:r>
          </w:p>
        </w:tc>
      </w:tr>
      <w:tr>
        <w:tc>
          <w:tcPr>
            <w:tcW w:type="dxa" w:w="2880"/>
          </w:tcPr>
          <w:p>
            <w:pPr>
              <w:spacing w:before="40" w:after="40"/>
            </w:pPr>
            <w:r/>
            <w:r>
              <w:rPr>
                <w:rFonts w:ascii="Calibri" w:hAnsi="Calibri"/>
                <w:b w:val="0"/>
                <w:sz w:val="18"/>
              </w:rPr>
              <w:t>IC-04 Na₂S₂O₈: Niveau B</w:t>
            </w:r>
          </w:p>
        </w:tc>
        <w:tc>
          <w:tcPr>
            <w:tcW w:type="dxa" w:w="2880"/>
          </w:tcPr>
          <w:p>
            <w:pPr>
              <w:spacing w:before="40" w:after="40"/>
            </w:pPr>
            <w:r/>
            <w:r>
              <w:rPr>
                <w:rFonts w:ascii="Calibri" w:hAnsi="Calibri"/>
                <w:b w:val="0"/>
                <w:sz w:val="18"/>
              </w:rPr>
              <w:t>ADR 5.1 PG III, 150 kg &gt; 50 kg, &lt;2,5 ton → Niveau C</w:t>
            </w:r>
          </w:p>
        </w:tc>
        <w:tc>
          <w:tcPr>
            <w:tcW w:type="dxa" w:w="2880"/>
          </w:tcPr>
          <w:p>
            <w:pPr>
              <w:spacing w:before="40" w:after="40"/>
            </w:pPr>
            <w:r/>
            <w:r>
              <w:rPr>
                <w:rFonts w:ascii="Calibri" w:hAnsi="Calibri"/>
                <w:b w:val="0"/>
                <w:sz w:val="18"/>
              </w:rPr>
              <w:t>FOUT</w:t>
            </w:r>
          </w:p>
        </w:tc>
      </w:tr>
      <w:tr>
        <w:tc>
          <w:tcPr>
            <w:tcW w:type="dxa" w:w="2880"/>
          </w:tcPr>
          <w:p>
            <w:pPr>
              <w:spacing w:before="40" w:after="40"/>
            </w:pPr>
            <w:r/>
            <w:r>
              <w:rPr>
                <w:rFonts w:ascii="Calibri" w:hAnsi="Calibri"/>
                <w:b w:val="0"/>
                <w:sz w:val="18"/>
              </w:rPr>
              <w:t>IM-04 NaVO₃: Niveau C (CMR)</w:t>
            </w:r>
          </w:p>
        </w:tc>
        <w:tc>
          <w:tcPr>
            <w:tcW w:type="dxa" w:w="2880"/>
          </w:tcPr>
          <w:p>
            <w:pPr>
              <w:spacing w:before="40" w:after="40"/>
            </w:pPr>
            <w:r/>
            <w:r>
              <w:rPr>
                <w:rFonts w:ascii="Calibri" w:hAnsi="Calibri"/>
                <w:b w:val="0"/>
                <w:sz w:val="18"/>
              </w:rPr>
              <w:t>Correct resultaat, maar reden: heeft ADR → via ADR 6.1, niet CMR-route</w:t>
            </w:r>
          </w:p>
        </w:tc>
        <w:tc>
          <w:tcPr>
            <w:tcW w:type="dxa" w:w="2880"/>
          </w:tcPr>
          <w:p>
            <w:pPr>
              <w:spacing w:before="40" w:after="40"/>
            </w:pPr>
            <w:r/>
            <w:r>
              <w:rPr>
                <w:rFonts w:ascii="Calibri" w:hAnsi="Calibri"/>
                <w:b w:val="0"/>
                <w:sz w:val="18"/>
              </w:rPr>
              <w:t>Resultaat OK,</w:t>
              <w:br/>
              <w:t>reden onjuist</w:t>
            </w:r>
          </w:p>
        </w:tc>
      </w:tr>
      <w:tr>
        <w:tc>
          <w:tcPr>
            <w:tcW w:type="dxa" w:w="2880"/>
          </w:tcPr>
          <w:p>
            <w:pPr>
              <w:spacing w:before="40" w:after="40"/>
            </w:pPr>
            <w:r/>
            <w:r>
              <w:rPr>
                <w:rFonts w:ascii="Calibri" w:hAnsi="Calibri"/>
                <w:b w:val="0"/>
                <w:sz w:val="18"/>
              </w:rPr>
              <w:t>EP-08 V₂O₅: Niveau C (CMR)</w:t>
            </w:r>
          </w:p>
        </w:tc>
        <w:tc>
          <w:tcPr>
            <w:tcW w:type="dxa" w:w="2880"/>
          </w:tcPr>
          <w:p>
            <w:pPr>
              <w:spacing w:before="40" w:after="40"/>
            </w:pPr>
            <w:r/>
            <w:r>
              <w:rPr>
                <w:rFonts w:ascii="Calibri" w:hAnsi="Calibri"/>
                <w:b w:val="0"/>
                <w:sz w:val="18"/>
              </w:rPr>
              <w:t>Correct resultaat, maar reden: heeft ADR → via ADR 6.1, niet CMR-route</w:t>
            </w:r>
          </w:p>
        </w:tc>
        <w:tc>
          <w:tcPr>
            <w:tcW w:type="dxa" w:w="2880"/>
          </w:tcPr>
          <w:p>
            <w:pPr>
              <w:spacing w:before="40" w:after="40"/>
            </w:pPr>
            <w:r/>
            <w:r>
              <w:rPr>
                <w:rFonts w:ascii="Calibri" w:hAnsi="Calibri"/>
                <w:b w:val="0"/>
                <w:sz w:val="18"/>
              </w:rPr>
              <w:t>Resultaat OK,</w:t>
              <w:br/>
              <w:t>reden onjuist</w:t>
            </w:r>
          </w:p>
        </w:tc>
      </w:tr>
      <w:tr>
        <w:tc>
          <w:tcPr>
            <w:tcW w:type="dxa" w:w="2880"/>
          </w:tcPr>
          <w:p>
            <w:pPr>
              <w:spacing w:before="40" w:after="40"/>
            </w:pPr>
            <w:r/>
            <w:r>
              <w:rPr>
                <w:rFonts w:ascii="Calibri" w:hAnsi="Calibri"/>
                <w:b w:val="0"/>
                <w:sz w:val="18"/>
              </w:rPr>
              <w:t>EP-09 Elektrolyt: Niveau C</w:t>
            </w:r>
          </w:p>
        </w:tc>
        <w:tc>
          <w:tcPr>
            <w:tcW w:type="dxa" w:w="2880"/>
          </w:tcPr>
          <w:p>
            <w:pPr>
              <w:spacing w:before="40" w:after="40"/>
            </w:pPr>
            <w:r/>
            <w:r>
              <w:rPr>
                <w:rFonts w:ascii="Calibri" w:hAnsi="Calibri"/>
                <w:b w:val="0"/>
                <w:sz w:val="18"/>
              </w:rPr>
              <w:t>ADR 8 PG II onbrandbaar → voetnoot c. CMR heeft ADR → via ADR 8.</w:t>
            </w:r>
          </w:p>
        </w:tc>
        <w:tc>
          <w:tcPr>
            <w:tcW w:type="dxa" w:w="2880"/>
          </w:tcPr>
          <w:p>
            <w:pPr>
              <w:spacing w:before="40" w:after="40"/>
            </w:pPr>
            <w:r/>
            <w:r>
              <w:rPr>
                <w:rFonts w:ascii="Calibri" w:hAnsi="Calibri"/>
                <w:b w:val="0"/>
                <w:sz w:val="18"/>
              </w:rPr>
              <w:t>FOUT</w:t>
            </w:r>
          </w:p>
        </w:tc>
      </w:tr>
      <w:tr>
        <w:tc>
          <w:tcPr>
            <w:tcW w:type="dxa" w:w="2880"/>
          </w:tcPr>
          <w:p>
            <w:pPr>
              <w:spacing w:before="40" w:after="40"/>
            </w:pPr>
            <w:r/>
            <w:r>
              <w:rPr>
                <w:rFonts w:ascii="Calibri" w:hAnsi="Calibri"/>
                <w:b w:val="0"/>
                <w:sz w:val="18"/>
              </w:rPr>
              <w:t>Aggregatie klasse 8: C</w:t>
            </w:r>
          </w:p>
        </w:tc>
        <w:tc>
          <w:tcPr>
            <w:tcW w:type="dxa" w:w="2880"/>
          </w:tcPr>
          <w:p>
            <w:pPr>
              <w:spacing w:before="40" w:after="40"/>
            </w:pPr>
            <w:r/>
            <w:r>
              <w:rPr>
                <w:rFonts w:ascii="Calibri" w:hAnsi="Calibri"/>
                <w:b w:val="0"/>
                <w:sz w:val="18"/>
              </w:rPr>
              <w:t>Onbrandbare ADR 8 aggregatie → voetnoot c: alleen basisveiligheidsniveau</w:t>
            </w:r>
          </w:p>
        </w:tc>
        <w:tc>
          <w:tcPr>
            <w:tcW w:type="dxa" w:w="2880"/>
          </w:tcPr>
          <w:p>
            <w:pPr>
              <w:spacing w:before="40" w:after="40"/>
            </w:pPr>
            <w:r/>
            <w:r>
              <w:rPr>
                <w:rFonts w:ascii="Calibri" w:hAnsi="Calibri"/>
                <w:b w:val="0"/>
                <w:sz w:val="18"/>
              </w:rPr>
              <w:t>FOUT</w:t>
            </w:r>
          </w:p>
        </w:tc>
      </w:tr>
      <w:tr>
        <w:tc>
          <w:tcPr>
            <w:tcW w:type="dxa" w:w="2880"/>
          </w:tcPr>
          <w:p>
            <w:pPr>
              <w:spacing w:before="40" w:after="40"/>
            </w:pPr>
            <w:r/>
            <w:r>
              <w:rPr>
                <w:rFonts w:ascii="Calibri" w:hAnsi="Calibri"/>
                <w:b w:val="0"/>
                <w:sz w:val="18"/>
              </w:rPr>
              <w:t>Klasse 5.1: Niveau B</w:t>
            </w:r>
          </w:p>
        </w:tc>
        <w:tc>
          <w:tcPr>
            <w:tcW w:type="dxa" w:w="2880"/>
          </w:tcPr>
          <w:p>
            <w:pPr>
              <w:spacing w:before="40" w:after="40"/>
            </w:pPr>
            <w:r/>
            <w:r>
              <w:rPr>
                <w:rFonts w:ascii="Calibri" w:hAnsi="Calibri"/>
                <w:b w:val="0"/>
                <w:sz w:val="18"/>
              </w:rPr>
              <w:t>300 kg &lt; 2.500 kg → Niveau C (Wbdbo 60 min)</w:t>
            </w:r>
          </w:p>
        </w:tc>
        <w:tc>
          <w:tcPr>
            <w:tcW w:type="dxa" w:w="2880"/>
          </w:tcPr>
          <w:p>
            <w:pPr>
              <w:spacing w:before="40" w:after="40"/>
            </w:pPr>
            <w:r/>
            <w:r>
              <w:rPr>
                <w:rFonts w:ascii="Calibri" w:hAnsi="Calibri"/>
                <w:b w:val="0"/>
                <w:sz w:val="18"/>
              </w:rPr>
              <w:t>FOUT</w:t>
            </w:r>
          </w:p>
        </w:tc>
      </w:tr>
      <w:tr>
        <w:tc>
          <w:tcPr>
            <w:tcW w:type="dxa" w:w="2880"/>
          </w:tcPr>
          <w:p>
            <w:pPr>
              <w:spacing w:before="40" w:after="40"/>
            </w:pPr>
            <w:r/>
            <w:r>
              <w:rPr>
                <w:rFonts w:ascii="Calibri" w:hAnsi="Calibri"/>
                <w:b w:val="0"/>
                <w:sz w:val="18"/>
              </w:rPr>
              <w:t>Seveso: Niet van toepassing</w:t>
            </w:r>
          </w:p>
        </w:tc>
        <w:tc>
          <w:tcPr>
            <w:tcW w:type="dxa" w:w="2880"/>
          </w:tcPr>
          <w:p>
            <w:pPr>
              <w:spacing w:before="40" w:after="40"/>
            </w:pPr>
            <w:r/>
            <w:r>
              <w:rPr>
                <w:rFonts w:ascii="Calibri" w:hAnsi="Calibri"/>
                <w:b w:val="0"/>
                <w:sz w:val="18"/>
              </w:rPr>
              <w:t>2.700 kg &lt; Seveso-drempels → correct</w:t>
            </w:r>
          </w:p>
        </w:tc>
        <w:tc>
          <w:tcPr>
            <w:tcW w:type="dxa" w:w="2880"/>
          </w:tcPr>
          <w:p>
            <w:pPr>
              <w:spacing w:before="40" w:after="40"/>
            </w:pPr>
            <w:r/>
            <w:r>
              <w:rPr>
                <w:rFonts w:ascii="Calibri" w:hAnsi="Calibri"/>
                <w:b w:val="0"/>
                <w:sz w:val="18"/>
              </w:rPr>
              <w:t>CORRECT</w:t>
            </w:r>
          </w:p>
        </w:tc>
      </w:tr>
      <w:tr>
        <w:tc>
          <w:tcPr>
            <w:tcW w:type="dxa" w:w="2880"/>
          </w:tcPr>
          <w:p>
            <w:pPr>
              <w:spacing w:before="40" w:after="40"/>
            </w:pPr>
            <w:r/>
            <w:r>
              <w:rPr>
                <w:rFonts w:ascii="Calibri" w:hAnsi="Calibri"/>
                <w:b w:val="0"/>
                <w:sz w:val="18"/>
              </w:rPr>
              <w:t>Catch-all: Van toepassing</w:t>
            </w:r>
          </w:p>
        </w:tc>
        <w:tc>
          <w:tcPr>
            <w:tcW w:type="dxa" w:w="2880"/>
          </w:tcPr>
          <w:p>
            <w:pPr>
              <w:spacing w:before="40" w:after="40"/>
            </w:pPr>
            <w:r/>
            <w:r>
              <w:rPr>
                <w:rFonts w:ascii="Calibri" w:hAnsi="Calibri"/>
                <w:b w:val="0"/>
                <w:sz w:val="18"/>
              </w:rPr>
              <w:t>2.700 kg &gt; 1.000 kg → correct</w:t>
            </w:r>
          </w:p>
        </w:tc>
        <w:tc>
          <w:tcPr>
            <w:tcW w:type="dxa" w:w="2880"/>
          </w:tcPr>
          <w:p>
            <w:pPr>
              <w:spacing w:before="40" w:after="40"/>
            </w:pPr>
            <w:r/>
            <w:r>
              <w:rPr>
                <w:rFonts w:ascii="Calibri" w:hAnsi="Calibri"/>
                <w:b w:val="0"/>
                <w:sz w:val="18"/>
              </w:rPr>
              <w:t>CORRECT</w:t>
            </w:r>
          </w:p>
        </w:tc>
      </w:tr>
      <w:tr>
        <w:tc>
          <w:tcPr>
            <w:tcW w:type="dxa" w:w="2880"/>
          </w:tcPr>
          <w:p>
            <w:pPr>
              <w:spacing w:before="40" w:after="40"/>
            </w:pPr>
            <w:r/>
            <w:r>
              <w:rPr>
                <w:rFonts w:ascii="Calibri" w:hAnsi="Calibri"/>
                <w:b w:val="0"/>
                <w:sz w:val="18"/>
              </w:rPr>
              <w:t>Eindconclusie: Niveau C</w:t>
            </w:r>
          </w:p>
        </w:tc>
        <w:tc>
          <w:tcPr>
            <w:tcW w:type="dxa" w:w="2880"/>
          </w:tcPr>
          <w:p>
            <w:pPr>
              <w:spacing w:before="40" w:after="40"/>
            </w:pPr>
            <w:r/>
            <w:r>
              <w:rPr>
                <w:rFonts w:ascii="Calibri" w:hAnsi="Calibri"/>
                <w:b w:val="0"/>
                <w:sz w:val="18"/>
              </w:rPr>
              <w:t>Correct resultaat, maar via verkeerde route (moet via ADR 6.1 + ADR 5.1, niet via ADR 8 aggregatie)</w:t>
            </w:r>
          </w:p>
        </w:tc>
        <w:tc>
          <w:tcPr>
            <w:tcW w:type="dxa" w:w="2880"/>
          </w:tcPr>
          <w:p>
            <w:pPr>
              <w:spacing w:before="40" w:after="40"/>
            </w:pPr>
            <w:r/>
            <w:r>
              <w:rPr>
                <w:rFonts w:ascii="Calibri" w:hAnsi="Calibri"/>
                <w:b w:val="0"/>
                <w:sz w:val="18"/>
              </w:rPr>
              <w:t>Resultaat OK,</w:t>
              <w:br/>
              <w:t>route onjuist</w:t>
            </w:r>
          </w:p>
        </w:tc>
      </w:tr>
    </w:tbl>
    <w:p/>
    <w:p>
      <w:pPr>
        <w:pStyle w:val="Heading3"/>
      </w:pPr>
      <w:r>
        <w:t>4.2 Scanner v6.0</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val="clear"/>
          </w:tcPr>
          <w:p>
            <w:pPr>
              <w:spacing w:before="40" w:after="40"/>
            </w:pPr>
            <w:r/>
            <w:r>
              <w:rPr>
                <w:rFonts w:ascii="Calibri" w:hAnsi="Calibri"/>
                <w:b/>
                <w:color w:val="FFFFFF"/>
                <w:sz w:val="18"/>
              </w:rPr>
              <w:t>Aspect</w:t>
            </w:r>
          </w:p>
        </w:tc>
        <w:tc>
          <w:tcPr>
            <w:tcW w:type="dxa" w:w="2880"/>
            <w:shd w:fill="003366" w:val="clear"/>
          </w:tcPr>
          <w:p>
            <w:pPr>
              <w:spacing w:before="40" w:after="40"/>
            </w:pPr>
            <w:r/>
            <w:r>
              <w:rPr>
                <w:rFonts w:ascii="Calibri" w:hAnsi="Calibri"/>
                <w:b/>
                <w:color w:val="FFFFFF"/>
                <w:sz w:val="18"/>
              </w:rPr>
              <w:t>Bevinding</w:t>
            </w:r>
          </w:p>
        </w:tc>
        <w:tc>
          <w:tcPr>
            <w:tcW w:type="dxa" w:w="2880"/>
            <w:shd w:fill="003366" w:val="clear"/>
          </w:tcPr>
          <w:p>
            <w:pPr>
              <w:spacing w:before="40" w:after="40"/>
            </w:pPr>
            <w:r/>
            <w:r>
              <w:rPr>
                <w:rFonts w:ascii="Calibri" w:hAnsi="Calibri"/>
                <w:b/>
                <w:color w:val="FFFFFF"/>
                <w:sz w:val="18"/>
              </w:rPr>
              <w:t>Correct?</w:t>
            </w:r>
          </w:p>
        </w:tc>
      </w:tr>
      <w:tr>
        <w:tc>
          <w:tcPr>
            <w:tcW w:type="dxa" w:w="2880"/>
          </w:tcPr>
          <w:p>
            <w:pPr>
              <w:spacing w:before="40" w:after="40"/>
            </w:pPr>
            <w:r/>
            <w:r>
              <w:rPr>
                <w:rFonts w:ascii="Calibri" w:hAnsi="Calibri"/>
                <w:b w:val="0"/>
                <w:sz w:val="18"/>
              </w:rPr>
              <w:t>IC-02 H₂SO₄: Buiten scope</w:t>
            </w:r>
          </w:p>
        </w:tc>
        <w:tc>
          <w:tcPr>
            <w:tcW w:type="dxa" w:w="2880"/>
          </w:tcPr>
          <w:p>
            <w:pPr>
              <w:spacing w:before="40" w:after="40"/>
            </w:pPr>
            <w:r/>
            <w:r>
              <w:rPr>
                <w:rFonts w:ascii="Calibri" w:hAnsi="Calibri"/>
                <w:b w:val="0"/>
                <w:sz w:val="18"/>
              </w:rPr>
              <w:t>150 kg &lt; 250 kg ondergrens → geen niveau via ADR 8. Term misleidend maar feitelijk OK.</w:t>
            </w:r>
          </w:p>
        </w:tc>
        <w:tc>
          <w:tcPr>
            <w:tcW w:type="dxa" w:w="2880"/>
          </w:tcPr>
          <w:p>
            <w:pPr>
              <w:spacing w:before="40" w:after="40"/>
            </w:pPr>
            <w:r/>
            <w:r>
              <w:rPr>
                <w:rFonts w:ascii="Calibri" w:hAnsi="Calibri"/>
                <w:b w:val="0"/>
                <w:sz w:val="18"/>
              </w:rPr>
              <w:t>Grotendeels</w:t>
              <w:br/>
              <w:t>correct</w:t>
            </w:r>
          </w:p>
        </w:tc>
      </w:tr>
      <w:tr>
        <w:tc>
          <w:tcPr>
            <w:tcW w:type="dxa" w:w="2880"/>
          </w:tcPr>
          <w:p>
            <w:pPr>
              <w:spacing w:before="40" w:after="40"/>
            </w:pPr>
            <w:r/>
            <w:r>
              <w:rPr>
                <w:rFonts w:ascii="Calibri" w:hAnsi="Calibri"/>
                <w:b w:val="0"/>
                <w:sz w:val="18"/>
              </w:rPr>
              <w:t>IC-05 HCl: Buiten scope</w:t>
            </w:r>
          </w:p>
        </w:tc>
        <w:tc>
          <w:tcPr>
            <w:tcW w:type="dxa" w:w="2880"/>
          </w:tcPr>
          <w:p>
            <w:pPr>
              <w:spacing w:before="40" w:after="40"/>
            </w:pPr>
            <w:r/>
            <w:r>
              <w:rPr>
                <w:rFonts w:ascii="Calibri" w:hAnsi="Calibri"/>
                <w:b w:val="0"/>
                <w:sz w:val="18"/>
              </w:rPr>
              <w:t>Zelfde als IC-02</w:t>
            </w:r>
          </w:p>
        </w:tc>
        <w:tc>
          <w:tcPr>
            <w:tcW w:type="dxa" w:w="2880"/>
          </w:tcPr>
          <w:p>
            <w:pPr>
              <w:spacing w:before="40" w:after="40"/>
            </w:pPr>
            <w:r/>
            <w:r>
              <w:rPr>
                <w:rFonts w:ascii="Calibri" w:hAnsi="Calibri"/>
                <w:b w:val="0"/>
                <w:sz w:val="18"/>
              </w:rPr>
              <w:t>Grotendeels</w:t>
              <w:br/>
              <w:t>correct</w:t>
            </w:r>
          </w:p>
        </w:tc>
      </w:tr>
      <w:tr>
        <w:tc>
          <w:tcPr>
            <w:tcW w:type="dxa" w:w="2880"/>
          </w:tcPr>
          <w:p>
            <w:pPr>
              <w:spacing w:before="40" w:after="40"/>
            </w:pPr>
            <w:r/>
            <w:r>
              <w:rPr>
                <w:rFonts w:ascii="Calibri" w:hAnsi="Calibri"/>
                <w:b w:val="0"/>
                <w:sz w:val="18"/>
              </w:rPr>
              <w:t>EP-06 NaAlO₂: PG III</w:t>
            </w:r>
          </w:p>
        </w:tc>
        <w:tc>
          <w:tcPr>
            <w:tcW w:type="dxa" w:w="2880"/>
          </w:tcPr>
          <w:p>
            <w:pPr>
              <w:spacing w:before="40" w:after="40"/>
            </w:pPr>
            <w:r/>
            <w:r>
              <w:rPr>
                <w:rFonts w:ascii="Calibri" w:hAnsi="Calibri"/>
                <w:b w:val="0"/>
                <w:sz w:val="18"/>
              </w:rPr>
              <w:t>Handmatig geeft PG II. PG-discrepantie. Controleer SDS.</w:t>
            </w:r>
          </w:p>
        </w:tc>
        <w:tc>
          <w:tcPr>
            <w:tcW w:type="dxa" w:w="2880"/>
          </w:tcPr>
          <w:p>
            <w:pPr>
              <w:spacing w:before="40" w:after="40"/>
            </w:pPr>
            <w:r/>
            <w:r>
              <w:rPr>
                <w:rFonts w:ascii="Calibri" w:hAnsi="Calibri"/>
                <w:b w:val="0"/>
                <w:sz w:val="18"/>
              </w:rPr>
              <w:t>Twijfelachtig</w:t>
            </w:r>
          </w:p>
        </w:tc>
      </w:tr>
      <w:tr>
        <w:tc>
          <w:tcPr>
            <w:tcW w:type="dxa" w:w="2880"/>
          </w:tcPr>
          <w:p>
            <w:pPr>
              <w:spacing w:before="40" w:after="40"/>
            </w:pPr>
            <w:r/>
            <w:r>
              <w:rPr>
                <w:rFonts w:ascii="Calibri" w:hAnsi="Calibri"/>
                <w:b w:val="0"/>
                <w:sz w:val="18"/>
              </w:rPr>
              <w:t>EP-06 NaAlO₂: Buiten scope</w:t>
            </w:r>
          </w:p>
        </w:tc>
        <w:tc>
          <w:tcPr>
            <w:tcW w:type="dxa" w:w="2880"/>
          </w:tcPr>
          <w:p>
            <w:pPr>
              <w:spacing w:before="40" w:after="40"/>
            </w:pPr>
            <w:r/>
            <w:r>
              <w:rPr>
                <w:rFonts w:ascii="Calibri" w:hAnsi="Calibri"/>
                <w:b w:val="0"/>
                <w:sz w:val="18"/>
              </w:rPr>
              <w:t>150 kg &lt; 250 kg ondergrens → correct</w:t>
            </w:r>
          </w:p>
        </w:tc>
        <w:tc>
          <w:tcPr>
            <w:tcW w:type="dxa" w:w="2880"/>
          </w:tcPr>
          <w:p>
            <w:pPr>
              <w:spacing w:before="40" w:after="40"/>
            </w:pPr>
            <w:r/>
            <w:r>
              <w:rPr>
                <w:rFonts w:ascii="Calibri" w:hAnsi="Calibri"/>
                <w:b w:val="0"/>
                <w:sz w:val="18"/>
              </w:rPr>
              <w:t>Correct</w:t>
            </w:r>
          </w:p>
        </w:tc>
      </w:tr>
      <w:tr>
        <w:tc>
          <w:tcPr>
            <w:tcW w:type="dxa" w:w="2880"/>
          </w:tcPr>
          <w:p>
            <w:pPr>
              <w:spacing w:before="40" w:after="40"/>
            </w:pPr>
            <w:r/>
            <w:r>
              <w:rPr>
                <w:rFonts w:ascii="Calibri" w:hAnsi="Calibri"/>
                <w:b w:val="0"/>
                <w:sz w:val="18"/>
              </w:rPr>
              <w:t>IC-03 H₂O₂: Niveau C</w:t>
            </w:r>
          </w:p>
        </w:tc>
        <w:tc>
          <w:tcPr>
            <w:tcW w:type="dxa" w:w="2880"/>
          </w:tcPr>
          <w:p>
            <w:pPr>
              <w:spacing w:before="40" w:after="40"/>
            </w:pPr>
            <w:r/>
            <w:r>
              <w:rPr>
                <w:rFonts w:ascii="Calibri" w:hAnsi="Calibri"/>
                <w:b w:val="0"/>
                <w:sz w:val="18"/>
              </w:rPr>
              <w:t>ADR 5.1 PG II, 150 kg &lt; 2.500 kg → C (Wbdbo 60 min)</w:t>
            </w:r>
          </w:p>
        </w:tc>
        <w:tc>
          <w:tcPr>
            <w:tcW w:type="dxa" w:w="2880"/>
          </w:tcPr>
          <w:p>
            <w:pPr>
              <w:spacing w:before="40" w:after="40"/>
            </w:pPr>
            <w:r/>
            <w:r>
              <w:rPr>
                <w:rFonts w:ascii="Calibri" w:hAnsi="Calibri"/>
                <w:b w:val="0"/>
                <w:sz w:val="18"/>
              </w:rPr>
              <w:t>CORRECT</w:t>
            </w:r>
          </w:p>
        </w:tc>
      </w:tr>
      <w:tr>
        <w:tc>
          <w:tcPr>
            <w:tcW w:type="dxa" w:w="2880"/>
          </w:tcPr>
          <w:p>
            <w:pPr>
              <w:spacing w:before="40" w:after="40"/>
            </w:pPr>
            <w:r/>
            <w:r>
              <w:rPr>
                <w:rFonts w:ascii="Calibri" w:hAnsi="Calibri"/>
                <w:b w:val="0"/>
                <w:sz w:val="18"/>
              </w:rPr>
              <w:t>IC-04 Na₂S₂O₈: Niveau C</w:t>
            </w:r>
          </w:p>
        </w:tc>
        <w:tc>
          <w:tcPr>
            <w:tcW w:type="dxa" w:w="2880"/>
          </w:tcPr>
          <w:p>
            <w:pPr>
              <w:spacing w:before="40" w:after="40"/>
            </w:pPr>
            <w:r/>
            <w:r>
              <w:rPr>
                <w:rFonts w:ascii="Calibri" w:hAnsi="Calibri"/>
                <w:b w:val="0"/>
                <w:sz w:val="18"/>
              </w:rPr>
              <w:t>ADR 5.1 PG III, 150 kg &lt; 2.500 kg → C (Wbdbo 60 min)</w:t>
            </w:r>
          </w:p>
        </w:tc>
        <w:tc>
          <w:tcPr>
            <w:tcW w:type="dxa" w:w="2880"/>
          </w:tcPr>
          <w:p>
            <w:pPr>
              <w:spacing w:before="40" w:after="40"/>
            </w:pPr>
            <w:r/>
            <w:r>
              <w:rPr>
                <w:rFonts w:ascii="Calibri" w:hAnsi="Calibri"/>
                <w:b w:val="0"/>
                <w:sz w:val="18"/>
              </w:rPr>
              <w:t>CORRECT</w:t>
            </w:r>
          </w:p>
        </w:tc>
      </w:tr>
      <w:tr>
        <w:tc>
          <w:tcPr>
            <w:tcW w:type="dxa" w:w="2880"/>
          </w:tcPr>
          <w:p>
            <w:pPr>
              <w:spacing w:before="40" w:after="40"/>
            </w:pPr>
            <w:r/>
            <w:r>
              <w:rPr>
                <w:rFonts w:ascii="Calibri" w:hAnsi="Calibri"/>
                <w:b w:val="0"/>
                <w:sz w:val="18"/>
              </w:rPr>
              <w:t>IM-04 NaVO₃: Niveau C</w:t>
            </w:r>
          </w:p>
        </w:tc>
        <w:tc>
          <w:tcPr>
            <w:tcW w:type="dxa" w:w="2880"/>
          </w:tcPr>
          <w:p>
            <w:pPr>
              <w:spacing w:before="40" w:after="40"/>
            </w:pPr>
            <w:r/>
            <w:r>
              <w:rPr>
                <w:rFonts w:ascii="Calibri" w:hAnsi="Calibri"/>
                <w:b w:val="0"/>
                <w:sz w:val="18"/>
              </w:rPr>
              <w:t>Heeft ADR → via ADR 6.1 route. 150 kg &lt; 10 ton → C. Reden CMR is bijroute.</w:t>
            </w:r>
          </w:p>
        </w:tc>
        <w:tc>
          <w:tcPr>
            <w:tcW w:type="dxa" w:w="2880"/>
          </w:tcPr>
          <w:p>
            <w:pPr>
              <w:spacing w:before="40" w:after="40"/>
            </w:pPr>
            <w:r/>
            <w:r>
              <w:rPr>
                <w:rFonts w:ascii="Calibri" w:hAnsi="Calibri"/>
                <w:b w:val="0"/>
                <w:sz w:val="18"/>
              </w:rPr>
              <w:t>Resultaat</w:t>
              <w:br/>
              <w:t>correct</w:t>
            </w:r>
          </w:p>
        </w:tc>
      </w:tr>
      <w:tr>
        <w:tc>
          <w:tcPr>
            <w:tcW w:type="dxa" w:w="2880"/>
          </w:tcPr>
          <w:p>
            <w:pPr>
              <w:spacing w:before="40" w:after="40"/>
            </w:pPr>
            <w:r/>
            <w:r>
              <w:rPr>
                <w:rFonts w:ascii="Calibri" w:hAnsi="Calibri"/>
                <w:b w:val="0"/>
                <w:sz w:val="18"/>
              </w:rPr>
              <w:t>EP-08 V₂O₅: Niveau C</w:t>
            </w:r>
          </w:p>
        </w:tc>
        <w:tc>
          <w:tcPr>
            <w:tcW w:type="dxa" w:w="2880"/>
          </w:tcPr>
          <w:p>
            <w:pPr>
              <w:spacing w:before="40" w:after="40"/>
            </w:pPr>
            <w:r/>
            <w:r>
              <w:rPr>
                <w:rFonts w:ascii="Calibri" w:hAnsi="Calibri"/>
                <w:b w:val="0"/>
                <w:sz w:val="18"/>
              </w:rPr>
              <w:t>Heeft ADR → via ADR 6.1. 150 kg &lt; 10 ton → C.</w:t>
            </w:r>
          </w:p>
        </w:tc>
        <w:tc>
          <w:tcPr>
            <w:tcW w:type="dxa" w:w="2880"/>
          </w:tcPr>
          <w:p>
            <w:pPr>
              <w:spacing w:before="40" w:after="40"/>
            </w:pPr>
            <w:r/>
            <w:r>
              <w:rPr>
                <w:rFonts w:ascii="Calibri" w:hAnsi="Calibri"/>
                <w:b w:val="0"/>
                <w:sz w:val="18"/>
              </w:rPr>
              <w:t>CORRECT</w:t>
            </w:r>
          </w:p>
        </w:tc>
      </w:tr>
      <w:tr>
        <w:tc>
          <w:tcPr>
            <w:tcW w:type="dxa" w:w="2880"/>
          </w:tcPr>
          <w:p>
            <w:pPr>
              <w:spacing w:before="40" w:after="40"/>
            </w:pPr>
            <w:r/>
            <w:r>
              <w:rPr>
                <w:rFonts w:ascii="Calibri" w:hAnsi="Calibri"/>
                <w:b w:val="0"/>
                <w:sz w:val="18"/>
              </w:rPr>
              <w:t>EP-09 Elektrolyt: Basis</w:t>
            </w:r>
          </w:p>
        </w:tc>
        <w:tc>
          <w:tcPr>
            <w:tcW w:type="dxa" w:w="2880"/>
          </w:tcPr>
          <w:p>
            <w:pPr>
              <w:spacing w:before="40" w:after="40"/>
            </w:pPr>
            <w:r/>
            <w:r>
              <w:rPr>
                <w:rFonts w:ascii="Calibri" w:hAnsi="Calibri"/>
                <w:b w:val="0"/>
                <w:sz w:val="18"/>
              </w:rPr>
              <w:t>ADR 8 PG II onbrandbaar → voetnoot c → basisniveau. CMR heeft ADR → geen aparte CMG-route in Tabel 6.</w:t>
            </w:r>
          </w:p>
        </w:tc>
        <w:tc>
          <w:tcPr>
            <w:tcW w:type="dxa" w:w="2880"/>
          </w:tcPr>
          <w:p>
            <w:pPr>
              <w:spacing w:before="40" w:after="40"/>
            </w:pPr>
            <w:r/>
            <w:r>
              <w:rPr>
                <w:rFonts w:ascii="Calibri" w:hAnsi="Calibri"/>
                <w:b w:val="0"/>
                <w:sz w:val="18"/>
              </w:rPr>
              <w:t>Grotendeels</w:t>
              <w:br/>
              <w:t>correct</w:t>
            </w:r>
          </w:p>
        </w:tc>
      </w:tr>
      <w:tr>
        <w:tc>
          <w:tcPr>
            <w:tcW w:type="dxa" w:w="2880"/>
          </w:tcPr>
          <w:p>
            <w:pPr>
              <w:spacing w:before="40" w:after="40"/>
            </w:pPr>
            <w:r/>
            <w:r>
              <w:rPr>
                <w:rFonts w:ascii="Calibri" w:hAnsi="Calibri"/>
                <w:b w:val="0"/>
                <w:sz w:val="18"/>
              </w:rPr>
              <w:t>Aggregatie: Niveau A</w:t>
            </w:r>
          </w:p>
        </w:tc>
        <w:tc>
          <w:tcPr>
            <w:tcW w:type="dxa" w:w="2880"/>
          </w:tcPr>
          <w:p>
            <w:pPr>
              <w:spacing w:before="40" w:after="40"/>
            </w:pPr>
            <w:r/>
            <w:r>
              <w:rPr>
                <w:rFonts w:ascii="Calibri" w:hAnsi="Calibri"/>
                <w:b w:val="0"/>
                <w:sz w:val="18"/>
              </w:rPr>
              <w:t>Scanner claimt Niveau A als geaggregeerd. Dit is fout — geen stof bereikt Niveau A.</w:t>
            </w:r>
          </w:p>
        </w:tc>
        <w:tc>
          <w:tcPr>
            <w:tcW w:type="dxa" w:w="2880"/>
          </w:tcPr>
          <w:p>
            <w:pPr>
              <w:spacing w:before="40" w:after="40"/>
            </w:pPr>
            <w:r/>
            <w:r>
              <w:rPr>
                <w:rFonts w:ascii="Calibri" w:hAnsi="Calibri"/>
                <w:b w:val="0"/>
                <w:sz w:val="18"/>
              </w:rPr>
              <w:t>FOUT</w:t>
            </w:r>
          </w:p>
        </w:tc>
      </w:tr>
      <w:tr>
        <w:tc>
          <w:tcPr>
            <w:tcW w:type="dxa" w:w="2880"/>
          </w:tcPr>
          <w:p>
            <w:pPr>
              <w:spacing w:before="40" w:after="40"/>
            </w:pPr>
            <w:r/>
            <w:r>
              <w:rPr>
                <w:rFonts w:ascii="Calibri" w:hAnsi="Calibri"/>
                <w:b w:val="0"/>
                <w:sz w:val="18"/>
              </w:rPr>
              <w:t>Seveso: Niet van toepassing</w:t>
            </w:r>
          </w:p>
        </w:tc>
        <w:tc>
          <w:tcPr>
            <w:tcW w:type="dxa" w:w="2880"/>
          </w:tcPr>
          <w:p>
            <w:pPr>
              <w:spacing w:before="40" w:after="40"/>
            </w:pPr>
            <w:r/>
            <w:r>
              <w:rPr>
                <w:rFonts w:ascii="Calibri" w:hAnsi="Calibri"/>
                <w:b w:val="0"/>
                <w:sz w:val="18"/>
              </w:rPr>
              <w:t>Correct</w:t>
            </w:r>
          </w:p>
        </w:tc>
        <w:tc>
          <w:tcPr>
            <w:tcW w:type="dxa" w:w="2880"/>
          </w:tcPr>
          <w:p>
            <w:pPr>
              <w:spacing w:before="40" w:after="40"/>
            </w:pPr>
            <w:r/>
            <w:r>
              <w:rPr>
                <w:rFonts w:ascii="Calibri" w:hAnsi="Calibri"/>
                <w:b w:val="0"/>
                <w:sz w:val="18"/>
              </w:rPr>
              <w:t>CORRECT</w:t>
            </w:r>
          </w:p>
        </w:tc>
      </w:tr>
      <w:tr>
        <w:tc>
          <w:tcPr>
            <w:tcW w:type="dxa" w:w="2880"/>
          </w:tcPr>
          <w:p>
            <w:pPr>
              <w:spacing w:before="40" w:after="40"/>
            </w:pPr>
            <w:r/>
            <w:r>
              <w:rPr>
                <w:rFonts w:ascii="Calibri" w:hAnsi="Calibri"/>
                <w:b w:val="0"/>
                <w:sz w:val="18"/>
              </w:rPr>
              <w:t>Catch-all: Van toepassing</w:t>
            </w:r>
          </w:p>
        </w:tc>
        <w:tc>
          <w:tcPr>
            <w:tcW w:type="dxa" w:w="2880"/>
          </w:tcPr>
          <w:p>
            <w:pPr>
              <w:spacing w:before="40" w:after="40"/>
            </w:pPr>
            <w:r/>
            <w:r>
              <w:rPr>
                <w:rFonts w:ascii="Calibri" w:hAnsi="Calibri"/>
                <w:b w:val="0"/>
                <w:sz w:val="18"/>
              </w:rPr>
              <w:t>Correct (impliciet, niet expliciet vermeld als zodanig)</w:t>
            </w:r>
          </w:p>
        </w:tc>
        <w:tc>
          <w:tcPr>
            <w:tcW w:type="dxa" w:w="2880"/>
          </w:tcPr>
          <w:p>
            <w:pPr>
              <w:spacing w:before="40" w:after="40"/>
            </w:pPr>
            <w:r/>
            <w:r>
              <w:rPr>
                <w:rFonts w:ascii="Calibri" w:hAnsi="Calibri"/>
                <w:b w:val="0"/>
                <w:sz w:val="18"/>
              </w:rPr>
              <w:t>CORRECT</w:t>
            </w:r>
          </w:p>
        </w:tc>
      </w:tr>
      <w:tr>
        <w:tc>
          <w:tcPr>
            <w:tcW w:type="dxa" w:w="2880"/>
          </w:tcPr>
          <w:p>
            <w:pPr>
              <w:spacing w:before="40" w:after="40"/>
            </w:pPr>
            <w:r/>
            <w:r>
              <w:rPr>
                <w:rFonts w:ascii="Calibri" w:hAnsi="Calibri"/>
                <w:b w:val="0"/>
                <w:sz w:val="18"/>
              </w:rPr>
              <w:t>Eindconclusie: Niveau C</w:t>
            </w:r>
          </w:p>
        </w:tc>
        <w:tc>
          <w:tcPr>
            <w:tcW w:type="dxa" w:w="2880"/>
          </w:tcPr>
          <w:p>
            <w:pPr>
              <w:spacing w:before="40" w:after="40"/>
            </w:pPr>
            <w:r/>
            <w:r>
              <w:rPr>
                <w:rFonts w:ascii="Calibri" w:hAnsi="Calibri"/>
                <w:b w:val="0"/>
                <w:sz w:val="18"/>
              </w:rPr>
              <w:t>Correct resultaat. §3.3 zegt Niveau A, §8 zegt Niveau C — intern inconsistent.</w:t>
            </w:r>
          </w:p>
        </w:tc>
        <w:tc>
          <w:tcPr>
            <w:tcW w:type="dxa" w:w="2880"/>
          </w:tcPr>
          <w:p>
            <w:pPr>
              <w:spacing w:before="40" w:after="40"/>
            </w:pPr>
            <w:r/>
            <w:r>
              <w:rPr>
                <w:rFonts w:ascii="Calibri" w:hAnsi="Calibri"/>
                <w:b w:val="0"/>
                <w:sz w:val="18"/>
              </w:rPr>
              <w:t>Resultaat OK,</w:t>
              <w:br/>
              <w:t>inconsistent</w:t>
            </w:r>
          </w:p>
        </w:tc>
      </w:tr>
    </w:tbl>
    <w:p>
      <w:pPr>
        <w:pStyle w:val="Heading2"/>
      </w:pPr>
      <w:r>
        <w:t>5. Verschillen Analyse</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val="clear"/>
          </w:tcPr>
          <w:p>
            <w:pPr>
              <w:spacing w:before="40" w:after="40"/>
            </w:pPr>
            <w:r/>
            <w:r>
              <w:rPr>
                <w:rFonts w:ascii="Calibri" w:hAnsi="Calibri"/>
                <w:b/>
                <w:color w:val="FFFFFF"/>
                <w:sz w:val="18"/>
              </w:rPr>
              <w:t>Verschil</w:t>
            </w:r>
          </w:p>
        </w:tc>
        <w:tc>
          <w:tcPr>
            <w:tcW w:type="dxa" w:w="2160"/>
            <w:shd w:fill="003366" w:val="clear"/>
          </w:tcPr>
          <w:p>
            <w:pPr>
              <w:spacing w:before="40" w:after="40"/>
            </w:pPr>
            <w:r/>
            <w:r>
              <w:rPr>
                <w:rFonts w:ascii="Calibri" w:hAnsi="Calibri"/>
                <w:b/>
                <w:color w:val="FFFFFF"/>
                <w:sz w:val="18"/>
              </w:rPr>
              <w:t>Handmatig</w:t>
            </w:r>
          </w:p>
        </w:tc>
        <w:tc>
          <w:tcPr>
            <w:tcW w:type="dxa" w:w="2160"/>
            <w:shd w:fill="003366" w:val="clear"/>
          </w:tcPr>
          <w:p>
            <w:pPr>
              <w:spacing w:before="40" w:after="40"/>
            </w:pPr>
            <w:r/>
            <w:r>
              <w:rPr>
                <w:rFonts w:ascii="Calibri" w:hAnsi="Calibri"/>
                <w:b/>
                <w:color w:val="FFFFFF"/>
                <w:sz w:val="18"/>
              </w:rPr>
              <w:t>Scanner</w:t>
            </w:r>
          </w:p>
        </w:tc>
        <w:tc>
          <w:tcPr>
            <w:tcW w:type="dxa" w:w="2160"/>
            <w:shd w:fill="003366" w:val="clear"/>
          </w:tcPr>
          <w:p>
            <w:pPr>
              <w:spacing w:before="40" w:after="40"/>
            </w:pPr>
            <w:r/>
            <w:r>
              <w:rPr>
                <w:rFonts w:ascii="Calibri" w:hAnsi="Calibri"/>
                <w:b/>
                <w:color w:val="FFFFFF"/>
                <w:sz w:val="18"/>
              </w:rPr>
              <w:t>Correct conform PGS 15</w:t>
            </w:r>
          </w:p>
        </w:tc>
      </w:tr>
      <w:tr>
        <w:tc>
          <w:tcPr>
            <w:tcW w:type="dxa" w:w="2160"/>
          </w:tcPr>
          <w:p>
            <w:pPr>
              <w:spacing w:before="40" w:after="40"/>
            </w:pPr>
            <w:r/>
            <w:r>
              <w:rPr>
                <w:rFonts w:ascii="Calibri" w:hAnsi="Calibri"/>
                <w:b w:val="0"/>
                <w:sz w:val="18"/>
              </w:rPr>
              <w:t>IC-02/05 (ADR 8 PG II) niveau</w:t>
            </w:r>
          </w:p>
        </w:tc>
        <w:tc>
          <w:tcPr>
            <w:tcW w:type="dxa" w:w="2160"/>
          </w:tcPr>
          <w:p>
            <w:pPr>
              <w:spacing w:before="40" w:after="40"/>
            </w:pPr>
            <w:r/>
            <w:r>
              <w:rPr>
                <w:rFonts w:ascii="Calibri" w:hAnsi="Calibri"/>
                <w:b w:val="0"/>
                <w:sz w:val="18"/>
              </w:rPr>
              <w:t>B</w:t>
            </w:r>
          </w:p>
        </w:tc>
        <w:tc>
          <w:tcPr>
            <w:tcW w:type="dxa" w:w="2160"/>
          </w:tcPr>
          <w:p>
            <w:pPr>
              <w:spacing w:before="40" w:after="40"/>
            </w:pPr>
            <w:r/>
            <w:r>
              <w:rPr>
                <w:rFonts w:ascii="Calibri" w:hAnsi="Calibri"/>
                <w:b w:val="0"/>
                <w:sz w:val="18"/>
              </w:rPr>
              <w:t>Buiten scope</w:t>
            </w:r>
          </w:p>
        </w:tc>
        <w:tc>
          <w:tcPr>
            <w:tcW w:type="dxa" w:w="2160"/>
          </w:tcPr>
          <w:p>
            <w:pPr>
              <w:spacing w:before="40" w:after="40"/>
            </w:pPr>
            <w:r/>
            <w:r>
              <w:rPr>
                <w:rFonts w:ascii="Calibri" w:hAnsi="Calibri"/>
                <w:b w:val="0"/>
                <w:sz w:val="18"/>
              </w:rPr>
              <w:t>Geen niveau (individueel &lt;250 kg). Onbrandbaar → voetnoot c: basisveiligheidsniveau. Scanner dichterbij.</w:t>
            </w:r>
          </w:p>
        </w:tc>
      </w:tr>
      <w:tr>
        <w:tc>
          <w:tcPr>
            <w:tcW w:type="dxa" w:w="2160"/>
          </w:tcPr>
          <w:p>
            <w:pPr>
              <w:spacing w:before="40" w:after="40"/>
            </w:pPr>
            <w:r/>
            <w:r>
              <w:rPr>
                <w:rFonts w:ascii="Calibri" w:hAnsi="Calibri"/>
                <w:b w:val="0"/>
                <w:sz w:val="18"/>
              </w:rPr>
              <w:t>IC-03 H₂O₂ niveau</w:t>
            </w:r>
          </w:p>
        </w:tc>
        <w:tc>
          <w:tcPr>
            <w:tcW w:type="dxa" w:w="2160"/>
          </w:tcPr>
          <w:p>
            <w:pPr>
              <w:spacing w:before="40" w:after="40"/>
            </w:pPr>
            <w:r/>
            <w:r>
              <w:rPr>
                <w:rFonts w:ascii="Calibri" w:hAnsi="Calibri"/>
                <w:b w:val="0"/>
                <w:sz w:val="18"/>
              </w:rPr>
              <w:t>B</w:t>
            </w:r>
          </w:p>
        </w:tc>
        <w:tc>
          <w:tcPr>
            <w:tcW w:type="dxa" w:w="2160"/>
          </w:tcPr>
          <w:p>
            <w:pPr>
              <w:spacing w:before="40" w:after="40"/>
            </w:pPr>
            <w:r/>
            <w:r>
              <w:rPr>
                <w:rFonts w:ascii="Calibri" w:hAnsi="Calibri"/>
                <w:b w:val="0"/>
                <w:sz w:val="18"/>
              </w:rPr>
              <w:t>C</w:t>
            </w:r>
          </w:p>
        </w:tc>
        <w:tc>
          <w:tcPr>
            <w:tcW w:type="dxa" w:w="2160"/>
          </w:tcPr>
          <w:p>
            <w:pPr>
              <w:spacing w:before="40" w:after="40"/>
            </w:pPr>
            <w:r/>
            <w:r>
              <w:rPr>
                <w:rFonts w:ascii="Calibri" w:hAnsi="Calibri"/>
                <w:b w:val="0"/>
                <w:sz w:val="18"/>
              </w:rPr>
              <w:t>Scanner correct: ADR 5.1 &lt;2,5 ton → C.</w:t>
            </w:r>
          </w:p>
        </w:tc>
      </w:tr>
      <w:tr>
        <w:tc>
          <w:tcPr>
            <w:tcW w:type="dxa" w:w="2160"/>
          </w:tcPr>
          <w:p>
            <w:pPr>
              <w:spacing w:before="40" w:after="40"/>
            </w:pPr>
            <w:r/>
            <w:r>
              <w:rPr>
                <w:rFonts w:ascii="Calibri" w:hAnsi="Calibri"/>
                <w:b w:val="0"/>
                <w:sz w:val="18"/>
              </w:rPr>
              <w:t>IC-04 Na₂S₂O₈ niveau</w:t>
            </w:r>
          </w:p>
        </w:tc>
        <w:tc>
          <w:tcPr>
            <w:tcW w:type="dxa" w:w="2160"/>
          </w:tcPr>
          <w:p>
            <w:pPr>
              <w:spacing w:before="40" w:after="40"/>
            </w:pPr>
            <w:r/>
            <w:r>
              <w:rPr>
                <w:rFonts w:ascii="Calibri" w:hAnsi="Calibri"/>
                <w:b w:val="0"/>
                <w:sz w:val="18"/>
              </w:rPr>
              <w:t>B</w:t>
            </w:r>
          </w:p>
        </w:tc>
        <w:tc>
          <w:tcPr>
            <w:tcW w:type="dxa" w:w="2160"/>
          </w:tcPr>
          <w:p>
            <w:pPr>
              <w:spacing w:before="40" w:after="40"/>
            </w:pPr>
            <w:r/>
            <w:r>
              <w:rPr>
                <w:rFonts w:ascii="Calibri" w:hAnsi="Calibri"/>
                <w:b w:val="0"/>
                <w:sz w:val="18"/>
              </w:rPr>
              <w:t>C</w:t>
            </w:r>
          </w:p>
        </w:tc>
        <w:tc>
          <w:tcPr>
            <w:tcW w:type="dxa" w:w="2160"/>
          </w:tcPr>
          <w:p>
            <w:pPr>
              <w:spacing w:before="40" w:after="40"/>
            </w:pPr>
            <w:r/>
            <w:r>
              <w:rPr>
                <w:rFonts w:ascii="Calibri" w:hAnsi="Calibri"/>
                <w:b w:val="0"/>
                <w:sz w:val="18"/>
              </w:rPr>
              <w:t>Scanner correct: ADR 5.1 &lt;2,5 ton → C.</w:t>
            </w:r>
          </w:p>
        </w:tc>
      </w:tr>
      <w:tr>
        <w:tc>
          <w:tcPr>
            <w:tcW w:type="dxa" w:w="2160"/>
          </w:tcPr>
          <w:p>
            <w:pPr>
              <w:spacing w:before="40" w:after="40"/>
            </w:pPr>
            <w:r/>
            <w:r>
              <w:rPr>
                <w:rFonts w:ascii="Calibri" w:hAnsi="Calibri"/>
                <w:b w:val="0"/>
                <w:sz w:val="18"/>
              </w:rPr>
              <w:t>EP-06 NaAlO₂ PG</w:t>
            </w:r>
          </w:p>
        </w:tc>
        <w:tc>
          <w:tcPr>
            <w:tcW w:type="dxa" w:w="2160"/>
          </w:tcPr>
          <w:p>
            <w:pPr>
              <w:spacing w:before="40" w:after="40"/>
            </w:pPr>
            <w:r/>
            <w:r>
              <w:rPr>
                <w:rFonts w:ascii="Calibri" w:hAnsi="Calibri"/>
                <w:b w:val="0"/>
                <w:sz w:val="18"/>
              </w:rPr>
              <w:t>II</w:t>
            </w:r>
          </w:p>
        </w:tc>
        <w:tc>
          <w:tcPr>
            <w:tcW w:type="dxa" w:w="2160"/>
          </w:tcPr>
          <w:p>
            <w:pPr>
              <w:spacing w:before="40" w:after="40"/>
            </w:pPr>
            <w:r/>
            <w:r>
              <w:rPr>
                <w:rFonts w:ascii="Calibri" w:hAnsi="Calibri"/>
                <w:b w:val="0"/>
                <w:sz w:val="18"/>
              </w:rPr>
              <w:t>III</w:t>
            </w:r>
          </w:p>
        </w:tc>
        <w:tc>
          <w:tcPr>
            <w:tcW w:type="dxa" w:w="2160"/>
          </w:tcPr>
          <w:p>
            <w:pPr>
              <w:spacing w:before="40" w:after="40"/>
            </w:pPr>
            <w:r/>
            <w:r>
              <w:rPr>
                <w:rFonts w:ascii="Calibri" w:hAnsi="Calibri"/>
                <w:b w:val="0"/>
                <w:sz w:val="18"/>
              </w:rPr>
              <w:t>SDS-afhankelijk. Controleer vereist.</w:t>
            </w:r>
          </w:p>
        </w:tc>
      </w:tr>
      <w:tr>
        <w:tc>
          <w:tcPr>
            <w:tcW w:type="dxa" w:w="2160"/>
          </w:tcPr>
          <w:p>
            <w:pPr>
              <w:spacing w:before="40" w:after="40"/>
            </w:pPr>
            <w:r/>
            <w:r>
              <w:rPr>
                <w:rFonts w:ascii="Calibri" w:hAnsi="Calibri"/>
                <w:b w:val="0"/>
                <w:sz w:val="18"/>
              </w:rPr>
              <w:t>EP-09 Elektrolyt niveau</w:t>
            </w:r>
          </w:p>
        </w:tc>
        <w:tc>
          <w:tcPr>
            <w:tcW w:type="dxa" w:w="2160"/>
          </w:tcPr>
          <w:p>
            <w:pPr>
              <w:spacing w:before="40" w:after="40"/>
            </w:pPr>
            <w:r/>
            <w:r>
              <w:rPr>
                <w:rFonts w:ascii="Calibri" w:hAnsi="Calibri"/>
                <w:b w:val="0"/>
                <w:sz w:val="18"/>
              </w:rPr>
              <w:t>C (CMR)</w:t>
            </w:r>
          </w:p>
        </w:tc>
        <w:tc>
          <w:tcPr>
            <w:tcW w:type="dxa" w:w="2160"/>
          </w:tcPr>
          <w:p>
            <w:pPr>
              <w:spacing w:before="40" w:after="40"/>
            </w:pPr>
            <w:r/>
            <w:r>
              <w:rPr>
                <w:rFonts w:ascii="Calibri" w:hAnsi="Calibri"/>
                <w:b w:val="0"/>
                <w:sz w:val="18"/>
              </w:rPr>
              <w:t>Basis</w:t>
            </w:r>
          </w:p>
        </w:tc>
        <w:tc>
          <w:tcPr>
            <w:tcW w:type="dxa" w:w="2160"/>
          </w:tcPr>
          <w:p>
            <w:pPr>
              <w:spacing w:before="40" w:after="40"/>
            </w:pPr>
            <w:r/>
            <w:r>
              <w:rPr>
                <w:rFonts w:ascii="Calibri" w:hAnsi="Calibri"/>
                <w:b w:val="0"/>
                <w:sz w:val="18"/>
              </w:rPr>
              <w:t>Basisniveau (onbrandbaar ADR 8, voetnoot c). CMR via Arbowet. Scanner dichterbij.</w:t>
            </w:r>
          </w:p>
        </w:tc>
      </w:tr>
      <w:tr>
        <w:tc>
          <w:tcPr>
            <w:tcW w:type="dxa" w:w="2160"/>
          </w:tcPr>
          <w:p>
            <w:pPr>
              <w:spacing w:before="40" w:after="40"/>
            </w:pPr>
            <w:r/>
            <w:r>
              <w:rPr>
                <w:rFonts w:ascii="Calibri" w:hAnsi="Calibri"/>
                <w:b w:val="0"/>
                <w:sz w:val="18"/>
              </w:rPr>
              <w:t>Geaggregeerd niveau</w:t>
            </w:r>
          </w:p>
        </w:tc>
        <w:tc>
          <w:tcPr>
            <w:tcW w:type="dxa" w:w="2160"/>
          </w:tcPr>
          <w:p>
            <w:pPr>
              <w:spacing w:before="40" w:after="40"/>
            </w:pPr>
            <w:r/>
            <w:r>
              <w:rPr>
                <w:rFonts w:ascii="Calibri" w:hAnsi="Calibri"/>
                <w:b w:val="0"/>
                <w:sz w:val="18"/>
              </w:rPr>
              <w:t>C</w:t>
            </w:r>
          </w:p>
        </w:tc>
        <w:tc>
          <w:tcPr>
            <w:tcW w:type="dxa" w:w="2160"/>
          </w:tcPr>
          <w:p>
            <w:pPr>
              <w:spacing w:before="40" w:after="40"/>
            </w:pPr>
            <w:r/>
            <w:r>
              <w:rPr>
                <w:rFonts w:ascii="Calibri" w:hAnsi="Calibri"/>
                <w:b w:val="0"/>
                <w:sz w:val="18"/>
              </w:rPr>
              <w:t>A (§3.3) / C (§8)</w:t>
            </w:r>
          </w:p>
        </w:tc>
        <w:tc>
          <w:tcPr>
            <w:tcW w:type="dxa" w:w="2160"/>
          </w:tcPr>
          <w:p>
            <w:pPr>
              <w:spacing w:before="40" w:after="40"/>
            </w:pPr>
            <w:r/>
            <w:r>
              <w:rPr>
                <w:rFonts w:ascii="Calibri" w:hAnsi="Calibri"/>
                <w:b w:val="0"/>
                <w:sz w:val="18"/>
              </w:rPr>
              <w:t>C. Scanner intern inconsistent. Handmatig C correct als eindconclusie.</w:t>
            </w:r>
          </w:p>
        </w:tc>
      </w:tr>
      <w:tr>
        <w:tc>
          <w:tcPr>
            <w:tcW w:type="dxa" w:w="2160"/>
          </w:tcPr>
          <w:p>
            <w:pPr>
              <w:spacing w:before="40" w:after="40"/>
            </w:pPr>
            <w:r/>
            <w:r>
              <w:rPr>
                <w:rFonts w:ascii="Calibri" w:hAnsi="Calibri"/>
                <w:b w:val="0"/>
                <w:sz w:val="18"/>
              </w:rPr>
              <w:t>ADR 8 aggregatie niveau</w:t>
            </w:r>
          </w:p>
        </w:tc>
        <w:tc>
          <w:tcPr>
            <w:tcW w:type="dxa" w:w="2160"/>
          </w:tcPr>
          <w:p>
            <w:pPr>
              <w:spacing w:before="40" w:after="40"/>
            </w:pPr>
            <w:r/>
            <w:r>
              <w:rPr>
                <w:rFonts w:ascii="Calibri" w:hAnsi="Calibri"/>
                <w:b w:val="0"/>
                <w:sz w:val="18"/>
              </w:rPr>
              <w:t>C</w:t>
            </w:r>
          </w:p>
        </w:tc>
        <w:tc>
          <w:tcPr>
            <w:tcW w:type="dxa" w:w="2160"/>
          </w:tcPr>
          <w:p>
            <w:pPr>
              <w:spacing w:before="40" w:after="40"/>
            </w:pPr>
            <w:r/>
            <w:r>
              <w:rPr>
                <w:rFonts w:ascii="Calibri" w:hAnsi="Calibri"/>
                <w:b w:val="0"/>
                <w:sz w:val="18"/>
              </w:rPr>
              <w:t>Niet expliciet</w:t>
            </w:r>
          </w:p>
        </w:tc>
        <w:tc>
          <w:tcPr>
            <w:tcW w:type="dxa" w:w="2160"/>
          </w:tcPr>
          <w:p>
            <w:pPr>
              <w:spacing w:before="40" w:after="40"/>
            </w:pPr>
            <w:r/>
            <w:r>
              <w:rPr>
                <w:rFonts w:ascii="Calibri" w:hAnsi="Calibri"/>
                <w:b w:val="0"/>
                <w:sz w:val="18"/>
              </w:rPr>
              <w:t>Basisniveau (voetnoot c: onbrandbaar). Beide fout.</w:t>
            </w:r>
          </w:p>
        </w:tc>
      </w:tr>
      <w:tr>
        <w:tc>
          <w:tcPr>
            <w:tcW w:type="dxa" w:w="2160"/>
          </w:tcPr>
          <w:p>
            <w:pPr>
              <w:spacing w:before="40" w:after="40"/>
            </w:pPr>
            <w:r/>
            <w:r>
              <w:rPr>
                <w:rFonts w:ascii="Calibri" w:hAnsi="Calibri"/>
                <w:b w:val="0"/>
                <w:sz w:val="18"/>
              </w:rPr>
              <w:t>Reden Niveau C</w:t>
            </w:r>
          </w:p>
        </w:tc>
        <w:tc>
          <w:tcPr>
            <w:tcW w:type="dxa" w:w="2160"/>
          </w:tcPr>
          <w:p>
            <w:pPr>
              <w:spacing w:before="40" w:after="40"/>
            </w:pPr>
            <w:r/>
            <w:r>
              <w:rPr>
                <w:rFonts w:ascii="Calibri" w:hAnsi="Calibri"/>
                <w:b w:val="0"/>
                <w:sz w:val="18"/>
              </w:rPr>
              <w:t>CMR-route + klasse 8 aggr.</w:t>
            </w:r>
          </w:p>
        </w:tc>
        <w:tc>
          <w:tcPr>
            <w:tcW w:type="dxa" w:w="2160"/>
          </w:tcPr>
          <w:p>
            <w:pPr>
              <w:spacing w:before="40" w:after="40"/>
            </w:pPr>
            <w:r/>
            <w:r>
              <w:rPr>
                <w:rFonts w:ascii="Calibri" w:hAnsi="Calibri"/>
                <w:b w:val="0"/>
                <w:sz w:val="18"/>
              </w:rPr>
              <w:t>CMR-route</w:t>
            </w:r>
          </w:p>
        </w:tc>
        <w:tc>
          <w:tcPr>
            <w:tcW w:type="dxa" w:w="2160"/>
          </w:tcPr>
          <w:p>
            <w:pPr>
              <w:spacing w:before="40" w:after="40"/>
            </w:pPr>
            <w:r/>
            <w:r>
              <w:rPr>
                <w:rFonts w:ascii="Calibri" w:hAnsi="Calibri"/>
                <w:b w:val="0"/>
                <w:sz w:val="18"/>
              </w:rPr>
              <w:t>ADR 6.1 route (&lt;10 ton → C) + ADR 5.1 route (&lt;2,5 ton → C). Niet primair CMG-route.</w:t>
            </w:r>
          </w:p>
        </w:tc>
      </w:tr>
      <w:tr>
        <w:tc>
          <w:tcPr>
            <w:tcW w:type="dxa" w:w="2160"/>
          </w:tcPr>
          <w:p>
            <w:pPr>
              <w:spacing w:before="40" w:after="40"/>
            </w:pPr>
            <w:r/>
            <w:r>
              <w:rPr>
                <w:rFonts w:ascii="Calibri" w:hAnsi="Calibri"/>
                <w:b w:val="0"/>
                <w:sz w:val="18"/>
              </w:rPr>
              <w:t>Aantal stoffen</w:t>
            </w:r>
          </w:p>
        </w:tc>
        <w:tc>
          <w:tcPr>
            <w:tcW w:type="dxa" w:w="2160"/>
          </w:tcPr>
          <w:p>
            <w:pPr>
              <w:spacing w:before="40" w:after="40"/>
            </w:pPr>
            <w:r/>
            <w:r>
              <w:rPr>
                <w:rFonts w:ascii="Calibri" w:hAnsi="Calibri"/>
                <w:b w:val="0"/>
                <w:sz w:val="18"/>
              </w:rPr>
              <w:t>20 (incl. IM-05 duplicaat)</w:t>
            </w:r>
          </w:p>
        </w:tc>
        <w:tc>
          <w:tcPr>
            <w:tcW w:type="dxa" w:w="2160"/>
          </w:tcPr>
          <w:p>
            <w:pPr>
              <w:spacing w:before="40" w:after="40"/>
            </w:pPr>
            <w:r/>
            <w:r>
              <w:rPr>
                <w:rFonts w:ascii="Calibri" w:hAnsi="Calibri"/>
                <w:b w:val="0"/>
                <w:sz w:val="18"/>
              </w:rPr>
              <w:t>18</w:t>
            </w:r>
          </w:p>
        </w:tc>
        <w:tc>
          <w:tcPr>
            <w:tcW w:type="dxa" w:w="2160"/>
          </w:tcPr>
          <w:p>
            <w:pPr>
              <w:spacing w:before="40" w:after="40"/>
            </w:pPr>
            <w:r/>
            <w:r>
              <w:rPr>
                <w:rFonts w:ascii="Calibri" w:hAnsi="Calibri"/>
                <w:b w:val="0"/>
                <w:sz w:val="18"/>
              </w:rPr>
              <w:t>18 unieke stoffen. Handmatig telt dubbel.</w:t>
            </w:r>
          </w:p>
        </w:tc>
      </w:tr>
    </w:tbl>
    <w:p>
      <w:pPr>
        <w:pStyle w:val="Heading2"/>
      </w:pPr>
      <w:r>
        <w:t>6. Scanner Engine Correcties</w:t>
      </w:r>
    </w:p>
    <w:p>
      <w:r>
        <w:t>Op basis van deze audit identificeer ik de volgende 6 correcties voor de scanner engine (pgs15_compliance_engine_v1.py):</w:t>
      </w:r>
    </w:p>
    <w:p>
      <w:r>
        <w:rPr>
          <w:b/>
          <w:sz w:val="20"/>
        </w:rPr>
        <w:t>1. FOUT 1: Ondergrens ADR 8 PG II/III = 250 kg, niet 50 kg</w:t>
      </w:r>
    </w:p>
    <w:p>
      <w:r>
        <w:t>De engine lijkt ADR 8 stoffen te toetsen met een ondergrens van 50 kg (algemeen) in plaats van de correcte 250 kg uit Tabel 2. Dit leidt ertoe dat 150 kg als "boven ondergrens" wordt beschouwd, terwijl 150 kg &lt; 250 kg → onder de ondergrens. Correctie: Implementeer ADR 8 → 250 kg ondergrens in de engine.</w:t>
      </w:r>
    </w:p>
    <w:p>
      <w:r>
        <w:rPr>
          <w:b/>
          <w:sz w:val="20"/>
        </w:rPr>
        <w:t>2. FOUT 2: Voetnoot c niet geïmplementeerd</w:t>
      </w:r>
    </w:p>
    <w:p>
      <w:r>
        <w:t>Onbrandbare ADR 8 stoffen in dedicated opslag vereisen geen aanvullend veiligheidsniveau (voetnoot c, Tabel 6). De engine moet detecteren of een ADR 8 stof brandbaar of onbrandbaar is en voetnoot c toepassen. Correctie: Voeg brandbaarheidscheck toe; onbrandbaar → "Basisveiligheidsniveau".</w:t>
      </w:r>
    </w:p>
    <w:p>
      <w:r>
        <w:rPr>
          <w:b/>
          <w:sz w:val="20"/>
        </w:rPr>
        <w:t>3. FOUT 3: CMG-route wordt ten onrechte toegepast op ADR-geclassificeerde stoffen</w:t>
      </w:r>
    </w:p>
    <w:p>
      <w:r>
        <w:t>PGS 15 Tabel 6: CMR-stoffen ZONDER ADR-classificatie → alleen basisveiligheidsniveau. Stoffen mét ADR (V₂O₅, NaVO₃, elektrolyt) moeten via de ADR-route worden getoetst. De engine past de CMR-route ten onrechte als primaire route toe. Correctie: Als stof ADR-classificatie heeft → ADR-route primair; CMR alleen als Arbowet-verwijzing.</w:t>
      </w:r>
    </w:p>
    <w:p>
      <w:r>
        <w:rPr>
          <w:b/>
          <w:sz w:val="20"/>
        </w:rPr>
        <w:t>4. FOUT 4: Geaggregeerd niveau wordt Niveau A (intern inconsistent)</w:t>
      </w:r>
    </w:p>
    <w:p>
      <w:r>
        <w:t>§3.3 van de scanner-output claimt "Geaggregeerd niveau: A". Dit is onjuist. Geen enkele stof bereikt Niveau A (alle hoeveelheden &lt;10 ton). §8 claimt correct Niveau C. Correctie: Aggregatielogica moet het hoogste INDIVIDUELE niveau nemen, niet Niveau A toewijzen.</w:t>
      </w:r>
    </w:p>
    <w:p>
      <w:r>
        <w:rPr>
          <w:b/>
          <w:sz w:val="20"/>
        </w:rPr>
        <w:t>5. FOUT 5: ADR 5.1 niveau wordt niet correct bepaald uit Tabel 6</w:t>
      </w:r>
    </w:p>
    <w:p>
      <w:r>
        <w:t>H₂O₂ (ADR 5.1 PG II, 150 kg) krijgt Niveau C. Dit is correct (&lt;2,5 ton → C). Echter Na₂S₂O₈ (ADR 5.1 PG III, 150 kg) krijgt ook Niveau C. Dit is correct. De engine lijkt hier de acute toxiciteit cat. 3 route te gebruiken in plaats van de ADR 5.1 hoeveelheidsroute. Beide leiden tot C, maar de reden moet de ADR 5.1 route zijn (&lt;2,5 ton). Correctie: Gebruik ADR-klasse hoeveelheidsroute primair.</w:t>
      </w:r>
    </w:p>
    <w:p>
      <w:r>
        <w:rPr>
          <w:b/>
          <w:sz w:val="20"/>
        </w:rPr>
        <w:t>6. FOUT 6: EP-09 Vanadium electrolyte krijgt "Basis" maar toont CMR-ondergrens 1 kg</w:t>
      </w:r>
    </w:p>
    <w:p>
      <w:r>
        <w:t>De engine detecteert CMG Repr. 2 (H361) en stelt CMR-ondergrens 1 kg (vloeibaar). Maar omdat de stof ADR 8 PG II heeft, moet de ADR-route leidend zijn. De output is inconsistent: "Niveau: Basis" met tekst "Niveau C verplicht". Correctie: Bij ADR-geclassificeerde stoffen: alleen ADR-route bepalen niveau. CMR-verwijzing als additionele toelichting.</w:t>
      </w:r>
    </w:p>
    <w:p>
      <w:pPr>
        <w:pStyle w:val="Heading2"/>
      </w:pPr>
      <w:r>
        <w:t>7. Conclusie</w:t>
      </w:r>
    </w:p>
    <w:p>
      <w:pPr>
        <w:pStyle w:val="Heading3"/>
      </w:pPr>
      <w:r>
        <w:t>7.1 Welk document is feitelijk correct?</w:t>
      </w:r>
    </w:p>
    <w:p>
      <w:r>
        <w:t>Geen van beide documenten is volledig foutvrij conform PGS 15:2025. Echter:</w:t>
      </w:r>
    </w:p>
    <w:p>
      <w:pPr>
        <w:pStyle w:val="ListBullet"/>
      </w:pPr>
      <w:r>
        <w:t>De Scanner v6.0 is feitelijk DICHTER bij de correcte PGS 15:2025 toetsing dan het Handmatige document, met name voor: (a) ADR 5.1 stoffen → Niveau C (correct), (b) ADR 8 individueel → "Buiten scope" (feitelijk correct: &lt;250 kg ondergrens), (c) EP-09 elektrolyt → Basis (correcter dan C).</w:t>
      </w:r>
    </w:p>
    <w:p>
      <w:pPr>
        <w:pStyle w:val="ListBullet"/>
      </w:pPr>
      <w:r>
        <w:t>Het Handmatige document heeft structureel te hoge niveaus toegekend (B voor ADR 8 stoffen die &lt;250 kg zijn, B voor ADR 5.1 stoffen die C vereisen). De eindconclusie Niveau C is toevallig correct, maar via de verkeerde route.</w:t>
      </w:r>
    </w:p>
    <w:p>
      <w:pPr>
        <w:pStyle w:val="Heading3"/>
      </w:pPr>
      <w:r>
        <w:t>7.2 Kan Jorick op het handmatige document vertrouwen?</w:t>
      </w:r>
    </w:p>
    <w:p>
      <w:r>
        <w:t>JA, met belangrijke nuanceringen:</w:t>
      </w:r>
    </w:p>
    <w:p>
      <w:pPr>
        <w:pStyle w:val="ListBullet"/>
      </w:pPr>
      <w:r>
        <w:t>De eindconclusie (Niveau C) is correct, ook al is de onderbouwing onjuist.</w:t>
      </w:r>
    </w:p>
    <w:p>
      <w:pPr>
        <w:pStyle w:val="ListBullet"/>
      </w:pPr>
      <w:r>
        <w:t>De maatregelen per niveau (Basis + B + C) zijn toereikend, omdat Niveau C het hoogste vereiste niveau is.</w:t>
      </w:r>
    </w:p>
    <w:p>
      <w:pPr>
        <w:pStyle w:val="ListBullet"/>
      </w:pPr>
      <w:r>
        <w:t>De opslagindeling (3 vakken) is verstandig en praktisch correct.</w:t>
      </w:r>
    </w:p>
    <w:p>
      <w:pPr>
        <w:pStyle w:val="ListBullet"/>
      </w:pPr>
      <w:r>
        <w:t>De individuele stofniveaus (B voor ADR 8, B voor ADR 5.1) zijn echter feitelijk fout en moeten worden gecorrigeerd.</w:t>
      </w:r>
    </w:p>
    <w:p>
      <w:pPr>
        <w:pStyle w:val="ListBullet"/>
      </w:pPr>
      <w:r>
        <w:t>De CMR-route als primaire routes is onjuist — ADR 6.1 is de leidende route.</w:t>
      </w:r>
    </w:p>
    <w:p>
      <w:pPr>
        <w:pStyle w:val="Heading3"/>
      </w:pPr>
      <w:r>
        <w:t>7.3 Aanbevelingen</w:t>
      </w:r>
    </w:p>
    <w:p>
      <w:pPr>
        <w:pStyle w:val="ListBullet"/>
      </w:pPr>
      <w:r>
        <w:t>1. Corrigeer de scanner engine op de 6 geïdentificeerde fouten (zie §6).</w:t>
      </w:r>
    </w:p>
    <w:p>
      <w:pPr>
        <w:pStyle w:val="ListBullet"/>
      </w:pPr>
      <w:r>
        <w:t>2. Genereer een v7.0 Compliance Toetsing met de gecorrigeerde engine.</w:t>
      </w:r>
    </w:p>
    <w:p>
      <w:pPr>
        <w:pStyle w:val="ListBullet"/>
      </w:pPr>
      <w:r>
        <w:t>3. Verifieer de PG van Sodium aluminate (II vs III) via de actuele SDS.</w:t>
      </w:r>
    </w:p>
    <w:p>
      <w:pPr>
        <w:pStyle w:val="ListBullet"/>
      </w:pPr>
      <w:r>
        <w:t>4. Hanteer het Handmatige document als basis voor praktische opslagadviezen (vakindeling, maatregelen), maar corrigeer de niveaubepaling per stof.</w:t>
      </w:r>
    </w:p>
    <w:p>
      <w:pPr>
        <w:pStyle w:val="ListBullet"/>
      </w:pPr>
      <w:r>
        <w:t>5. Aanbevolen eindniveau: Niveau C — correct via ADR 6.1 (&lt;10 ton) + ADR 5.1 (&lt;2,5 ton).</w:t>
      </w:r>
    </w:p>
    <w:p>
      <w:pPr>
        <w:pStyle w:val="Heading2"/>
      </w:pPr>
      <w:r>
        <w:t>Bronverwijzingen</w:t>
      </w:r>
    </w:p>
    <w:p>
      <w:pPr>
        <w:pStyle w:val="ListBullet"/>
      </w:pPr>
      <w:r>
        <w:t>[1] PGS 15:2025 — Publicatie 565, januari 2025. Tabel 1, 2, 6, 7.</w:t>
      </w:r>
    </w:p>
    <w:p>
      <w:pPr>
        <w:pStyle w:val="ListBullet"/>
      </w:pPr>
      <w:r>
        <w:t>[2] CLP-verordening (EG) Nr. 1272/2008, inclusief ATP-aanpassingen.</w:t>
      </w:r>
    </w:p>
    <w:p>
      <w:pPr>
        <w:pStyle w:val="ListBullet"/>
      </w:pPr>
      <w:r>
        <w:t>[3] Arbobesluit — Titel 3 (CMR-stoffen), Artikel 4.1c.</w:t>
      </w:r>
    </w:p>
    <w:p>
      <w:pPr>
        <w:pStyle w:val="ListBullet"/>
      </w:pPr>
      <w:r>
        <w:t>[4] Wet milieubeheer / Besluit activiteiten leefomgeving (Bal).</w:t>
      </w:r>
    </w:p>
    <w:p>
      <w:pPr>
        <w:pStyle w:val="ListBullet"/>
      </w:pPr>
      <w:r>
        <w:t>[5] ADR 2025 — Bijlagen A en B.</w:t>
      </w:r>
    </w:p>
    <w:p>
      <w:pPr>
        <w:pStyle w:val="Heading2"/>
      </w:pPr>
      <w:r>
        <w:t>TierVerify — Verificatielog</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val="clear"/>
          </w:tcPr>
          <w:p>
            <w:pPr>
              <w:spacing w:before="40" w:after="40"/>
            </w:pPr>
            <w:r/>
            <w:r>
              <w:rPr>
                <w:rFonts w:ascii="Calibri" w:hAnsi="Calibri"/>
                <w:b/>
                <w:color w:val="FFFFFF"/>
                <w:sz w:val="18"/>
              </w:rPr>
              <w:t>Check</w:t>
            </w:r>
          </w:p>
        </w:tc>
        <w:tc>
          <w:tcPr>
            <w:tcW w:type="dxa" w:w="2880"/>
            <w:shd w:fill="003366" w:val="clear"/>
          </w:tcPr>
          <w:p>
            <w:pPr>
              <w:spacing w:before="40" w:after="40"/>
            </w:pPr>
            <w:r/>
            <w:r>
              <w:rPr>
                <w:rFonts w:ascii="Calibri" w:hAnsi="Calibri"/>
                <w:b/>
                <w:color w:val="FFFFFF"/>
                <w:sz w:val="18"/>
              </w:rPr>
              <w:t>Resultaat</w:t>
            </w:r>
          </w:p>
        </w:tc>
        <w:tc>
          <w:tcPr>
            <w:tcW w:type="dxa" w:w="2880"/>
            <w:shd w:fill="003366" w:val="clear"/>
          </w:tcPr>
          <w:p>
            <w:pPr>
              <w:spacing w:before="40" w:after="40"/>
            </w:pPr>
            <w:r/>
            <w:r>
              <w:rPr>
                <w:rFonts w:ascii="Calibri" w:hAnsi="Calibri"/>
                <w:b/>
                <w:color w:val="FFFFFF"/>
                <w:sz w:val="18"/>
              </w:rPr>
              <w:t>Bron</w:t>
            </w:r>
          </w:p>
        </w:tc>
      </w:tr>
      <w:tr>
        <w:tc>
          <w:tcPr>
            <w:tcW w:type="dxa" w:w="2880"/>
          </w:tcPr>
          <w:p>
            <w:pPr>
              <w:spacing w:before="40" w:after="40"/>
            </w:pPr>
          </w:p>
        </w:tc>
        <w:tc>
          <w:tcPr>
            <w:tcW w:type="dxa" w:w="2880"/>
          </w:tcPr>
          <w:p>
            <w:pPr>
              <w:spacing w:before="40" w:after="40"/>
            </w:pPr>
          </w:p>
        </w:tc>
        <w:tc>
          <w:tcPr>
            <w:tcW w:type="dxa" w:w="2880"/>
          </w:tcPr>
          <w:p>
            <w:pPr>
              <w:spacing w:before="40" w:after="40"/>
            </w:pPr>
          </w:p>
        </w:tc>
      </w:tr>
      <w:tr>
        <w:tc>
          <w:tcPr>
            <w:tcW w:type="dxa" w:w="2880"/>
          </w:tcPr>
          <w:p>
            <w:pPr>
              <w:spacing w:before="40" w:after="40"/>
            </w:pPr>
          </w:p>
        </w:tc>
        <w:tc>
          <w:tcPr>
            <w:tcW w:type="dxa" w:w="2880"/>
          </w:tcPr>
          <w:p>
            <w:pPr>
              <w:spacing w:before="40" w:after="40"/>
            </w:pPr>
          </w:p>
        </w:tc>
        <w:tc>
          <w:tcPr>
            <w:tcW w:type="dxa" w:w="2880"/>
          </w:tcPr>
          <w:p>
            <w:pPr>
              <w:spacing w:before="40" w:after="40"/>
            </w:pPr>
          </w:p>
        </w:tc>
      </w:tr>
      <w:tr>
        <w:tc>
          <w:tcPr>
            <w:tcW w:type="dxa" w:w="2880"/>
          </w:tcPr>
          <w:p>
            <w:pPr>
              <w:spacing w:before="40" w:after="40"/>
            </w:pPr>
          </w:p>
        </w:tc>
        <w:tc>
          <w:tcPr>
            <w:tcW w:type="dxa" w:w="2880"/>
          </w:tcPr>
          <w:p>
            <w:pPr>
              <w:spacing w:before="40" w:after="40"/>
            </w:pPr>
          </w:p>
        </w:tc>
        <w:tc>
          <w:tcPr>
            <w:tcW w:type="dxa" w:w="2880"/>
          </w:tcPr>
          <w:p>
            <w:pPr>
              <w:spacing w:before="40" w:after="40"/>
            </w:pPr>
          </w:p>
        </w:tc>
      </w:tr>
      <w:tr>
        <w:tc>
          <w:tcPr>
            <w:tcW w:type="dxa" w:w="2880"/>
          </w:tcPr>
          <w:p>
            <w:pPr>
              <w:spacing w:before="40" w:after="40"/>
            </w:pPr>
          </w:p>
        </w:tc>
        <w:tc>
          <w:tcPr>
            <w:tcW w:type="dxa" w:w="2880"/>
          </w:tcPr>
          <w:p>
            <w:pPr>
              <w:spacing w:before="40" w:after="40"/>
            </w:pPr>
          </w:p>
        </w:tc>
        <w:tc>
          <w:tcPr>
            <w:tcW w:type="dxa" w:w="2880"/>
          </w:tcPr>
          <w:p>
            <w:pPr>
              <w:spacing w:before="40" w:after="40"/>
            </w:pPr>
          </w:p>
        </w:tc>
      </w:tr>
      <w:tr>
        <w:tc>
          <w:tcPr>
            <w:tcW w:type="dxa" w:w="2880"/>
          </w:tcPr>
          <w:p>
            <w:pPr>
              <w:spacing w:before="40" w:after="40"/>
            </w:pPr>
          </w:p>
        </w:tc>
        <w:tc>
          <w:tcPr>
            <w:tcW w:type="dxa" w:w="2880"/>
          </w:tcPr>
          <w:p>
            <w:pPr>
              <w:spacing w:before="40" w:after="40"/>
            </w:pPr>
          </w:p>
        </w:tc>
        <w:tc>
          <w:tcPr>
            <w:tcW w:type="dxa" w:w="2880"/>
          </w:tcPr>
          <w:p>
            <w:pPr>
              <w:spacing w:before="40" w:after="40"/>
            </w:pPr>
          </w:p>
        </w:tc>
      </w:tr>
      <w:tr>
        <w:tc>
          <w:tcPr>
            <w:tcW w:type="dxa" w:w="2880"/>
          </w:tcPr>
          <w:p>
            <w:pPr>
              <w:spacing w:before="40" w:after="40"/>
            </w:pPr>
          </w:p>
        </w:tc>
        <w:tc>
          <w:tcPr>
            <w:tcW w:type="dxa" w:w="2880"/>
          </w:tcPr>
          <w:p>
            <w:pPr>
              <w:spacing w:before="40" w:after="40"/>
            </w:pPr>
          </w:p>
        </w:tc>
        <w:tc>
          <w:tcPr>
            <w:tcW w:type="dxa" w:w="2880"/>
          </w:tcPr>
          <w:p>
            <w:pPr>
              <w:spacing w:before="40" w:after="40"/>
            </w:pPr>
          </w:p>
        </w:tc>
      </w:tr>
      <w:tr>
        <w:tc>
          <w:tcPr>
            <w:tcW w:type="dxa" w:w="2880"/>
          </w:tcPr>
          <w:p>
            <w:pPr>
              <w:spacing w:before="40" w:after="40"/>
            </w:pPr>
          </w:p>
        </w:tc>
        <w:tc>
          <w:tcPr>
            <w:tcW w:type="dxa" w:w="2880"/>
          </w:tcPr>
          <w:p>
            <w:pPr>
              <w:spacing w:before="40" w:after="40"/>
            </w:pPr>
          </w:p>
        </w:tc>
        <w:tc>
          <w:tcPr>
            <w:tcW w:type="dxa" w:w="2880"/>
          </w:tcPr>
          <w:p>
            <w:pPr>
              <w:spacing w:before="40" w:after="40"/>
            </w:pPr>
          </w:p>
        </w:tc>
      </w:tr>
      <w:tr>
        <w:tc>
          <w:tcPr>
            <w:tcW w:type="dxa" w:w="2880"/>
          </w:tcPr>
          <w:p>
            <w:pPr>
              <w:spacing w:before="40" w:after="40"/>
            </w:pPr>
            <w:r/>
            <w:r>
              <w:rPr>
                <w:rFonts w:ascii="Calibri" w:hAnsi="Calibri"/>
                <w:b w:val="0"/>
                <w:sz w:val="18"/>
              </w:rPr>
              <w:t>PGS 15:2025 norm gelezen</w:t>
            </w:r>
          </w:p>
        </w:tc>
        <w:tc>
          <w:tcPr>
            <w:tcW w:type="dxa" w:w="2880"/>
          </w:tcPr>
          <w:p>
            <w:pPr>
              <w:spacing w:before="40" w:after="40"/>
            </w:pPr>
            <w:r/>
            <w:r>
              <w:rPr>
                <w:rFonts w:ascii="Calibri" w:hAnsi="Calibri"/>
                <w:b w:val="0"/>
                <w:sz w:val="18"/>
              </w:rPr>
              <w:t>✅ Volledig extract gelezen</w:t>
            </w:r>
          </w:p>
        </w:tc>
        <w:tc>
          <w:tcPr>
            <w:tcW w:type="dxa" w:w="2880"/>
          </w:tcPr>
          <w:p>
            <w:pPr>
              <w:spacing w:before="40" w:after="40"/>
            </w:pPr>
            <w:r/>
            <w:r>
              <w:rPr>
                <w:rFonts w:ascii="Calibri" w:hAnsi="Calibri"/>
                <w:b w:val="0"/>
                <w:sz w:val="18"/>
              </w:rPr>
              <w:t>pgs15_2025_extract.md</w:t>
            </w:r>
          </w:p>
        </w:tc>
      </w:tr>
      <w:tr>
        <w:tc>
          <w:tcPr>
            <w:tcW w:type="dxa" w:w="2880"/>
          </w:tcPr>
          <w:p>
            <w:pPr>
              <w:spacing w:before="40" w:after="40"/>
            </w:pPr>
            <w:r/>
            <w:r>
              <w:rPr>
                <w:rFonts w:ascii="Calibri" w:hAnsi="Calibri"/>
                <w:b w:val="0"/>
                <w:sz w:val="18"/>
              </w:rPr>
              <w:t>Tabel 2 ondergrensen toegepast</w:t>
            </w:r>
          </w:p>
        </w:tc>
        <w:tc>
          <w:tcPr>
            <w:tcW w:type="dxa" w:w="2880"/>
          </w:tcPr>
          <w:p>
            <w:pPr>
              <w:spacing w:before="40" w:after="40"/>
            </w:pPr>
            <w:r/>
            <w:r>
              <w:rPr>
                <w:rFonts w:ascii="Calibri" w:hAnsi="Calibri"/>
                <w:b w:val="0"/>
                <w:sz w:val="18"/>
              </w:rPr>
              <w:t>✅ Alle 18 stoffen getoetst</w:t>
            </w:r>
          </w:p>
        </w:tc>
        <w:tc>
          <w:tcPr>
            <w:tcW w:type="dxa" w:w="2880"/>
          </w:tcPr>
          <w:p>
            <w:pPr>
              <w:spacing w:before="40" w:after="40"/>
            </w:pPr>
            <w:r/>
            <w:r>
              <w:rPr>
                <w:rFonts w:ascii="Calibri" w:hAnsi="Calibri"/>
                <w:b w:val="0"/>
                <w:sz w:val="18"/>
              </w:rPr>
              <w:t>Tabel 2</w:t>
            </w:r>
          </w:p>
        </w:tc>
      </w:tr>
      <w:tr>
        <w:tc>
          <w:tcPr>
            <w:tcW w:type="dxa" w:w="2880"/>
          </w:tcPr>
          <w:p>
            <w:pPr>
              <w:spacing w:before="40" w:after="40"/>
            </w:pPr>
            <w:r/>
            <w:r>
              <w:rPr>
                <w:rFonts w:ascii="Calibri" w:hAnsi="Calibri"/>
                <w:b w:val="0"/>
                <w:sz w:val="18"/>
              </w:rPr>
              <w:t>Tabel 6 niveaubepaling toegepast</w:t>
            </w:r>
          </w:p>
        </w:tc>
        <w:tc>
          <w:tcPr>
            <w:tcW w:type="dxa" w:w="2880"/>
          </w:tcPr>
          <w:p>
            <w:pPr>
              <w:spacing w:before="40" w:after="40"/>
            </w:pPr>
            <w:r/>
            <w:r>
              <w:rPr>
                <w:rFonts w:ascii="Calibri" w:hAnsi="Calibri"/>
                <w:b w:val="0"/>
                <w:sz w:val="18"/>
              </w:rPr>
              <w:t>✅ Per stof + aggregatie</w:t>
            </w:r>
          </w:p>
        </w:tc>
        <w:tc>
          <w:tcPr>
            <w:tcW w:type="dxa" w:w="2880"/>
          </w:tcPr>
          <w:p>
            <w:pPr>
              <w:spacing w:before="40" w:after="40"/>
            </w:pPr>
            <w:r/>
            <w:r>
              <w:rPr>
                <w:rFonts w:ascii="Calibri" w:hAnsi="Calibri"/>
                <w:b w:val="0"/>
                <w:sz w:val="18"/>
              </w:rPr>
              <w:t>Tabel 6</w:t>
            </w:r>
          </w:p>
        </w:tc>
      </w:tr>
      <w:tr>
        <w:tc>
          <w:tcPr>
            <w:tcW w:type="dxa" w:w="2880"/>
          </w:tcPr>
          <w:p>
            <w:pPr>
              <w:spacing w:before="40" w:after="40"/>
            </w:pPr>
            <w:r/>
            <w:r>
              <w:rPr>
                <w:rFonts w:ascii="Calibri" w:hAnsi="Calibri"/>
                <w:b w:val="0"/>
                <w:sz w:val="18"/>
              </w:rPr>
              <w:t>Voetnoot c gecontroleerd</w:t>
            </w:r>
          </w:p>
        </w:tc>
        <w:tc>
          <w:tcPr>
            <w:tcW w:type="dxa" w:w="2880"/>
          </w:tcPr>
          <w:p>
            <w:pPr>
              <w:spacing w:before="40" w:after="40"/>
            </w:pPr>
            <w:r/>
            <w:r>
              <w:rPr>
                <w:rFonts w:ascii="Calibri" w:hAnsi="Calibri"/>
                <w:b w:val="0"/>
                <w:sz w:val="18"/>
              </w:rPr>
              <w:t>✅ ADR 8 onbrandbaar → basisniveau</w:t>
            </w:r>
          </w:p>
        </w:tc>
        <w:tc>
          <w:tcPr>
            <w:tcW w:type="dxa" w:w="2880"/>
          </w:tcPr>
          <w:p>
            <w:pPr>
              <w:spacing w:before="40" w:after="40"/>
            </w:pPr>
            <w:r/>
            <w:r>
              <w:rPr>
                <w:rFonts w:ascii="Calibri" w:hAnsi="Calibri"/>
                <w:b w:val="0"/>
                <w:sz w:val="18"/>
              </w:rPr>
              <w:t>Tabel 6 voetnoot c</w:t>
            </w:r>
          </w:p>
        </w:tc>
      </w:tr>
      <w:tr>
        <w:tc>
          <w:tcPr>
            <w:tcW w:type="dxa" w:w="2880"/>
          </w:tcPr>
          <w:p>
            <w:pPr>
              <w:spacing w:before="40" w:after="40"/>
            </w:pPr>
            <w:r/>
            <w:r>
              <w:rPr>
                <w:rFonts w:ascii="Calibri" w:hAnsi="Calibri"/>
                <w:b w:val="0"/>
                <w:sz w:val="18"/>
              </w:rPr>
              <w:t>Aggregatie berekend</w:t>
            </w:r>
          </w:p>
        </w:tc>
        <w:tc>
          <w:tcPr>
            <w:tcW w:type="dxa" w:w="2880"/>
          </w:tcPr>
          <w:p>
            <w:pPr>
              <w:spacing w:before="40" w:after="40"/>
            </w:pPr>
            <w:r/>
            <w:r>
              <w:rPr>
                <w:rFonts w:ascii="Calibri" w:hAnsi="Calibri"/>
                <w:b w:val="0"/>
                <w:sz w:val="18"/>
              </w:rPr>
              <w:t>✅ ADR 8: 600 kg, ADR 5.1: 300 kg, ADR 6.1: 300 kg</w:t>
            </w:r>
          </w:p>
        </w:tc>
        <w:tc>
          <w:tcPr>
            <w:tcW w:type="dxa" w:w="2880"/>
          </w:tcPr>
          <w:p>
            <w:pPr>
              <w:spacing w:before="40" w:after="40"/>
            </w:pPr>
            <w:r/>
            <w:r>
              <w:rPr>
                <w:rFonts w:ascii="Calibri" w:hAnsi="Calibri"/>
                <w:b w:val="0"/>
                <w:sz w:val="18"/>
              </w:rPr>
              <w:t>Tabel 6 voetnoot a</w:t>
            </w:r>
          </w:p>
        </w:tc>
      </w:tr>
      <w:tr>
        <w:tc>
          <w:tcPr>
            <w:tcW w:type="dxa" w:w="2880"/>
          </w:tcPr>
          <w:p>
            <w:pPr>
              <w:spacing w:before="40" w:after="40"/>
            </w:pPr>
            <w:r/>
            <w:r>
              <w:rPr>
                <w:rFonts w:ascii="Calibri" w:hAnsi="Calibri"/>
                <w:b w:val="0"/>
                <w:sz w:val="18"/>
              </w:rPr>
              <w:t>Catch-all gecontroleerd</w:t>
            </w:r>
          </w:p>
        </w:tc>
        <w:tc>
          <w:tcPr>
            <w:tcW w:type="dxa" w:w="2880"/>
          </w:tcPr>
          <w:p>
            <w:pPr>
              <w:spacing w:before="40" w:after="40"/>
            </w:pPr>
            <w:r/>
            <w:r>
              <w:rPr>
                <w:rFonts w:ascii="Calibri" w:hAnsi="Calibri"/>
                <w:b w:val="0"/>
                <w:sz w:val="18"/>
              </w:rPr>
              <w:t>✅ 2.700 kg &gt; 1.000 kg</w:t>
            </w:r>
          </w:p>
        </w:tc>
        <w:tc>
          <w:tcPr>
            <w:tcW w:type="dxa" w:w="2880"/>
          </w:tcPr>
          <w:p>
            <w:pPr>
              <w:spacing w:before="40" w:after="40"/>
            </w:pPr>
            <w:r/>
            <w:r>
              <w:rPr>
                <w:rFonts w:ascii="Calibri" w:hAnsi="Calibri"/>
                <w:b w:val="0"/>
                <w:sz w:val="18"/>
              </w:rPr>
              <w:t>PGS 15 hoofdstuk 4</w:t>
            </w:r>
          </w:p>
        </w:tc>
      </w:tr>
      <w:tr>
        <w:tc>
          <w:tcPr>
            <w:tcW w:type="dxa" w:w="2880"/>
          </w:tcPr>
          <w:p>
            <w:pPr>
              <w:spacing w:before="40" w:after="40"/>
            </w:pPr>
            <w:r/>
            <w:r>
              <w:rPr>
                <w:rFonts w:ascii="Calibri" w:hAnsi="Calibri"/>
                <w:b w:val="0"/>
                <w:sz w:val="18"/>
              </w:rPr>
              <w:t>Beide documenten vergeleken</w:t>
            </w:r>
          </w:p>
        </w:tc>
        <w:tc>
          <w:tcPr>
            <w:tcW w:type="dxa" w:w="2880"/>
          </w:tcPr>
          <w:p>
            <w:pPr>
              <w:spacing w:before="40" w:after="40"/>
            </w:pPr>
            <w:r/>
            <w:r>
              <w:rPr>
                <w:rFonts w:ascii="Calibri" w:hAnsi="Calibri"/>
                <w:b w:val="0"/>
                <w:sz w:val="18"/>
              </w:rPr>
              <w:t>✅ Per stof + aggregatie + conclusie</w:t>
            </w:r>
          </w:p>
        </w:tc>
        <w:tc>
          <w:tcPr>
            <w:tcW w:type="dxa" w:w="2880"/>
          </w:tcPr>
          <w:p>
            <w:pPr>
              <w:spacing w:before="40" w:after="40"/>
            </w:pPr>
            <w:r/>
            <w:r>
              <w:rPr>
                <w:rFonts w:ascii="Calibri" w:hAnsi="Calibri"/>
                <w:b w:val="0"/>
                <w:sz w:val="18"/>
              </w:rPr>
              <w:t>v6.0 Handmatig + Scanner</w:t>
            </w:r>
          </w:p>
        </w:tc>
      </w:tr>
    </w:tbl>
    <w:p/>
    <w:p>
      <w:pPr>
        <w:jc w:val="center"/>
      </w:pPr>
      <w:r>
        <w:rPr>
          <w:i/>
          <w:color w:val="003366"/>
          <w:sz w:val="18"/>
        </w:rPr>
        <w:t>JvG Consultancy | Safety • Governance • Advisory | ©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