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003366"/>
          <w:sz w:val="56"/>
        </w:rPr>
        <w:t>PGS 15 KENNISDOSSIER</w:t>
      </w:r>
    </w:p>
    <w:p>
      <w:pPr>
        <w:jc w:val="center"/>
      </w:pPr>
      <w:r>
        <w:rPr>
          <w:b/>
          <w:color w:val="003366"/>
          <w:sz w:val="40"/>
        </w:rPr>
        <w:t>Opslag Gevaarlijke Stoffen</w:t>
      </w:r>
    </w:p>
    <w:p>
      <w:pPr>
        <w:jc w:val="center"/>
      </w:pPr>
      <w:r>
        <w:rPr>
          <w:b/>
          <w:color w:val="006699"/>
          <w:sz w:val="36"/>
        </w:rPr>
        <w:t>Phoenix Metals B.V.</w:t>
      </w:r>
    </w:p>
    <w:p>
      <w:pPr>
        <w:jc w:val="center"/>
      </w:pPr>
      <w:r>
        <w:rPr>
          <w:sz w:val="28"/>
        </w:rPr>
        <w:t>PlantOne, Rotterdam Europoort</w:t>
      </w:r>
    </w:p>
    <w:p/>
    <w:p>
      <w:pPr>
        <w:jc w:val="center"/>
      </w:pPr>
      <w:r>
        <w:rPr>
          <w:b/>
          <w:sz w:val="24"/>
        </w:rPr>
        <w:t>Versie 4.0 — 19 april 2026</w:t>
      </w:r>
    </w:p>
    <w:p/>
    <w:p>
      <w:pPr>
        <w:jc w:val="center"/>
      </w:pPr>
      <w:r>
        <w:rPr>
          <w:i/>
          <w:sz w:val="20"/>
        </w:rPr>
        <w:t>Gebaseerd op PGS 15:2025, versie 1.0 (januari 2025)</w:t>
      </w:r>
    </w:p>
    <w:p>
      <w:pPr>
        <w:jc w:val="center"/>
      </w:pPr>
      <w:r>
        <w:rPr>
          <w:color w:val="C00000"/>
          <w:sz w:val="20"/>
        </w:rPr>
        <w:t>Documentclassificatie: Vertrouwelijk — Intern gebruik</w:t>
      </w:r>
    </w:p>
    <w:p>
      <w:r>
        <w:br w:type="page"/>
      </w:r>
    </w:p>
    <w:p>
      <w:pPr>
        <w:pStyle w:val="Heading1"/>
      </w:pPr>
      <w:r>
        <w:t>Documentbeheer</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Parameter</w:t>
            </w:r>
          </w:p>
        </w:tc>
        <w:tc>
          <w:tcPr>
            <w:tcW w:type="dxa" w:w="4320"/>
          </w:tcPr>
          <w:p>
            <w:r>
              <w:rPr>
                <w:b/>
                <w:sz w:val="18"/>
              </w:rPr>
              <w:t>Waarde</w:t>
            </w:r>
          </w:p>
        </w:tc>
      </w:tr>
      <w:tr>
        <w:tc>
          <w:tcPr>
            <w:tcW w:type="dxa" w:w="4320"/>
          </w:tcPr>
          <w:p>
            <w:r>
              <w:rPr>
                <w:sz w:val="18"/>
              </w:rPr>
              <w:t>Documenttitel</w:t>
            </w:r>
          </w:p>
        </w:tc>
        <w:tc>
          <w:tcPr>
            <w:tcW w:type="dxa" w:w="4320"/>
          </w:tcPr>
          <w:p>
            <w:r>
              <w:rPr>
                <w:sz w:val="18"/>
              </w:rPr>
              <w:t>PGS 15 Kennisdossier Opslag Gevaarlijke Stoffen — Phoenix Metals</w:t>
            </w:r>
          </w:p>
        </w:tc>
      </w:tr>
      <w:tr>
        <w:tc>
          <w:tcPr>
            <w:tcW w:type="dxa" w:w="4320"/>
          </w:tcPr>
          <w:p>
            <w:r>
              <w:rPr>
                <w:sz w:val="18"/>
              </w:rPr>
              <w:t>Documentcode</w:t>
            </w:r>
          </w:p>
        </w:tc>
        <w:tc>
          <w:tcPr>
            <w:tcW w:type="dxa" w:w="4320"/>
          </w:tcPr>
          <w:p>
            <w:r>
              <w:rPr>
                <w:sz w:val="18"/>
              </w:rPr>
              <w:t>D1</w:t>
            </w:r>
          </w:p>
        </w:tc>
      </w:tr>
      <w:tr>
        <w:tc>
          <w:tcPr>
            <w:tcW w:type="dxa" w:w="4320"/>
          </w:tcPr>
          <w:p>
            <w:r>
              <w:rPr>
                <w:sz w:val="18"/>
              </w:rPr>
              <w:t>Versie</w:t>
            </w:r>
          </w:p>
        </w:tc>
        <w:tc>
          <w:tcPr>
            <w:tcW w:type="dxa" w:w="4320"/>
          </w:tcPr>
          <w:p>
            <w:r>
              <w:rPr>
                <w:sz w:val="18"/>
              </w:rPr>
              <w:t>4.0</w:t>
            </w:r>
          </w:p>
        </w:tc>
      </w:tr>
      <w:tr>
        <w:tc>
          <w:tcPr>
            <w:tcW w:type="dxa" w:w="4320"/>
          </w:tcPr>
          <w:p>
            <w:r>
              <w:rPr>
                <w:sz w:val="18"/>
              </w:rPr>
              <w:t>Datum</w:t>
            </w:r>
          </w:p>
        </w:tc>
        <w:tc>
          <w:tcPr>
            <w:tcW w:type="dxa" w:w="4320"/>
          </w:tcPr>
          <w:p>
            <w:r>
              <w:rPr>
                <w:sz w:val="18"/>
              </w:rPr>
              <w:t>19 april 2026</w:t>
            </w:r>
          </w:p>
        </w:tc>
      </w:tr>
      <w:tr>
        <w:tc>
          <w:tcPr>
            <w:tcW w:type="dxa" w:w="4320"/>
          </w:tcPr>
          <w:p>
            <w:r>
              <w:rPr>
                <w:sz w:val="18"/>
              </w:rPr>
              <w:t>Auteur</w:t>
            </w:r>
          </w:p>
        </w:tc>
        <w:tc>
          <w:tcPr>
            <w:tcW w:type="dxa" w:w="4320"/>
          </w:tcPr>
          <w:p>
            <w:r>
              <w:rPr>
                <w:sz w:val="18"/>
              </w:rPr>
              <w:t>J. van Gemert (HSEQ Consultant)</w:t>
            </w:r>
          </w:p>
        </w:tc>
      </w:tr>
      <w:tr>
        <w:tc>
          <w:tcPr>
            <w:tcW w:type="dxa" w:w="4320"/>
          </w:tcPr>
          <w:p>
            <w:r>
              <w:rPr>
                <w:sz w:val="18"/>
              </w:rPr>
              <w:t>Bedrijfsnaam</w:t>
            </w:r>
          </w:p>
        </w:tc>
        <w:tc>
          <w:tcPr>
            <w:tcW w:type="dxa" w:w="4320"/>
          </w:tcPr>
          <w:p>
            <w:r>
              <w:rPr>
                <w:sz w:val="18"/>
              </w:rPr>
              <w:t>Phoenix Metals B.V.</w:t>
            </w:r>
          </w:p>
        </w:tc>
      </w:tr>
      <w:tr>
        <w:tc>
          <w:tcPr>
            <w:tcW w:type="dxa" w:w="4320"/>
          </w:tcPr>
          <w:p>
            <w:r>
              <w:rPr>
                <w:sz w:val="18"/>
              </w:rPr>
              <w:t>Locatie</w:t>
            </w:r>
          </w:p>
        </w:tc>
        <w:tc>
          <w:tcPr>
            <w:tcW w:type="dxa" w:w="4320"/>
          </w:tcPr>
          <w:p>
            <w:r>
              <w:rPr>
                <w:sz w:val="18"/>
              </w:rPr>
              <w:t>PlantOne, Rotterdam Europoort</w:t>
            </w:r>
          </w:p>
        </w:tc>
      </w:tr>
      <w:tr>
        <w:tc>
          <w:tcPr>
            <w:tcW w:type="dxa" w:w="4320"/>
          </w:tcPr>
          <w:p>
            <w:r>
              <w:rPr>
                <w:sz w:val="18"/>
              </w:rPr>
              <w:t>Status</w:t>
            </w:r>
          </w:p>
        </w:tc>
        <w:tc>
          <w:tcPr>
            <w:tcW w:type="dxa" w:w="4320"/>
          </w:tcPr>
          <w:p>
            <w:r>
              <w:rPr>
                <w:sz w:val="18"/>
              </w:rPr>
              <w:t>Definitief</w:t>
            </w:r>
          </w:p>
        </w:tc>
      </w:tr>
      <w:tr>
        <w:tc>
          <w:tcPr>
            <w:tcW w:type="dxa" w:w="4320"/>
          </w:tcPr>
          <w:p>
            <w:r>
              <w:rPr>
                <w:sz w:val="18"/>
              </w:rPr>
              <w:t>Classificatie</w:t>
            </w:r>
          </w:p>
        </w:tc>
        <w:tc>
          <w:tcPr>
            <w:tcW w:type="dxa" w:w="4320"/>
          </w:tcPr>
          <w:p>
            <w:r>
              <w:rPr>
                <w:sz w:val="18"/>
              </w:rPr>
              <w:t>Vertrouwelijk — Intern</w:t>
            </w:r>
          </w:p>
        </w:tc>
      </w:tr>
    </w:tbl>
    <w:p/>
    <w:p>
      <w:pPr>
        <w:pStyle w:val="Heading2"/>
      </w:pPr>
      <w:r>
        <w:t>Versiehistorie</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Versie</w:t>
            </w:r>
          </w:p>
        </w:tc>
        <w:tc>
          <w:tcPr>
            <w:tcW w:type="dxa" w:w="2160"/>
          </w:tcPr>
          <w:p>
            <w:r>
              <w:rPr>
                <w:b/>
                <w:sz w:val="18"/>
              </w:rPr>
              <w:t>Datum</w:t>
            </w:r>
          </w:p>
        </w:tc>
        <w:tc>
          <w:tcPr>
            <w:tcW w:type="dxa" w:w="2160"/>
          </w:tcPr>
          <w:p>
            <w:r>
              <w:rPr>
                <w:b/>
                <w:sz w:val="18"/>
              </w:rPr>
              <w:t>Wijziging</w:t>
            </w:r>
          </w:p>
        </w:tc>
        <w:tc>
          <w:tcPr>
            <w:tcW w:type="dxa" w:w="2160"/>
          </w:tcPr>
          <w:p>
            <w:r>
              <w:rPr>
                <w:b/>
                <w:sz w:val="18"/>
              </w:rPr>
              <w:t>Auteur</w:t>
            </w:r>
          </w:p>
        </w:tc>
      </w:tr>
      <w:tr>
        <w:tc>
          <w:tcPr>
            <w:tcW w:type="dxa" w:w="2160"/>
          </w:tcPr>
          <w:p>
            <w:r>
              <w:rPr>
                <w:sz w:val="18"/>
              </w:rPr>
              <w:t>1.0</w:t>
            </w:r>
          </w:p>
        </w:tc>
        <w:tc>
          <w:tcPr>
            <w:tcW w:type="dxa" w:w="2160"/>
          </w:tcPr>
          <w:p>
            <w:r>
              <w:rPr>
                <w:sz w:val="18"/>
              </w:rPr>
              <w:t>12-04-2026</w:t>
            </w:r>
          </w:p>
        </w:tc>
        <w:tc>
          <w:tcPr>
            <w:tcW w:type="dxa" w:w="2160"/>
          </w:tcPr>
          <w:p>
            <w:r>
              <w:rPr>
                <w:sz w:val="18"/>
              </w:rPr>
              <w:t>Initiële opzet Kennisdossier</w:t>
            </w:r>
          </w:p>
        </w:tc>
        <w:tc>
          <w:tcPr>
            <w:tcW w:type="dxa" w:w="2160"/>
          </w:tcPr>
          <w:p>
            <w:r>
              <w:rPr>
                <w:sz w:val="18"/>
              </w:rPr>
              <w:t>JvG</w:t>
            </w:r>
          </w:p>
        </w:tc>
      </w:tr>
      <w:tr>
        <w:tc>
          <w:tcPr>
            <w:tcW w:type="dxa" w:w="2160"/>
          </w:tcPr>
          <w:p>
            <w:r>
              <w:rPr>
                <w:sz w:val="18"/>
              </w:rPr>
              <w:t>2.0</w:t>
            </w:r>
          </w:p>
        </w:tc>
        <w:tc>
          <w:tcPr>
            <w:tcW w:type="dxa" w:w="2160"/>
          </w:tcPr>
          <w:p>
            <w:r>
              <w:rPr>
                <w:sz w:val="18"/>
              </w:rPr>
              <w:t>14-04-2026</w:t>
            </w:r>
          </w:p>
        </w:tc>
        <w:tc>
          <w:tcPr>
            <w:tcW w:type="dxa" w:w="2160"/>
          </w:tcPr>
          <w:p>
            <w:r>
              <w:rPr>
                <w:sz w:val="18"/>
              </w:rPr>
              <w:t>Uitbreiding H2-H4, PGS 15:2025 verfijning</w:t>
            </w:r>
          </w:p>
        </w:tc>
        <w:tc>
          <w:tcPr>
            <w:tcW w:type="dxa" w:w="2160"/>
          </w:tcPr>
          <w:p>
            <w:r>
              <w:rPr>
                <w:sz w:val="18"/>
              </w:rPr>
              <w:t>JvG</w:t>
            </w:r>
          </w:p>
        </w:tc>
      </w:tr>
      <w:tr>
        <w:tc>
          <w:tcPr>
            <w:tcW w:type="dxa" w:w="2160"/>
          </w:tcPr>
          <w:p>
            <w:r>
              <w:rPr>
                <w:sz w:val="18"/>
              </w:rPr>
              <w:t>3.0</w:t>
            </w:r>
          </w:p>
        </w:tc>
        <w:tc>
          <w:tcPr>
            <w:tcW w:type="dxa" w:w="2160"/>
          </w:tcPr>
          <w:p>
            <w:r>
              <w:rPr>
                <w:sz w:val="18"/>
              </w:rPr>
              <w:t>16-04-2026</w:t>
            </w:r>
          </w:p>
        </w:tc>
        <w:tc>
          <w:tcPr>
            <w:tcW w:type="dxa" w:w="2160"/>
          </w:tcPr>
          <w:p>
            <w:r>
              <w:rPr>
                <w:sz w:val="18"/>
              </w:rPr>
              <w:t>Herziening t.b.v. auditgereedheid</w:t>
            </w:r>
          </w:p>
        </w:tc>
        <w:tc>
          <w:tcPr>
            <w:tcW w:type="dxa" w:w="2160"/>
          </w:tcPr>
          <w:p>
            <w:r>
              <w:rPr>
                <w:sz w:val="18"/>
              </w:rPr>
              <w:t>JvG</w:t>
            </w:r>
          </w:p>
        </w:tc>
      </w:tr>
      <w:tr>
        <w:tc>
          <w:tcPr>
            <w:tcW w:type="dxa" w:w="2160"/>
          </w:tcPr>
          <w:p>
            <w:r>
              <w:rPr>
                <w:sz w:val="18"/>
              </w:rPr>
              <w:t>4.0</w:t>
            </w:r>
          </w:p>
        </w:tc>
        <w:tc>
          <w:tcPr>
            <w:tcW w:type="dxa" w:w="2160"/>
          </w:tcPr>
          <w:p>
            <w:r>
              <w:rPr>
                <w:sz w:val="18"/>
              </w:rPr>
              <w:t>19-04-2026</w:t>
            </w:r>
          </w:p>
        </w:tc>
        <w:tc>
          <w:tcPr>
            <w:tcW w:type="dxa" w:w="2160"/>
          </w:tcPr>
          <w:p>
            <w:r>
              <w:rPr>
                <w:sz w:val="18"/>
              </w:rPr>
              <w:t>Volledige herschrijving op basis van brondocumentanalyse</w:t>
            </w:r>
          </w:p>
        </w:tc>
        <w:tc>
          <w:tcPr>
            <w:tcW w:type="dxa" w:w="2160"/>
          </w:tcPr>
          <w:p>
            <w:r>
              <w:rPr>
                <w:sz w:val="18"/>
              </w:rPr>
              <w:t>JvG</w:t>
            </w:r>
          </w:p>
        </w:tc>
      </w:tr>
    </w:tbl>
    <w:p>
      <w:r>
        <w:br w:type="page"/>
      </w:r>
    </w:p>
    <w:p>
      <w:pPr>
        <w:pStyle w:val="Heading1"/>
      </w:pPr>
      <w:r>
        <w:t>Managementsamenvatting</w:t>
      </w:r>
    </w:p>
    <w:p>
      <w:r>
        <w:t>Dit kennisdossier beschrijft de toepassing van PGS 15:2025 (versie 1.0, januari 2025) op de opslag van gevaarlijke stoffen bij Phoenix Metals B.V., gevestigd op de PlantOne-locatie in Rotterdam Europoort. Phoenix Metals ontwikkelt een hydrometallurgisch proces voor de extractie van vanadium uit SARU-ash (reststroom uit ruwe-olieraffinage). Het bedrijf bevindt zich in de demo-fase met een maximale as-verwerking van 60 kg in een campagne van maximaal drie maanden.</w:t>
      </w:r>
    </w:p>
    <w:p>
      <w:r>
        <w:t>De opgeslagen stoffen bestaan uit feedstock-chemicaliën (NaOH 50%, H₂SO₄ in diverse concentraties, aluminiumsulfaat, calciumoxide), SARU-ash (invoermateriaal met vanadium-, nikkel- en uraanverbindingen), het eindproduct vanadium-elektrolyt en diverse reststromen. De totale opgeslagen hoeveelheid in de demo-fase blijft ruim onder de 2.500 kg-grens per ADR-klasse.</w:t>
      </w:r>
    </w:p>
    <w:p>
      <w:pPr>
        <w:pStyle w:val="Heading2"/>
      </w:pPr>
      <w:r>
        <w:t>Kernbevindingen</w:t>
      </w:r>
    </w:p>
    <w:p>
      <w:pPr>
        <w:pStyle w:val="ListBullet"/>
      </w:pPr>
      <w:r>
        <w:rPr>
          <w:b/>
        </w:rPr>
        <w:t xml:space="preserve">Veiligheidsniveau: </w:t>
      </w:r>
      <w:r>
        <w:t>Basisveiligheidsniveau volstaat voor alle opgeslagen stoffen. H₂SO₄ en NaOH zijn ADR-klasse 8, VG II, onbrandbaar. Vanadiumoplossingen vallen onder ADR-klasse 9. Bij dedicated opslag van onbrandbare stoffen is geen aanvullend veiligheidsniveau vereist.</w:t>
      </w:r>
    </w:p>
    <w:p>
      <w:pPr>
        <w:pStyle w:val="ListBullet"/>
      </w:pPr>
      <w:r>
        <w:rPr>
          <w:b/>
        </w:rPr>
        <w:t xml:space="preserve">Scheidingseis: </w:t>
      </w:r>
      <w:r>
        <w:t>H₂SO₄ (zuur) en NaOH (base) vormen een onverenigbare combinatie en moeten in afzonderlijke vakken of opslagvoorzieningen worden opgeslagen (PGS 15:2025, Bijlage E).</w:t>
      </w:r>
    </w:p>
    <w:p>
      <w:pPr>
        <w:pStyle w:val="ListBullet"/>
      </w:pPr>
      <w:r>
        <w:rPr>
          <w:b/>
        </w:rPr>
        <w:t xml:space="preserve">Wbdbo: </w:t>
      </w:r>
      <w:r>
        <w:t>Geen Wbdbo-eis bij dedicated opslag van onbrandbare ADR-8 VG II/III stoffen.</w:t>
      </w:r>
    </w:p>
    <w:p>
      <w:pPr>
        <w:pStyle w:val="ListBullet"/>
      </w:pPr>
      <w:r>
        <w:rPr>
          <w:b/>
        </w:rPr>
        <w:t xml:space="preserve">Opvangcapaciteit: </w:t>
      </w:r>
      <w:r>
        <w:t>110% van de grootste verpakking of 10% van de totale inhoud, waarbij de hoogste waarde geldt.</w:t>
      </w:r>
    </w:p>
    <w:p>
      <w:pPr>
        <w:pStyle w:val="ListBullet"/>
      </w:pPr>
      <w:r>
        <w:rPr>
          <w:b/>
        </w:rPr>
        <w:t xml:space="preserve">BRZO 2020: </w:t>
      </w:r>
      <w:r>
        <w:t>Niet van toepassing op de demo-fase. De opgeslagen hoeveelheden liggen ver onder de drempelwaarden uit Bijlage I van het BRZO 2020.</w:t>
      </w:r>
    </w:p>
    <w:p>
      <w:pPr>
        <w:pStyle w:val="ListBullet"/>
      </w:pPr>
      <w:r>
        <w:rPr>
          <w:b/>
        </w:rPr>
        <w:t xml:space="preserve">Straling: </w:t>
      </w:r>
      <w:r>
        <w:t>SARU-ash bevat van nature voorkomende radionucliden (U-238-reeks). Bij &lt;1.000 kg bewerking is het proces intrinsiek veilig (Besluit basisveiligheidsnormen stralingsbescherming, art. 3.17).</w:t>
      </w:r>
    </w:p>
    <w:p>
      <w:r>
        <w:br w:type="page"/>
      </w:r>
    </w:p>
    <w:p>
      <w:pPr>
        <w:pStyle w:val="Heading1"/>
      </w:pPr>
      <w:r>
        <w:t>1. PGS 15:2025 — Basis</w:t>
      </w:r>
    </w:p>
    <w:p>
      <w:pPr>
        <w:pStyle w:val="Heading2"/>
      </w:pPr>
      <w:r>
        <w:t>1.1 Wat is PGS 15</w:t>
      </w:r>
    </w:p>
    <w:p>
      <w:r>
        <w:t>PGS 15 is de Publicatiereeks Gevaarlijke Stoffen-richtlijn voor de opslag van verpakte gevaarlijke stoffen. De richtlijn is op 1 januari 2025 volledig herzien (PGS 15:2025, versie 1.0) en vervangt de eerdere versie uit 2005. PGS 15 geeft voorschriften voor de inrichting, exploitatie en beheer van opslagvoorzieningen voor gevaarlijke stoffen in verpakking (vaten, IBC's, jerrycans, gasflessen en dergelijke).</w:t>
      </w:r>
    </w:p>
    <w:p>
      <w:r>
        <w:t>De herziene PGS 15:2025 introduceert een nieuw classificatiesysteem met vier veiligheidsniveaus (basis, A, B, C), gebaseerd op stofeigenschappen en opgeslagen hoeveelheden. Daarnaast zijn de maatregelen herziet en waar mogelijk geharmoniseerd met het Bouwbesluit (Bbl) en de Omgevingswet.</w:t>
      </w:r>
    </w:p>
    <w:p>
      <w:pPr>
        <w:pStyle w:val="Heading2"/>
      </w:pPr>
      <w:r>
        <w:t>1.2 Waarom relevant voor Phoenix Metals</w:t>
      </w:r>
    </w:p>
    <w:p>
      <w:r>
        <w:t>Phoenix Metals slaat gevaarlijke stoffen op (NaOH, H₂SO₄, vanadiumverbindingen) die vallen binnen het toepassingsgebied van PGS 15. Het Besluit activiteiten leefomgeving (Bal) verbindt PGS 15 als standaard aan vergunningsvoorwaarden voor opslag van gevaarlijke stoffen. Naleving van PGS 15 is daarom een wettelijke vereiste voor de vergunning van Phoenix Metals.</w:t>
      </w:r>
    </w:p>
    <w:p>
      <w:pPr>
        <w:pStyle w:val="Heading2"/>
      </w:pPr>
      <w:r>
        <w:t>1.3 Overgangsregeling</w:t>
      </w:r>
    </w:p>
    <w:p>
      <w:r>
        <w:t>PGS 15:2025 kent een overgangsregeling voor bestaande opslagvoorzieningen die onder de oude PGS 15 (2005) waren ingericht. Voor Phoenix Metals, als nieuwe inrichting, geldt PGS 15:2025 onverkort vanaf de ingebruikname. Er is geen sprake van een overgangssituatie.</w:t>
      </w:r>
    </w:p>
    <w:p>
      <w:pPr>
        <w:pStyle w:val="Heading2"/>
      </w:pPr>
      <w:r>
        <w:t>1.4 Relatie met andere regelgeving</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Regelgeving</w:t>
            </w:r>
          </w:p>
        </w:tc>
        <w:tc>
          <w:tcPr>
            <w:tcW w:type="dxa" w:w="4320"/>
          </w:tcPr>
          <w:p>
            <w:r>
              <w:rPr>
                <w:b/>
                <w:sz w:val="18"/>
              </w:rPr>
              <w:t>Relatie met PGS 15</w:t>
            </w:r>
          </w:p>
        </w:tc>
      </w:tr>
      <w:tr>
        <w:tc>
          <w:tcPr>
            <w:tcW w:type="dxa" w:w="4320"/>
          </w:tcPr>
          <w:p>
            <w:r>
              <w:rPr>
                <w:sz w:val="18"/>
              </w:rPr>
              <w:t>Omgevingswet / Bal</w:t>
            </w:r>
          </w:p>
        </w:tc>
        <w:tc>
          <w:tcPr>
            <w:tcW w:type="dxa" w:w="4320"/>
          </w:tcPr>
          <w:p>
            <w:r>
              <w:rPr>
                <w:sz w:val="18"/>
              </w:rPr>
              <w:t>PGS 15 is aangewezen als standaardgood practice (art. 4.1012 Bal). Vergunningverleners toetsen op PGS 15.</w:t>
            </w:r>
          </w:p>
        </w:tc>
      </w:tr>
      <w:tr>
        <w:tc>
          <w:tcPr>
            <w:tcW w:type="dxa" w:w="4320"/>
          </w:tcPr>
          <w:p>
            <w:r>
              <w:rPr>
                <w:sz w:val="18"/>
              </w:rPr>
              <w:t>BRZO 2020</w:t>
            </w:r>
          </w:p>
        </w:tc>
        <w:tc>
          <w:tcPr>
            <w:tcW w:type="dxa" w:w="4320"/>
          </w:tcPr>
          <w:p>
            <w:r>
              <w:rPr>
                <w:sz w:val="18"/>
              </w:rPr>
              <w:t>PGS 15-maatregelen zijn onderdeel van het veiligheidsbeheerssysteem bij BRZO-bedrijven. Voor Phoenix Metals demo-fase: BRZO niet van toepassing.</w:t>
            </w:r>
          </w:p>
        </w:tc>
      </w:tr>
      <w:tr>
        <w:tc>
          <w:tcPr>
            <w:tcW w:type="dxa" w:w="4320"/>
          </w:tcPr>
          <w:p>
            <w:r>
              <w:rPr>
                <w:sz w:val="18"/>
              </w:rPr>
              <w:t>Arbeidsomstandighedenwet</w:t>
            </w:r>
          </w:p>
        </w:tc>
        <w:tc>
          <w:tcPr>
            <w:tcW w:type="dxa" w:w="4320"/>
          </w:tcPr>
          <w:p>
            <w:r>
              <w:rPr>
                <w:sz w:val="18"/>
              </w:rPr>
              <w:t>PGS 15 voorziet in arbeidsveiligheidsmaatregelen (PBM's, ventilatie, instructie). Aanvullend: Arbobesluit hoofdstuk 4 (gevaarlijke stoffen).</w:t>
            </w:r>
          </w:p>
        </w:tc>
      </w:tr>
      <w:tr>
        <w:tc>
          <w:tcPr>
            <w:tcW w:type="dxa" w:w="4320"/>
          </w:tcPr>
          <w:p>
            <w:r>
              <w:rPr>
                <w:sz w:val="18"/>
              </w:rPr>
              <w:t>Wet milieubeheer / Wm</w:t>
            </w:r>
          </w:p>
        </w:tc>
        <w:tc>
          <w:tcPr>
            <w:tcW w:type="dxa" w:w="4320"/>
          </w:tcPr>
          <w:p>
            <w:r>
              <w:rPr>
                <w:sz w:val="18"/>
              </w:rPr>
              <w:t>Opvang van lekkage en bluswater voorkomt bodem- en waterverontreiniging. Verankerd in PGS 15 M29-M32.</w:t>
            </w:r>
          </w:p>
        </w:tc>
      </w:tr>
      <w:tr>
        <w:tc>
          <w:tcPr>
            <w:tcW w:type="dxa" w:w="4320"/>
          </w:tcPr>
          <w:p>
            <w:r>
              <w:rPr>
                <w:sz w:val="18"/>
              </w:rPr>
              <w:t>CLP-verordening (EG 1272/2008)</w:t>
            </w:r>
          </w:p>
        </w:tc>
        <w:tc>
          <w:tcPr>
            <w:tcW w:type="dxa" w:w="4320"/>
          </w:tcPr>
          <w:p>
            <w:r>
              <w:rPr>
                <w:sz w:val="18"/>
              </w:rPr>
              <w:t>Indeling en etikettering van stoffen. PGS 15 gebruikt CLP-classificatie als input voor veiligheidsniveau-bepaling.</w:t>
            </w:r>
          </w:p>
        </w:tc>
      </w:tr>
      <w:tr>
        <w:tc>
          <w:tcPr>
            <w:tcW w:type="dxa" w:w="4320"/>
          </w:tcPr>
          <w:p>
            <w:r>
              <w:rPr>
                <w:sz w:val="18"/>
              </w:rPr>
              <w:t>REACH (EG 1907/2006)</w:t>
            </w:r>
          </w:p>
        </w:tc>
        <w:tc>
          <w:tcPr>
            <w:tcW w:type="dxa" w:w="4320"/>
          </w:tcPr>
          <w:p>
            <w:r>
              <w:rPr>
                <w:sz w:val="18"/>
              </w:rPr>
              <w:t>Verplichting tot beschikbaarheid van veiligheidsinformatiebladen (VIB/SDS). PGS 15 eist actuele VIB's (M137).</w:t>
            </w:r>
          </w:p>
        </w:tc>
      </w:tr>
      <w:tr>
        <w:tc>
          <w:tcPr>
            <w:tcW w:type="dxa" w:w="4320"/>
          </w:tcPr>
          <w:p>
            <w:r>
              <w:rPr>
                <w:sz w:val="18"/>
              </w:rPr>
              <w:t>Besluit basisveiligheidsnormen stralingsbescherming</w:t>
            </w:r>
          </w:p>
        </w:tc>
        <w:tc>
          <w:tcPr>
            <w:tcW w:type="dxa" w:w="4320"/>
          </w:tcPr>
          <w:p>
            <w:r>
              <w:rPr>
                <w:sz w:val="18"/>
              </w:rPr>
              <w:t>Relevant voor SARU-ash met van nature voorkomende radionucliden. Apart van PGS 15.</w:t>
            </w:r>
          </w:p>
        </w:tc>
      </w:tr>
    </w:tbl>
    <w:p>
      <w:pPr>
        <w:pStyle w:val="Heading2"/>
      </w:pPr>
      <w:r>
        <w:t>1.5 Toepasselijkheid op Phoenix Metals</w:t>
      </w:r>
    </w:p>
    <w:p>
      <w:r>
        <w:t>PGS 15:2025 is van toepassing op Phoenix Metals omdat:</w:t>
      </w:r>
    </w:p>
    <w:p>
      <w:pPr>
        <w:pStyle w:val="ListBullet"/>
      </w:pPr>
      <w:r>
        <w:t>Het bedrijf meer dan de ondergrens aan gevaarlijke stoffen opslaat (ADR-klasse 8, ondergrens 250 kg).</w:t>
      </w:r>
    </w:p>
    <w:p>
      <w:pPr>
        <w:pStyle w:val="ListBullet"/>
      </w:pPr>
      <w:r>
        <w:t>De stoffen zijn ingedeeld als ADR-klasse 8 (bijtend) en ADR-klasse 9 (milieugevaarlijk).</w:t>
      </w:r>
    </w:p>
    <w:p>
      <w:pPr>
        <w:pStyle w:val="ListBullet"/>
      </w:pPr>
      <w:r>
        <w:t>Opslag vindt plaats in een opslagvoorziening (rack lab) binnen een bedrijfsterrein.</w:t>
      </w:r>
    </w:p>
    <w:p>
      <w:r>
        <w:t>De totale opgeslagen hoeveelheid in de demo-fase bedraagt circa 300 L vloeistof en 60 kg ash. Hiermee blijft Phoenix Metals ruim onder de grenswaarden die leiden tot hogere veiligheidsniveaus. Het basisveiligheidsniveau volstaat.</w:t>
      </w:r>
    </w:p>
    <w:p>
      <w:r>
        <w:br w:type="page"/>
      </w:r>
    </w:p>
    <w:p>
      <w:pPr>
        <w:pStyle w:val="Heading1"/>
      </w:pPr>
      <w:r>
        <w:t>2. Opslagstoffen Inventarisatie</w:t>
      </w:r>
    </w:p>
    <w:p>
      <w:pPr>
        <w:pStyle w:val="Heading2"/>
      </w:pPr>
      <w:r>
        <w:t>2.1 Feedstock-chemicaliën</w:t>
      </w:r>
    </w:p>
    <w:tbl>
      <w:tblPr>
        <w:tblStyle w:val="LightGrid-Accent1"/>
        <w:tblW w:type="auto" w:w="0"/>
        <w:jc w:val="center"/>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rPr>
                <w:b/>
                <w:sz w:val="18"/>
              </w:rPr>
              <w:t>#</w:t>
            </w:r>
          </w:p>
        </w:tc>
        <w:tc>
          <w:tcPr>
            <w:tcW w:type="dxa" w:w="960"/>
          </w:tcPr>
          <w:p>
            <w:r>
              <w:rPr>
                <w:b/>
                <w:sz w:val="18"/>
              </w:rPr>
              <w:t>Stof</w:t>
            </w:r>
          </w:p>
        </w:tc>
        <w:tc>
          <w:tcPr>
            <w:tcW w:type="dxa" w:w="960"/>
          </w:tcPr>
          <w:p>
            <w:r>
              <w:rPr>
                <w:b/>
                <w:sz w:val="18"/>
              </w:rPr>
              <w:t>CAS-nr.</w:t>
            </w:r>
          </w:p>
        </w:tc>
        <w:tc>
          <w:tcPr>
            <w:tcW w:type="dxa" w:w="960"/>
          </w:tcPr>
          <w:p>
            <w:r>
              <w:rPr>
                <w:b/>
                <w:sz w:val="18"/>
              </w:rPr>
              <w:t>ADR-klasse</w:t>
            </w:r>
          </w:p>
        </w:tc>
        <w:tc>
          <w:tcPr>
            <w:tcW w:type="dxa" w:w="960"/>
          </w:tcPr>
          <w:p>
            <w:r>
              <w:rPr>
                <w:b/>
                <w:sz w:val="18"/>
              </w:rPr>
              <w:t>UN-nr.</w:t>
            </w:r>
          </w:p>
        </w:tc>
        <w:tc>
          <w:tcPr>
            <w:tcW w:type="dxa" w:w="960"/>
          </w:tcPr>
          <w:p>
            <w:r>
              <w:rPr>
                <w:b/>
                <w:sz w:val="18"/>
              </w:rPr>
              <w:t>VG</w:t>
            </w:r>
          </w:p>
        </w:tc>
        <w:tc>
          <w:tcPr>
            <w:tcW w:type="dxa" w:w="960"/>
          </w:tcPr>
          <w:p>
            <w:r>
              <w:rPr>
                <w:b/>
                <w:sz w:val="18"/>
              </w:rPr>
              <w:t>Hoeveelheid</w:t>
            </w:r>
          </w:p>
        </w:tc>
        <w:tc>
          <w:tcPr>
            <w:tcW w:type="dxa" w:w="960"/>
          </w:tcPr>
          <w:p>
            <w:r>
              <w:rPr>
                <w:b/>
                <w:sz w:val="18"/>
              </w:rPr>
              <w:t>Verpakking</w:t>
            </w:r>
          </w:p>
        </w:tc>
        <w:tc>
          <w:tcPr>
            <w:tcW w:type="dxa" w:w="960"/>
          </w:tcPr>
          <w:p>
            <w:r>
              <w:rPr>
                <w:b/>
                <w:sz w:val="18"/>
              </w:rPr>
              <w:t>Locatie</w:t>
            </w:r>
          </w:p>
        </w:tc>
      </w:tr>
      <w:tr>
        <w:tc>
          <w:tcPr>
            <w:tcW w:type="dxa" w:w="960"/>
          </w:tcPr>
          <w:p>
            <w:r>
              <w:rPr>
                <w:sz w:val="18"/>
              </w:rPr>
              <w:t>1</w:t>
            </w:r>
          </w:p>
        </w:tc>
        <w:tc>
          <w:tcPr>
            <w:tcW w:type="dxa" w:w="960"/>
          </w:tcPr>
          <w:p>
            <w:r>
              <w:rPr>
                <w:sz w:val="18"/>
              </w:rPr>
              <w:t>NaOH 50% oplossing</w:t>
            </w:r>
          </w:p>
        </w:tc>
        <w:tc>
          <w:tcPr>
            <w:tcW w:type="dxa" w:w="960"/>
          </w:tcPr>
          <w:p>
            <w:r>
              <w:rPr>
                <w:sz w:val="18"/>
              </w:rPr>
              <w:t>1310-73-2</w:t>
            </w:r>
          </w:p>
        </w:tc>
        <w:tc>
          <w:tcPr>
            <w:tcW w:type="dxa" w:w="960"/>
          </w:tcPr>
          <w:p>
            <w:r>
              <w:rPr>
                <w:sz w:val="18"/>
              </w:rPr>
              <w:t>8</w:t>
            </w:r>
          </w:p>
        </w:tc>
        <w:tc>
          <w:tcPr>
            <w:tcW w:type="dxa" w:w="960"/>
          </w:tcPr>
          <w:p>
            <w:r>
              <w:rPr>
                <w:sz w:val="18"/>
              </w:rPr>
              <w:t>1824</w:t>
            </w:r>
          </w:p>
        </w:tc>
        <w:tc>
          <w:tcPr>
            <w:tcW w:type="dxa" w:w="960"/>
          </w:tcPr>
          <w:p>
            <w:r>
              <w:rPr>
                <w:sz w:val="18"/>
              </w:rPr>
              <w:t>II</w:t>
            </w:r>
          </w:p>
        </w:tc>
        <w:tc>
          <w:tcPr>
            <w:tcW w:type="dxa" w:w="960"/>
          </w:tcPr>
          <w:p>
            <w:r>
              <w:rPr>
                <w:sz w:val="18"/>
              </w:rPr>
              <w:t>4×25L = 100L</w:t>
            </w:r>
          </w:p>
        </w:tc>
        <w:tc>
          <w:tcPr>
            <w:tcW w:type="dxa" w:w="960"/>
          </w:tcPr>
          <w:p>
            <w:r>
              <w:rPr>
                <w:sz w:val="18"/>
              </w:rPr>
              <w:t>Jerrycan</w:t>
            </w:r>
          </w:p>
        </w:tc>
        <w:tc>
          <w:tcPr>
            <w:tcW w:type="dxa" w:w="960"/>
          </w:tcPr>
          <w:p>
            <w:r>
              <w:rPr>
                <w:sz w:val="18"/>
              </w:rPr>
              <w:t>Rack lab</w:t>
            </w:r>
          </w:p>
        </w:tc>
      </w:tr>
      <w:tr>
        <w:tc>
          <w:tcPr>
            <w:tcW w:type="dxa" w:w="960"/>
          </w:tcPr>
          <w:p>
            <w:r>
              <w:rPr>
                <w:sz w:val="18"/>
              </w:rPr>
              <w:t>2</w:t>
            </w:r>
          </w:p>
        </w:tc>
        <w:tc>
          <w:tcPr>
            <w:tcW w:type="dxa" w:w="960"/>
          </w:tcPr>
          <w:p>
            <w:r>
              <w:rPr>
                <w:sz w:val="18"/>
              </w:rPr>
              <w:t>H₂SO₄ 75%</w:t>
            </w:r>
          </w:p>
        </w:tc>
        <w:tc>
          <w:tcPr>
            <w:tcW w:type="dxa" w:w="960"/>
          </w:tcPr>
          <w:p>
            <w:r>
              <w:rPr>
                <w:sz w:val="18"/>
              </w:rPr>
              <w:t>7664-93-9</w:t>
            </w:r>
          </w:p>
        </w:tc>
        <w:tc>
          <w:tcPr>
            <w:tcW w:type="dxa" w:w="960"/>
          </w:tcPr>
          <w:p>
            <w:r>
              <w:rPr>
                <w:sz w:val="18"/>
              </w:rPr>
              <w:t>8</w:t>
            </w:r>
          </w:p>
        </w:tc>
        <w:tc>
          <w:tcPr>
            <w:tcW w:type="dxa" w:w="960"/>
          </w:tcPr>
          <w:p>
            <w:r>
              <w:rPr>
                <w:sz w:val="18"/>
              </w:rPr>
              <w:t>1830</w:t>
            </w:r>
          </w:p>
        </w:tc>
        <w:tc>
          <w:tcPr>
            <w:tcW w:type="dxa" w:w="960"/>
          </w:tcPr>
          <w:p>
            <w:r>
              <w:rPr>
                <w:sz w:val="18"/>
              </w:rPr>
              <w:t>II</w:t>
            </w:r>
          </w:p>
        </w:tc>
        <w:tc>
          <w:tcPr>
            <w:tcW w:type="dxa" w:w="960"/>
          </w:tcPr>
          <w:p>
            <w:r>
              <w:rPr>
                <w:sz w:val="18"/>
              </w:rPr>
              <w:t>3×10L = 30L</w:t>
            </w:r>
          </w:p>
        </w:tc>
        <w:tc>
          <w:tcPr>
            <w:tcW w:type="dxa" w:w="960"/>
          </w:tcPr>
          <w:p>
            <w:r>
              <w:rPr>
                <w:sz w:val="18"/>
              </w:rPr>
              <w:t>Jerrycan</w:t>
            </w:r>
          </w:p>
        </w:tc>
        <w:tc>
          <w:tcPr>
            <w:tcW w:type="dxa" w:w="960"/>
          </w:tcPr>
          <w:p>
            <w:r>
              <w:rPr>
                <w:sz w:val="18"/>
              </w:rPr>
              <w:t>Rack lab</w:t>
            </w:r>
          </w:p>
        </w:tc>
      </w:tr>
      <w:tr>
        <w:tc>
          <w:tcPr>
            <w:tcW w:type="dxa" w:w="960"/>
          </w:tcPr>
          <w:p>
            <w:r>
              <w:rPr>
                <w:sz w:val="18"/>
              </w:rPr>
              <w:t>3</w:t>
            </w:r>
          </w:p>
        </w:tc>
        <w:tc>
          <w:tcPr>
            <w:tcW w:type="dxa" w:w="960"/>
          </w:tcPr>
          <w:p>
            <w:r>
              <w:rPr>
                <w:sz w:val="18"/>
              </w:rPr>
              <w:t>H₂SO₄ 50%</w:t>
            </w:r>
          </w:p>
        </w:tc>
        <w:tc>
          <w:tcPr>
            <w:tcW w:type="dxa" w:w="960"/>
          </w:tcPr>
          <w:p>
            <w:r>
              <w:rPr>
                <w:sz w:val="18"/>
              </w:rPr>
              <w:t>7664-93-9</w:t>
            </w:r>
          </w:p>
        </w:tc>
        <w:tc>
          <w:tcPr>
            <w:tcW w:type="dxa" w:w="960"/>
          </w:tcPr>
          <w:p>
            <w:r>
              <w:rPr>
                <w:sz w:val="18"/>
              </w:rPr>
              <w:t>8</w:t>
            </w:r>
          </w:p>
        </w:tc>
        <w:tc>
          <w:tcPr>
            <w:tcW w:type="dxa" w:w="960"/>
          </w:tcPr>
          <w:p>
            <w:r>
              <w:rPr>
                <w:sz w:val="18"/>
              </w:rPr>
              <w:t>1830</w:t>
            </w:r>
          </w:p>
        </w:tc>
        <w:tc>
          <w:tcPr>
            <w:tcW w:type="dxa" w:w="960"/>
          </w:tcPr>
          <w:p>
            <w:r>
              <w:rPr>
                <w:sz w:val="18"/>
              </w:rPr>
              <w:t>II</w:t>
            </w:r>
          </w:p>
        </w:tc>
        <w:tc>
          <w:tcPr>
            <w:tcW w:type="dxa" w:w="960"/>
          </w:tcPr>
          <w:p>
            <w:r>
              <w:rPr>
                <w:sz w:val="18"/>
              </w:rPr>
              <w:t>7×10L = 70L</w:t>
            </w:r>
          </w:p>
        </w:tc>
        <w:tc>
          <w:tcPr>
            <w:tcW w:type="dxa" w:w="960"/>
          </w:tcPr>
          <w:p>
            <w:r>
              <w:rPr>
                <w:sz w:val="18"/>
              </w:rPr>
              <w:t>Jerrycan</w:t>
            </w:r>
          </w:p>
        </w:tc>
        <w:tc>
          <w:tcPr>
            <w:tcW w:type="dxa" w:w="960"/>
          </w:tcPr>
          <w:p>
            <w:r>
              <w:rPr>
                <w:sz w:val="18"/>
              </w:rPr>
              <w:t>Rack lab</w:t>
            </w:r>
          </w:p>
        </w:tc>
      </w:tr>
      <w:tr>
        <w:tc>
          <w:tcPr>
            <w:tcW w:type="dxa" w:w="960"/>
          </w:tcPr>
          <w:p>
            <w:r>
              <w:rPr>
                <w:sz w:val="18"/>
              </w:rPr>
              <w:t>4</w:t>
            </w:r>
          </w:p>
        </w:tc>
        <w:tc>
          <w:tcPr>
            <w:tcW w:type="dxa" w:w="960"/>
          </w:tcPr>
          <w:p>
            <w:r>
              <w:rPr>
                <w:sz w:val="18"/>
              </w:rPr>
              <w:t>H₂SO₄ 25%</w:t>
            </w:r>
          </w:p>
        </w:tc>
        <w:tc>
          <w:tcPr>
            <w:tcW w:type="dxa" w:w="960"/>
          </w:tcPr>
          <w:p>
            <w:r>
              <w:rPr>
                <w:sz w:val="18"/>
              </w:rPr>
              <w:t>7664-93-9</w:t>
            </w:r>
          </w:p>
        </w:tc>
        <w:tc>
          <w:tcPr>
            <w:tcW w:type="dxa" w:w="960"/>
          </w:tcPr>
          <w:p>
            <w:r>
              <w:rPr>
                <w:sz w:val="18"/>
              </w:rPr>
              <w:t>8</w:t>
            </w:r>
          </w:p>
        </w:tc>
        <w:tc>
          <w:tcPr>
            <w:tcW w:type="dxa" w:w="960"/>
          </w:tcPr>
          <w:p>
            <w:r>
              <w:rPr>
                <w:sz w:val="18"/>
              </w:rPr>
              <w:t>1830</w:t>
            </w:r>
          </w:p>
        </w:tc>
        <w:tc>
          <w:tcPr>
            <w:tcW w:type="dxa" w:w="960"/>
          </w:tcPr>
          <w:p>
            <w:r>
              <w:rPr>
                <w:sz w:val="18"/>
              </w:rPr>
              <w:t>II</w:t>
            </w:r>
          </w:p>
        </w:tc>
        <w:tc>
          <w:tcPr>
            <w:tcW w:type="dxa" w:w="960"/>
          </w:tcPr>
          <w:p>
            <w:r>
              <w:rPr>
                <w:sz w:val="18"/>
              </w:rPr>
              <w:t>4×25L = 100L</w:t>
            </w:r>
          </w:p>
        </w:tc>
        <w:tc>
          <w:tcPr>
            <w:tcW w:type="dxa" w:w="960"/>
          </w:tcPr>
          <w:p>
            <w:r>
              <w:rPr>
                <w:sz w:val="18"/>
              </w:rPr>
              <w:t>Jerrycan</w:t>
            </w:r>
          </w:p>
        </w:tc>
        <w:tc>
          <w:tcPr>
            <w:tcW w:type="dxa" w:w="960"/>
          </w:tcPr>
          <w:p>
            <w:r>
              <w:rPr>
                <w:sz w:val="18"/>
              </w:rPr>
              <w:t>Rack lab</w:t>
            </w:r>
          </w:p>
        </w:tc>
      </w:tr>
      <w:tr>
        <w:tc>
          <w:tcPr>
            <w:tcW w:type="dxa" w:w="960"/>
          </w:tcPr>
          <w:p>
            <w:r>
              <w:rPr>
                <w:sz w:val="18"/>
              </w:rPr>
              <w:t>5</w:t>
            </w:r>
          </w:p>
        </w:tc>
        <w:tc>
          <w:tcPr>
            <w:tcW w:type="dxa" w:w="960"/>
          </w:tcPr>
          <w:p>
            <w:r>
              <w:rPr>
                <w:sz w:val="18"/>
              </w:rPr>
              <w:t>Aluminiumsulfaat</w:t>
            </w:r>
          </w:p>
        </w:tc>
        <w:tc>
          <w:tcPr>
            <w:tcW w:type="dxa" w:w="960"/>
          </w:tcPr>
          <w:p>
            <w:r>
              <w:rPr>
                <w:sz w:val="18"/>
              </w:rPr>
              <w:t>7784-31-8</w:t>
            </w:r>
          </w:p>
        </w:tc>
        <w:tc>
          <w:tcPr>
            <w:tcW w:type="dxa" w:w="960"/>
          </w:tcPr>
          <w:p>
            <w:r>
              <w:rPr>
                <w:sz w:val="18"/>
              </w:rPr>
              <w:t>N/A</w:t>
            </w:r>
          </w:p>
        </w:tc>
        <w:tc>
          <w:tcPr>
            <w:tcW w:type="dxa" w:w="960"/>
          </w:tcPr>
          <w:p>
            <w:r>
              <w:rPr>
                <w:sz w:val="18"/>
              </w:rPr>
              <w:t>—</w:t>
            </w:r>
          </w:p>
        </w:tc>
        <w:tc>
          <w:tcPr>
            <w:tcW w:type="dxa" w:w="960"/>
          </w:tcPr>
          <w:p>
            <w:r>
              <w:rPr>
                <w:sz w:val="18"/>
              </w:rPr>
              <w:t>—</w:t>
            </w:r>
          </w:p>
        </w:tc>
        <w:tc>
          <w:tcPr>
            <w:tcW w:type="dxa" w:w="960"/>
          </w:tcPr>
          <w:p>
            <w:r>
              <w:rPr>
                <w:sz w:val="18"/>
              </w:rPr>
              <w:t>2×2,5kg = 5kg</w:t>
            </w:r>
          </w:p>
        </w:tc>
        <w:tc>
          <w:tcPr>
            <w:tcW w:type="dxa" w:w="960"/>
          </w:tcPr>
          <w:p>
            <w:r>
              <w:rPr>
                <w:sz w:val="18"/>
              </w:rPr>
              <w:t>Canister</w:t>
            </w:r>
          </w:p>
        </w:tc>
        <w:tc>
          <w:tcPr>
            <w:tcW w:type="dxa" w:w="960"/>
          </w:tcPr>
          <w:p>
            <w:r>
              <w:rPr>
                <w:sz w:val="18"/>
              </w:rPr>
              <w:t>Rack lab</w:t>
            </w:r>
          </w:p>
        </w:tc>
      </w:tr>
      <w:tr>
        <w:tc>
          <w:tcPr>
            <w:tcW w:type="dxa" w:w="960"/>
          </w:tcPr>
          <w:p>
            <w:r>
              <w:rPr>
                <w:sz w:val="18"/>
              </w:rPr>
              <w:t>6</w:t>
            </w:r>
          </w:p>
        </w:tc>
        <w:tc>
          <w:tcPr>
            <w:tcW w:type="dxa" w:w="960"/>
          </w:tcPr>
          <w:p>
            <w:r>
              <w:rPr>
                <w:sz w:val="18"/>
              </w:rPr>
              <w:t>Calciumoxide</w:t>
            </w:r>
          </w:p>
        </w:tc>
        <w:tc>
          <w:tcPr>
            <w:tcW w:type="dxa" w:w="960"/>
          </w:tcPr>
          <w:p>
            <w:r>
              <w:rPr>
                <w:sz w:val="18"/>
              </w:rPr>
              <w:t>1305-78-8</w:t>
            </w:r>
          </w:p>
        </w:tc>
        <w:tc>
          <w:tcPr>
            <w:tcW w:type="dxa" w:w="960"/>
          </w:tcPr>
          <w:p>
            <w:r>
              <w:rPr>
                <w:sz w:val="18"/>
              </w:rPr>
              <w:t>N/A</w:t>
            </w:r>
          </w:p>
        </w:tc>
        <w:tc>
          <w:tcPr>
            <w:tcW w:type="dxa" w:w="960"/>
          </w:tcPr>
          <w:p>
            <w:r>
              <w:rPr>
                <w:sz w:val="18"/>
              </w:rPr>
              <w:t>—</w:t>
            </w:r>
          </w:p>
        </w:tc>
        <w:tc>
          <w:tcPr>
            <w:tcW w:type="dxa" w:w="960"/>
          </w:tcPr>
          <w:p>
            <w:r>
              <w:rPr>
                <w:sz w:val="18"/>
              </w:rPr>
              <w:t>—</w:t>
            </w:r>
          </w:p>
        </w:tc>
        <w:tc>
          <w:tcPr>
            <w:tcW w:type="dxa" w:w="960"/>
          </w:tcPr>
          <w:p>
            <w:r>
              <w:rPr>
                <w:sz w:val="18"/>
              </w:rPr>
              <w:t>2×5kg = 10kg</w:t>
            </w:r>
          </w:p>
        </w:tc>
        <w:tc>
          <w:tcPr>
            <w:tcW w:type="dxa" w:w="960"/>
          </w:tcPr>
          <w:p>
            <w:r>
              <w:rPr>
                <w:sz w:val="18"/>
              </w:rPr>
              <w:t>Canister</w:t>
            </w:r>
          </w:p>
        </w:tc>
        <w:tc>
          <w:tcPr>
            <w:tcW w:type="dxa" w:w="960"/>
          </w:tcPr>
          <w:p>
            <w:r>
              <w:rPr>
                <w:sz w:val="18"/>
              </w:rPr>
              <w:t>Rack lab</w:t>
            </w:r>
          </w:p>
        </w:tc>
      </w:tr>
    </w:tbl>
    <w:p>
      <w:pPr>
        <w:pStyle w:val="Heading2"/>
      </w:pPr>
      <w:r>
        <w:t>2.2 SARU-ash (invoermateriaal)</w:t>
      </w:r>
    </w:p>
    <w:p>
      <w:r>
        <w:t>SARU-ash (Soot Ash Removal Unit reststroom) is het invoermateriaal voor het vanadiumextractieproces. Het betreft een mengsel uit ruwe-olieraffinage met de volgende samenstelling:</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Component</w:t>
            </w:r>
          </w:p>
        </w:tc>
        <w:tc>
          <w:tcPr>
            <w:tcW w:type="dxa" w:w="2880"/>
          </w:tcPr>
          <w:p>
            <w:r>
              <w:rPr>
                <w:b/>
                <w:sz w:val="18"/>
              </w:rPr>
              <w:t>Beschrijving</w:t>
            </w:r>
          </w:p>
        </w:tc>
        <w:tc>
          <w:tcPr>
            <w:tcW w:type="dxa" w:w="2880"/>
          </w:tcPr>
          <w:p>
            <w:r>
              <w:rPr>
                <w:b/>
                <w:sz w:val="18"/>
              </w:rPr>
              <w:t>Relevantie</w:t>
            </w:r>
          </w:p>
        </w:tc>
      </w:tr>
      <w:tr>
        <w:tc>
          <w:tcPr>
            <w:tcW w:type="dxa" w:w="2880"/>
          </w:tcPr>
          <w:p>
            <w:r>
              <w:rPr>
                <w:sz w:val="18"/>
              </w:rPr>
              <w:t>Natriummetavanadaat (NaVO₃)</w:t>
            </w:r>
          </w:p>
        </w:tc>
        <w:tc>
          <w:tcPr>
            <w:tcW w:type="dxa" w:w="2880"/>
          </w:tcPr>
          <w:p>
            <w:r>
              <w:rPr>
                <w:sz w:val="18"/>
              </w:rPr>
              <w:t>Hoofdbestanddeel, vanadiumbron</w:t>
            </w:r>
          </w:p>
        </w:tc>
        <w:tc>
          <w:tcPr>
            <w:tcW w:type="dxa" w:w="2880"/>
          </w:tcPr>
          <w:p>
            <w:r>
              <w:rPr>
                <w:sz w:val="18"/>
              </w:rPr>
              <w:t>ADR-klasse 9 (UN 3082)</w:t>
            </w:r>
          </w:p>
        </w:tc>
      </w:tr>
      <w:tr>
        <w:tc>
          <w:tcPr>
            <w:tcW w:type="dxa" w:w="2880"/>
          </w:tcPr>
          <w:p>
            <w:r>
              <w:rPr>
                <w:sz w:val="18"/>
              </w:rPr>
              <w:t>Trinatriumorthovanadaat</w:t>
            </w:r>
          </w:p>
        </w:tc>
        <w:tc>
          <w:tcPr>
            <w:tcW w:type="dxa" w:w="2880"/>
          </w:tcPr>
          <w:p>
            <w:r>
              <w:rPr>
                <w:sz w:val="18"/>
              </w:rPr>
              <w:t>Secundair vanadiumbestanddeel</w:t>
            </w:r>
          </w:p>
        </w:tc>
        <w:tc>
          <w:tcPr>
            <w:tcW w:type="dxa" w:w="2880"/>
          </w:tcPr>
          <w:p>
            <w:r>
              <w:rPr>
                <w:sz w:val="18"/>
              </w:rPr>
              <w:t>ADR-klasse 9</w:t>
            </w:r>
          </w:p>
        </w:tc>
      </w:tr>
      <w:tr>
        <w:tc>
          <w:tcPr>
            <w:tcW w:type="dxa" w:w="2880"/>
          </w:tcPr>
          <w:p>
            <w:r>
              <w:rPr>
                <w:sz w:val="18"/>
              </w:rPr>
              <w:t>Nikkeloxide (NiO)</w:t>
            </w:r>
          </w:p>
        </w:tc>
        <w:tc>
          <w:tcPr>
            <w:tcW w:type="dxa" w:w="2880"/>
          </w:tcPr>
          <w:p>
            <w:r>
              <w:rPr>
                <w:sz w:val="18"/>
              </w:rPr>
              <w:t>Zware metaalverontreiniging</w:t>
            </w:r>
          </w:p>
        </w:tc>
        <w:tc>
          <w:tcPr>
            <w:tcW w:type="dxa" w:w="2880"/>
          </w:tcPr>
          <w:p>
            <w:r>
              <w:rPr>
                <w:sz w:val="18"/>
              </w:rPr>
              <w:t>CMR-cat. 2 (verdenking kankerverwekkend)</w:t>
            </w:r>
          </w:p>
        </w:tc>
      </w:tr>
      <w:tr>
        <w:tc>
          <w:tcPr>
            <w:tcW w:type="dxa" w:w="2880"/>
          </w:tcPr>
          <w:p>
            <w:r>
              <w:rPr>
                <w:sz w:val="18"/>
              </w:rPr>
              <w:t>U-238-reeks radionucliden</w:t>
            </w:r>
          </w:p>
        </w:tc>
        <w:tc>
          <w:tcPr>
            <w:tcW w:type="dxa" w:w="2880"/>
          </w:tcPr>
          <w:p>
            <w:r>
              <w:rPr>
                <w:sz w:val="18"/>
              </w:rPr>
              <w:t>Van nature voorkomend (NORM)</w:t>
            </w:r>
          </w:p>
        </w:tc>
        <w:tc>
          <w:tcPr>
            <w:tcW w:type="dxa" w:w="2880"/>
          </w:tcPr>
          <w:p>
            <w:r>
              <w:rPr>
                <w:sz w:val="18"/>
              </w:rPr>
              <w:t>Besluit stralingsbescherming</w:t>
            </w:r>
          </w:p>
        </w:tc>
      </w:tr>
      <w:tr>
        <w:tc>
          <w:tcPr>
            <w:tcW w:type="dxa" w:w="2880"/>
          </w:tcPr>
          <w:p>
            <w:r>
              <w:rPr>
                <w:sz w:val="18"/>
              </w:rPr>
              <w:t>Pb-210</w:t>
            </w:r>
          </w:p>
        </w:tc>
        <w:tc>
          <w:tcPr>
            <w:tcW w:type="dxa" w:w="2880"/>
          </w:tcPr>
          <w:p>
            <w:r>
              <w:rPr>
                <w:sz w:val="18"/>
              </w:rPr>
              <w:t>Hoogste specifieke activiteit (2,42 Bq/g)</w:t>
            </w:r>
          </w:p>
        </w:tc>
        <w:tc>
          <w:tcPr>
            <w:tcW w:type="dxa" w:w="2880"/>
          </w:tcPr>
          <w:p>
            <w:r>
              <w:rPr>
                <w:sz w:val="18"/>
              </w:rPr>
              <w:t>Vrijstellingswaarde: 10 Bq/g</w:t>
            </w:r>
          </w:p>
        </w:tc>
      </w:tr>
    </w:tbl>
    <w:p/>
    <w:p>
      <w:r>
        <w:rPr>
          <w:b/>
        </w:rPr>
        <w:t>Demo-fase parameters:</w:t>
      </w:r>
    </w:p>
    <w:p>
      <w:pPr>
        <w:pStyle w:val="ListBullet"/>
      </w:pPr>
      <w:r>
        <w:t>Maximale totale ash-verwerking: ≤60 kg</w:t>
      </w:r>
    </w:p>
    <w:p>
      <w:pPr>
        <w:pStyle w:val="ListBullet"/>
      </w:pPr>
      <w:r>
        <w:t>Batchgrootte: 3,5 kg per batch</w:t>
      </w:r>
    </w:p>
    <w:p>
      <w:pPr>
        <w:pStyle w:val="ListBullet"/>
      </w:pPr>
      <w:r>
        <w:t>Campagneduur: ≤3 maanden</w:t>
      </w:r>
    </w:p>
    <w:p>
      <w:pPr>
        <w:pStyle w:val="ListBullet"/>
      </w:pPr>
      <w:r>
        <w:t>Locatie: PlantOne Rotterdam (havengebied)</w:t>
      </w:r>
    </w:p>
    <w:p>
      <w:pPr>
        <w:pStyle w:val="Heading2"/>
      </w:pPr>
      <w:r>
        <w:t>2.3 Eindproduct: vanadium-elektrolyt</w:t>
      </w:r>
    </w:p>
    <w:p>
      <w:r>
        <w:t>Het eindproduct is een V(III/V⁴⁺) gemengde vanadium-elektrolyt, geschikt voor gebruik in vanadium-redoxflowbatterijen (VRFB). De elektrolyt bevat vanadiumsulfaat in zwavelzuur oplossing (typisch 1,6-2,0 M V in 2-3 M H₂SO₄). Classificatie: waarschijnlijk ADR-klasse 9 (UN 3082, milieugevaarlijk) in combinatie met klasse 8 (bijtend). Exacte classificatie volgt uit SDS van het eindproduct.</w:t>
      </w:r>
    </w:p>
    <w:p>
      <w:pPr>
        <w:pStyle w:val="Heading2"/>
      </w:pPr>
      <w:r>
        <w:t>2.4 Reststromen</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Reststroom</w:t>
            </w:r>
          </w:p>
        </w:tc>
        <w:tc>
          <w:tcPr>
            <w:tcW w:type="dxa" w:w="2160"/>
          </w:tcPr>
          <w:p>
            <w:r>
              <w:rPr>
                <w:b/>
                <w:sz w:val="18"/>
              </w:rPr>
              <w:t>Beschrijving</w:t>
            </w:r>
          </w:p>
        </w:tc>
        <w:tc>
          <w:tcPr>
            <w:tcW w:type="dxa" w:w="2160"/>
          </w:tcPr>
          <w:p>
            <w:r>
              <w:rPr>
                <w:b/>
                <w:sz w:val="18"/>
              </w:rPr>
              <w:t>Hoeveelheid (demo)</w:t>
            </w:r>
          </w:p>
        </w:tc>
        <w:tc>
          <w:tcPr>
            <w:tcW w:type="dxa" w:w="2160"/>
          </w:tcPr>
          <w:p>
            <w:r>
              <w:rPr>
                <w:b/>
                <w:sz w:val="18"/>
              </w:rPr>
              <w:t>Classificatie</w:t>
            </w:r>
          </w:p>
        </w:tc>
      </w:tr>
      <w:tr>
        <w:tc>
          <w:tcPr>
            <w:tcW w:type="dxa" w:w="2160"/>
          </w:tcPr>
          <w:p>
            <w:r>
              <w:rPr>
                <w:sz w:val="18"/>
              </w:rPr>
              <w:t>Filter cake</w:t>
            </w:r>
          </w:p>
        </w:tc>
        <w:tc>
          <w:tcPr>
            <w:tcW w:type="dxa" w:w="2160"/>
          </w:tcPr>
          <w:p>
            <w:r>
              <w:rPr>
                <w:sz w:val="18"/>
              </w:rPr>
              <w:t>Residu na filtratie (nikkel, onopgelost)</w:t>
            </w:r>
          </w:p>
        </w:tc>
        <w:tc>
          <w:tcPr>
            <w:tcW w:type="dxa" w:w="2160"/>
          </w:tcPr>
          <w:p>
            <w:r>
              <w:rPr>
                <w:sz w:val="18"/>
              </w:rPr>
              <w:t>~1-2 kg/batch</w:t>
            </w:r>
          </w:p>
        </w:tc>
        <w:tc>
          <w:tcPr>
            <w:tcW w:type="dxa" w:w="2160"/>
          </w:tcPr>
          <w:p>
            <w:r>
              <w:rPr>
                <w:sz w:val="18"/>
              </w:rPr>
              <w:t>Afvalstof — te classificeren</w:t>
            </w:r>
          </w:p>
        </w:tc>
      </w:tr>
      <w:tr>
        <w:tc>
          <w:tcPr>
            <w:tcW w:type="dxa" w:w="2160"/>
          </w:tcPr>
          <w:p>
            <w:r>
              <w:rPr>
                <w:sz w:val="18"/>
              </w:rPr>
              <w:t>Filtraten</w:t>
            </w:r>
          </w:p>
        </w:tc>
        <w:tc>
          <w:tcPr>
            <w:tcW w:type="dxa" w:w="2160"/>
          </w:tcPr>
          <w:p>
            <w:r>
              <w:rPr>
                <w:sz w:val="18"/>
              </w:rPr>
              <w:t>Vloeibare fracties na filtratiestappen</w:t>
            </w:r>
          </w:p>
        </w:tc>
        <w:tc>
          <w:tcPr>
            <w:tcW w:type="dxa" w:w="2160"/>
          </w:tcPr>
          <w:p>
            <w:r>
              <w:rPr>
                <w:sz w:val="18"/>
              </w:rPr>
              <w:t>~5-10 L/batch</w:t>
            </w:r>
          </w:p>
        </w:tc>
        <w:tc>
          <w:tcPr>
            <w:tcW w:type="dxa" w:w="2160"/>
          </w:tcPr>
          <w:p>
            <w:r>
              <w:rPr>
                <w:sz w:val="18"/>
              </w:rPr>
              <w:t>ADR 8/9 — te classificeren</w:t>
            </w:r>
          </w:p>
        </w:tc>
      </w:tr>
      <w:tr>
        <w:tc>
          <w:tcPr>
            <w:tcW w:type="dxa" w:w="2160"/>
          </w:tcPr>
          <w:p>
            <w:r>
              <w:rPr>
                <w:sz w:val="18"/>
              </w:rPr>
              <w:t>Spoelwater</w:t>
            </w:r>
          </w:p>
        </w:tc>
        <w:tc>
          <w:tcPr>
            <w:tcW w:type="dxa" w:w="2160"/>
          </w:tcPr>
          <w:p>
            <w:r>
              <w:rPr>
                <w:sz w:val="18"/>
              </w:rPr>
              <w:t>Demi-water mengsels</w:t>
            </w:r>
          </w:p>
        </w:tc>
        <w:tc>
          <w:tcPr>
            <w:tcW w:type="dxa" w:w="2160"/>
          </w:tcPr>
          <w:p>
            <w:r>
              <w:rPr>
                <w:sz w:val="18"/>
              </w:rPr>
              <w:t>~2-5 L/batch</w:t>
            </w:r>
          </w:p>
        </w:tc>
        <w:tc>
          <w:tcPr>
            <w:tcW w:type="dxa" w:w="2160"/>
          </w:tcPr>
          <w:p>
            <w:r>
              <w:rPr>
                <w:sz w:val="18"/>
              </w:rPr>
              <w:t>Afvalstof — te classificeren</w:t>
            </w:r>
          </w:p>
        </w:tc>
      </w:tr>
    </w:tbl>
    <w:p>
      <w:pPr>
        <w:pStyle w:val="Heading2"/>
      </w:pPr>
      <w:r>
        <w:t>2.5 CLP-indeling en GHS-pictogrammen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Stof</w:t>
            </w:r>
          </w:p>
        </w:tc>
        <w:tc>
          <w:tcPr>
            <w:tcW w:type="dxa" w:w="2880"/>
          </w:tcPr>
          <w:p>
            <w:r>
              <w:rPr>
                <w:b/>
                <w:sz w:val="18"/>
              </w:rPr>
              <w:t>CLP H-zinnen (relevant)</w:t>
            </w:r>
          </w:p>
        </w:tc>
        <w:tc>
          <w:tcPr>
            <w:tcW w:type="dxa" w:w="2880"/>
          </w:tcPr>
          <w:p>
            <w:r>
              <w:rPr>
                <w:b/>
                <w:sz w:val="18"/>
              </w:rPr>
              <w:t>GHS-pictogrammen</w:t>
            </w:r>
          </w:p>
        </w:tc>
      </w:tr>
      <w:tr>
        <w:tc>
          <w:tcPr>
            <w:tcW w:type="dxa" w:w="2880"/>
          </w:tcPr>
          <w:p>
            <w:r>
              <w:rPr>
                <w:sz w:val="18"/>
              </w:rPr>
              <w:t>NaOH 50%</w:t>
            </w:r>
          </w:p>
        </w:tc>
        <w:tc>
          <w:tcPr>
            <w:tcW w:type="dxa" w:w="2880"/>
          </w:tcPr>
          <w:p>
            <w:r>
              <w:rPr>
                <w:sz w:val="18"/>
              </w:rPr>
              <w:t>H314 (veroorkaakt ernstige huidletsel en oogletsel)</w:t>
            </w:r>
          </w:p>
        </w:tc>
        <w:tc>
          <w:tcPr>
            <w:tcW w:type="dxa" w:w="2880"/>
          </w:tcPr>
          <w:p>
            <w:r>
              <w:rPr>
                <w:sz w:val="18"/>
              </w:rPr>
              <w:t>GHS05 (bijtend), GHS07</w:t>
            </w:r>
          </w:p>
        </w:tc>
      </w:tr>
      <w:tr>
        <w:tc>
          <w:tcPr>
            <w:tcW w:type="dxa" w:w="2880"/>
          </w:tcPr>
          <w:p>
            <w:r>
              <w:rPr>
                <w:sz w:val="18"/>
              </w:rPr>
              <w:t>H₂SO₄ 75%</w:t>
            </w:r>
          </w:p>
        </w:tc>
        <w:tc>
          <w:tcPr>
            <w:tcW w:type="dxa" w:w="2880"/>
          </w:tcPr>
          <w:p>
            <w:r>
              <w:rPr>
                <w:sz w:val="18"/>
              </w:rPr>
              <w:t>H314, H290 (kan bijtend zijn voor metalen)</w:t>
            </w:r>
          </w:p>
        </w:tc>
        <w:tc>
          <w:tcPr>
            <w:tcW w:type="dxa" w:w="2880"/>
          </w:tcPr>
          <w:p>
            <w:r>
              <w:rPr>
                <w:sz w:val="18"/>
              </w:rPr>
              <w:t>GHS05</w:t>
            </w:r>
          </w:p>
        </w:tc>
      </w:tr>
      <w:tr>
        <w:tc>
          <w:tcPr>
            <w:tcW w:type="dxa" w:w="2880"/>
          </w:tcPr>
          <w:p>
            <w:r>
              <w:rPr>
                <w:sz w:val="18"/>
              </w:rPr>
              <w:t>H₂SO₄ 50%</w:t>
            </w:r>
          </w:p>
        </w:tc>
        <w:tc>
          <w:tcPr>
            <w:tcW w:type="dxa" w:w="2880"/>
          </w:tcPr>
          <w:p>
            <w:r>
              <w:rPr>
                <w:sz w:val="18"/>
              </w:rPr>
              <w:t>H314, H290</w:t>
            </w:r>
          </w:p>
        </w:tc>
        <w:tc>
          <w:tcPr>
            <w:tcW w:type="dxa" w:w="2880"/>
          </w:tcPr>
          <w:p>
            <w:r>
              <w:rPr>
                <w:sz w:val="18"/>
              </w:rPr>
              <w:t>GHS05</w:t>
            </w:r>
          </w:p>
        </w:tc>
      </w:tr>
      <w:tr>
        <w:tc>
          <w:tcPr>
            <w:tcW w:type="dxa" w:w="2880"/>
          </w:tcPr>
          <w:p>
            <w:r>
              <w:rPr>
                <w:sz w:val="18"/>
              </w:rPr>
              <w:t>H₂SO₄ 25%</w:t>
            </w:r>
          </w:p>
        </w:tc>
        <w:tc>
          <w:tcPr>
            <w:tcW w:type="dxa" w:w="2880"/>
          </w:tcPr>
          <w:p>
            <w:r>
              <w:rPr>
                <w:sz w:val="18"/>
              </w:rPr>
              <w:t>H290 (minder bijtend, meer irriterend)</w:t>
            </w:r>
          </w:p>
        </w:tc>
        <w:tc>
          <w:tcPr>
            <w:tcW w:type="dxa" w:w="2880"/>
          </w:tcPr>
          <w:p>
            <w:r>
              <w:rPr>
                <w:sz w:val="18"/>
              </w:rPr>
              <w:t>GHS05 (mogelijk GHS07)</w:t>
            </w:r>
          </w:p>
        </w:tc>
      </w:tr>
      <w:tr>
        <w:tc>
          <w:tcPr>
            <w:tcW w:type="dxa" w:w="2880"/>
          </w:tcPr>
          <w:p>
            <w:r>
              <w:rPr>
                <w:sz w:val="18"/>
              </w:rPr>
              <w:t>Aluminiumsulfaat</w:t>
            </w:r>
          </w:p>
        </w:tc>
        <w:tc>
          <w:tcPr>
            <w:tcW w:type="dxa" w:w="2880"/>
          </w:tcPr>
          <w:p>
            <w:r>
              <w:rPr>
                <w:sz w:val="18"/>
              </w:rPr>
              <w:t>H302, H315, H319 (licht irriterend)</w:t>
            </w:r>
          </w:p>
        </w:tc>
        <w:tc>
          <w:tcPr>
            <w:tcW w:type="dxa" w:w="2880"/>
          </w:tcPr>
          <w:p>
            <w:r>
              <w:rPr>
                <w:sz w:val="18"/>
              </w:rPr>
              <w:t>GHS07</w:t>
            </w:r>
          </w:p>
        </w:tc>
      </w:tr>
      <w:tr>
        <w:tc>
          <w:tcPr>
            <w:tcW w:type="dxa" w:w="2880"/>
          </w:tcPr>
          <w:p>
            <w:r>
              <w:rPr>
                <w:sz w:val="18"/>
              </w:rPr>
              <w:t>Calciumoxide</w:t>
            </w:r>
          </w:p>
        </w:tc>
        <w:tc>
          <w:tcPr>
            <w:tcW w:type="dxa" w:w="2880"/>
          </w:tcPr>
          <w:p>
            <w:r>
              <w:rPr>
                <w:sz w:val="18"/>
              </w:rPr>
              <w:t>H315, H318, H335 (irriterend, oogletsel)</w:t>
            </w:r>
          </w:p>
        </w:tc>
        <w:tc>
          <w:tcPr>
            <w:tcW w:type="dxa" w:w="2880"/>
          </w:tcPr>
          <w:p>
            <w:r>
              <w:rPr>
                <w:sz w:val="18"/>
              </w:rPr>
              <w:t>GHS05, GHS07</w:t>
            </w:r>
          </w:p>
        </w:tc>
      </w:tr>
      <w:tr>
        <w:tc>
          <w:tcPr>
            <w:tcW w:type="dxa" w:w="2880"/>
          </w:tcPr>
          <w:p>
            <w:r>
              <w:rPr>
                <w:sz w:val="18"/>
              </w:rPr>
              <w:t>SARU-ash (mengsel)</w:t>
            </w:r>
          </w:p>
        </w:tc>
        <w:tc>
          <w:tcPr>
            <w:tcW w:type="dxa" w:w="2880"/>
          </w:tcPr>
          <w:p>
            <w:r>
              <w:rPr>
                <w:sz w:val="18"/>
              </w:rPr>
              <w:t>H351 (CMR cat. 2 — NiO), H410 (milieugevaarlijk)</w:t>
            </w:r>
          </w:p>
        </w:tc>
        <w:tc>
          <w:tcPr>
            <w:tcW w:type="dxa" w:w="2880"/>
          </w:tcPr>
          <w:p>
            <w:r>
              <w:rPr>
                <w:sz w:val="18"/>
              </w:rPr>
              <w:t>GHS08, GHS09</w:t>
            </w:r>
          </w:p>
        </w:tc>
      </w:tr>
      <w:tr>
        <w:tc>
          <w:tcPr>
            <w:tcW w:type="dxa" w:w="2880"/>
          </w:tcPr>
          <w:p>
            <w:r>
              <w:rPr>
                <w:sz w:val="18"/>
              </w:rPr>
              <w:t>Vanadium-elektrolyt</w:t>
            </w:r>
          </w:p>
        </w:tc>
        <w:tc>
          <w:tcPr>
            <w:tcW w:type="dxa" w:w="2880"/>
          </w:tcPr>
          <w:p>
            <w:r>
              <w:rPr>
                <w:sz w:val="18"/>
              </w:rPr>
              <w:t>H302, H315, H319, H410</w:t>
            </w:r>
          </w:p>
        </w:tc>
        <w:tc>
          <w:tcPr>
            <w:tcW w:type="dxa" w:w="2880"/>
          </w:tcPr>
          <w:p>
            <w:r>
              <w:rPr>
                <w:sz w:val="18"/>
              </w:rPr>
              <w:t>GHS07, GHS09 (t.b.v.)</w:t>
            </w:r>
          </w:p>
        </w:tc>
      </w:tr>
    </w:tbl>
    <w:p>
      <w:r>
        <w:br w:type="page"/>
      </w:r>
    </w:p>
    <w:p>
      <w:pPr>
        <w:pStyle w:val="Heading1"/>
      </w:pPr>
      <w:r>
        <w:t>3. Risicoklasse Bepaling</w:t>
      </w:r>
    </w:p>
    <w:p>
      <w:pPr>
        <w:pStyle w:val="Heading2"/>
      </w:pPr>
      <w:r>
        <w:t>3.1 PGS 15:2025 Classificatiemethode</w:t>
      </w:r>
    </w:p>
    <w:p>
      <w:r>
        <w:t>PGS 15:2025 hanteert een viertraps veiligheidsniveausysteem: basis, A, B en C. Het vereiste niveau wordt bepaald door: (1) de eigenschappen van de opgeslagen stoffen (ADR-klasse, verpakkingsgroep, vlampunt, bijkomende gevaren) en (2) de totale opgeslagen hoeveelheid per stofklasse. De classificatie volgt de tabellen 6 en 7 uit PGS 15:2025 (§4).</w:t>
      </w:r>
    </w:p>
    <w:p>
      <w:pPr>
        <w:pStyle w:val="Heading2"/>
      </w:pPr>
      <w:r>
        <w:t>3.2 Bepaling per stofcategorie</w:t>
      </w:r>
    </w:p>
    <w:p>
      <w:pPr>
        <w:pStyle w:val="Heading3"/>
      </w:pPr>
      <w:r>
        <w:t>3.2.1 ADR-klasse 8 — Bijtende stoffen (NaOH, H₂SO₄)</w:t>
      </w:r>
    </w:p>
    <w:p>
      <w:r>
        <w:t>NaOH 50% en H₂SO₄ (25/50/75%) zijn ingedeeld als ADR-klasse 8, verpakkingsgroep II. Deze stoffen zijn onbrandbaar en niet brandonderhoudend. Volgens PGS 15:2025, Tabel 6, geldt voor ADR-klasse 8, VG II/III, onbrandbaar:</w:t>
      </w:r>
    </w:p>
    <w:p>
      <w:pPr>
        <w:pStyle w:val="ListBullet"/>
      </w:pPr>
      <w:r>
        <w:t>Geen aanvullend veiligheidsniveau vereist</w:t>
      </w:r>
    </w:p>
    <w:p>
      <w:pPr>
        <w:pStyle w:val="ListBullet"/>
      </w:pPr>
      <w:r>
        <w:t>Alleen basisveiligheidsniveau van toepassing</w:t>
      </w:r>
    </w:p>
    <w:p>
      <w:pPr>
        <w:pStyle w:val="ListBullet"/>
      </w:pPr>
      <w:r>
        <w:t>Onafhankelijk van de opgeslagen hoeveelheid (zolang dedicated opslag)</w:t>
      </w:r>
    </w:p>
    <w:p>
      <w:pPr>
        <w:pStyle w:val="Heading3"/>
      </w:pPr>
      <w:r>
        <w:t>3.2.2 ADR-klasse 9 — Milieugevaarlijke stoffen (vanadiumoplossingen)</w:t>
      </w:r>
    </w:p>
    <w:p>
      <w:r>
        <w:t>Vanadiumoplossingen (UN 3082, classificatiecode M6/M7) vallen onder ADR-klasse 9. Onbrandbare/niet brandonderhoudende ADR-9 stoffen vereisen eveneens alleen basisveiligheidsniveau.</w:t>
      </w:r>
    </w:p>
    <w:p>
      <w:pPr>
        <w:pStyle w:val="Heading3"/>
      </w:pPr>
      <w:r>
        <w:t>3.2.3 CMR-houdende stoffen (SARU-ash met nikkeloxide)</w:t>
      </w:r>
    </w:p>
    <w:p>
      <w:r>
        <w:t>SARU-ash bevat nikkeloxide (NiO), verdacht van kankerverwekkendheid (CMR-categorie 2). PGS 15:2025 kent specifieke eisen voor CMR-stoffen. De totale hoeveelheid CMR-houdend materiaal in de demo-fase bedraagt maximaal 60 kg, wat onder de ondergrens van 25 kg per individuele CMR-stof uitkomt wanneer rekening gehouden wordt met het percentage NiO in het mengsel (typisch &lt;10%). Bij mengselbenadering kan de CMR-ondergrens wel van toepassing zijn — dit vereist nadere beoordeling op basis van de SDS van de ash.</w:t>
      </w:r>
    </w:p>
    <w:p>
      <w:pPr>
        <w:pStyle w:val="Heading2"/>
      </w:pPr>
      <w:r>
        <w:t>3.3 Invloed van hoeveelheden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Parameter</w:t>
            </w:r>
          </w:p>
        </w:tc>
        <w:tc>
          <w:tcPr>
            <w:tcW w:type="dxa" w:w="2880"/>
          </w:tcPr>
          <w:p>
            <w:r>
              <w:rPr>
                <w:b/>
                <w:sz w:val="18"/>
              </w:rPr>
              <w:t>Demo-fase</w:t>
            </w:r>
          </w:p>
        </w:tc>
        <w:tc>
          <w:tcPr>
            <w:tcW w:type="dxa" w:w="2880"/>
          </w:tcPr>
          <w:p>
            <w:r>
              <w:rPr>
                <w:b/>
                <w:sz w:val="18"/>
              </w:rPr>
              <w:t>Commercieel (indicatief)</w:t>
            </w:r>
          </w:p>
        </w:tc>
      </w:tr>
      <w:tr>
        <w:tc>
          <w:tcPr>
            <w:tcW w:type="dxa" w:w="2880"/>
          </w:tcPr>
          <w:p>
            <w:r>
              <w:rPr>
                <w:sz w:val="18"/>
              </w:rPr>
              <w:t>Totale H₂SO₄</w:t>
            </w:r>
          </w:p>
        </w:tc>
        <w:tc>
          <w:tcPr>
            <w:tcW w:type="dxa" w:w="2880"/>
          </w:tcPr>
          <w:p>
            <w:r>
              <w:rPr>
                <w:sz w:val="18"/>
              </w:rPr>
              <w:t>~200 L (~330 kg)</w:t>
            </w:r>
          </w:p>
        </w:tc>
        <w:tc>
          <w:tcPr>
            <w:tcW w:type="dxa" w:w="2880"/>
          </w:tcPr>
          <w:p>
            <w:r>
              <w:rPr>
                <w:sz w:val="18"/>
              </w:rPr>
              <w:t>Potentieel &gt;2.500 kg</w:t>
            </w:r>
          </w:p>
        </w:tc>
      </w:tr>
      <w:tr>
        <w:tc>
          <w:tcPr>
            <w:tcW w:type="dxa" w:w="2880"/>
          </w:tcPr>
          <w:p>
            <w:r>
              <w:rPr>
                <w:sz w:val="18"/>
              </w:rPr>
              <w:t>Totale NaOH</w:t>
            </w:r>
          </w:p>
        </w:tc>
        <w:tc>
          <w:tcPr>
            <w:tcW w:type="dxa" w:w="2880"/>
          </w:tcPr>
          <w:p>
            <w:r>
              <w:rPr>
                <w:sz w:val="18"/>
              </w:rPr>
              <w:t>~100 L (~140 kg)</w:t>
            </w:r>
          </w:p>
        </w:tc>
        <w:tc>
          <w:tcPr>
            <w:tcW w:type="dxa" w:w="2880"/>
          </w:tcPr>
          <w:p>
            <w:r>
              <w:rPr>
                <w:sz w:val="18"/>
              </w:rPr>
              <w:t>Potentieel &gt;2.500 kg</w:t>
            </w:r>
          </w:p>
        </w:tc>
      </w:tr>
      <w:tr>
        <w:tc>
          <w:tcPr>
            <w:tcW w:type="dxa" w:w="2880"/>
          </w:tcPr>
          <w:p>
            <w:r>
              <w:rPr>
                <w:sz w:val="18"/>
              </w:rPr>
              <w:t>SARU-ash</w:t>
            </w:r>
          </w:p>
        </w:tc>
        <w:tc>
          <w:tcPr>
            <w:tcW w:type="dxa" w:w="2880"/>
          </w:tcPr>
          <w:p>
            <w:r>
              <w:rPr>
                <w:sz w:val="18"/>
              </w:rPr>
              <w:t>≤60 kg</w:t>
            </w:r>
          </w:p>
        </w:tc>
        <w:tc>
          <w:tcPr>
            <w:tcW w:type="dxa" w:w="2880"/>
          </w:tcPr>
          <w:p>
            <w:r>
              <w:rPr>
                <w:sz w:val="18"/>
              </w:rPr>
              <w:t>Tonnen</w:t>
            </w:r>
          </w:p>
        </w:tc>
      </w:tr>
      <w:tr>
        <w:tc>
          <w:tcPr>
            <w:tcW w:type="dxa" w:w="2880"/>
          </w:tcPr>
          <w:p>
            <w:r>
              <w:rPr>
                <w:sz w:val="18"/>
              </w:rPr>
              <w:t>Grenswaarde veiligheidsniveau A/C</w:t>
            </w:r>
          </w:p>
        </w:tc>
        <w:tc>
          <w:tcPr>
            <w:tcW w:type="dxa" w:w="2880"/>
          </w:tcPr>
          <w:p>
            <w:r>
              <w:rPr>
                <w:sz w:val="18"/>
              </w:rPr>
              <w:t>2.500 kg per ADR-klasse</w:t>
            </w:r>
          </w:p>
        </w:tc>
        <w:tc>
          <w:tcPr>
            <w:tcW w:type="dxa" w:w="2880"/>
          </w:tcPr>
          <w:p>
            <w:r>
              <w:rPr>
                <w:sz w:val="18"/>
              </w:rPr>
              <w:t>Kan overschreden worden</w:t>
            </w:r>
          </w:p>
        </w:tc>
      </w:tr>
      <w:tr>
        <w:tc>
          <w:tcPr>
            <w:tcW w:type="dxa" w:w="2880"/>
          </w:tcPr>
          <w:p>
            <w:r>
              <w:rPr>
                <w:sz w:val="18"/>
              </w:rPr>
              <w:t>Veiligheidsniveau demo</w:t>
            </w:r>
          </w:p>
        </w:tc>
        <w:tc>
          <w:tcPr>
            <w:tcW w:type="dxa" w:w="2880"/>
          </w:tcPr>
          <w:p>
            <w:r>
              <w:rPr>
                <w:sz w:val="18"/>
              </w:rPr>
              <w:t>Basis</w:t>
            </w:r>
          </w:p>
        </w:tc>
        <w:tc>
          <w:tcPr>
            <w:tcW w:type="dxa" w:w="2880"/>
          </w:tcPr>
          <w:p>
            <w:r>
              <w:rPr>
                <w:sz w:val="18"/>
              </w:rPr>
              <w:t>Mogelijk A of C</w:t>
            </w:r>
          </w:p>
        </w:tc>
      </w:tr>
    </w:tbl>
    <w:p>
      <w:pPr>
        <w:pStyle w:val="Heading2"/>
      </w:pPr>
      <w:r>
        <w:t>3.4 Conclusie risicoklasse</w:t>
      </w:r>
    </w:p>
    <w:p>
      <w:r>
        <w:rPr>
          <w:b/>
        </w:rPr>
        <w:t xml:space="preserve">Demo-fase: </w:t>
      </w:r>
      <w:r>
        <w:t>Alle opgeslagen stoffen vallen onder basisveiligheidsniveau. De totale hoeveelheid per ADR-klasse blijft ruim onder de 2.500 kg-grens. Dedicated opslag van onbrandbare bijtende stoffen (ADR-8 VG II/III) vereist geen Wbdbo en geen aanvullende brandmaatregelen.</w:t>
      </w:r>
    </w:p>
    <w:p>
      <w:r>
        <w:rPr>
          <w:b/>
        </w:rPr>
        <w:t xml:space="preserve">Commerciële fase: </w:t>
      </w:r>
      <w:r>
        <w:t>Bij opschaling naar commercieel productieniveau (&gt;2.500 kg per ADR-klasse) wordt het relevante veiligheidsniveau van toepassing. Dit vereist een herbeoordeling van het volledige PGS 15-dossier.</w:t>
      </w:r>
    </w:p>
    <w:p>
      <w:r>
        <w:br w:type="page"/>
      </w:r>
    </w:p>
    <w:p>
      <w:pPr>
        <w:pStyle w:val="Heading1"/>
      </w:pPr>
      <w:r>
        <w:t>4. Opslageisen</w:t>
      </w:r>
    </w:p>
    <w:p>
      <w:pPr>
        <w:pStyle w:val="Heading2"/>
      </w:pPr>
      <w:r>
        <w:t>4.1 Eisen per risicoklasse — Basisveiligheidsniveau</w:t>
      </w:r>
    </w:p>
    <w:p>
      <w:r>
        <w:t>Aangezien Phoenix Metals in de demo-fase uitsluitend basisveiligheidsniveau hoeft te realiseren, zijn hieronder de basismaatregelen samengevat. Bij opschaling gelden aanvullende eisen.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Maatregelgebied</w:t>
            </w:r>
          </w:p>
        </w:tc>
        <w:tc>
          <w:tcPr>
            <w:tcW w:type="dxa" w:w="2880"/>
          </w:tcPr>
          <w:p>
            <w:r>
              <w:rPr>
                <w:b/>
                <w:sz w:val="18"/>
              </w:rPr>
              <w:t>Vereiste (basis)</w:t>
            </w:r>
          </w:p>
        </w:tc>
        <w:tc>
          <w:tcPr>
            <w:tcW w:type="dxa" w:w="2880"/>
          </w:tcPr>
          <w:p>
            <w:r>
              <w:rPr>
                <w:b/>
                <w:sz w:val="18"/>
              </w:rPr>
              <w:t>PGS 15 ref.</w:t>
            </w:r>
          </w:p>
        </w:tc>
      </w:tr>
      <w:tr>
        <w:tc>
          <w:tcPr>
            <w:tcW w:type="dxa" w:w="2880"/>
          </w:tcPr>
          <w:p>
            <w:r>
              <w:rPr>
                <w:sz w:val="18"/>
              </w:rPr>
              <w:t>Brandwerendheid (Wbdbo)</w:t>
            </w:r>
          </w:p>
        </w:tc>
        <w:tc>
          <w:tcPr>
            <w:tcW w:type="dxa" w:w="2880"/>
          </w:tcPr>
          <w:p>
            <w:r>
              <w:rPr>
                <w:sz w:val="18"/>
              </w:rPr>
              <w:t>Geen eis bij dedicated onbrandbare opslag</w:t>
            </w:r>
          </w:p>
        </w:tc>
        <w:tc>
          <w:tcPr>
            <w:tcW w:type="dxa" w:w="2880"/>
          </w:tcPr>
          <w:p>
            <w:r>
              <w:rPr>
                <w:sz w:val="18"/>
              </w:rPr>
              <w:t>M21</w:t>
            </w:r>
          </w:p>
        </w:tc>
      </w:tr>
      <w:tr>
        <w:tc>
          <w:tcPr>
            <w:tcW w:type="dxa" w:w="2880"/>
          </w:tcPr>
          <w:p>
            <w:r>
              <w:rPr>
                <w:sz w:val="18"/>
              </w:rPr>
              <w:t>Opvangcapaciteit</w:t>
            </w:r>
          </w:p>
        </w:tc>
        <w:tc>
          <w:tcPr>
            <w:tcW w:type="dxa" w:w="2880"/>
          </w:tcPr>
          <w:p>
            <w:r>
              <w:rPr>
                <w:sz w:val="18"/>
              </w:rPr>
              <w:t>110% grootste verpakking óf 10% totaal (wat meer is)</w:t>
            </w:r>
          </w:p>
        </w:tc>
        <w:tc>
          <w:tcPr>
            <w:tcW w:type="dxa" w:w="2880"/>
          </w:tcPr>
          <w:p>
            <w:r>
              <w:rPr>
                <w:sz w:val="18"/>
              </w:rPr>
              <w:t>M30</w:t>
            </w:r>
          </w:p>
        </w:tc>
      </w:tr>
      <w:tr>
        <w:tc>
          <w:tcPr>
            <w:tcW w:type="dxa" w:w="2880"/>
          </w:tcPr>
          <w:p>
            <w:r>
              <w:rPr>
                <w:sz w:val="18"/>
              </w:rPr>
              <w:t>Maximum oppervlak</w:t>
            </w:r>
          </w:p>
        </w:tc>
        <w:tc>
          <w:tcPr>
            <w:tcW w:type="dxa" w:w="2880"/>
          </w:tcPr>
          <w:p>
            <w:r>
              <w:rPr>
                <w:sz w:val="18"/>
              </w:rPr>
              <w:t>1.000 m² (&lt;20.000 kg)</w:t>
            </w:r>
          </w:p>
        </w:tc>
        <w:tc>
          <w:tcPr>
            <w:tcW w:type="dxa" w:w="2880"/>
          </w:tcPr>
          <w:p>
            <w:r>
              <w:rPr>
                <w:sz w:val="18"/>
              </w:rPr>
              <w:t>M15</w:t>
            </w:r>
          </w:p>
        </w:tc>
      </w:tr>
      <w:tr>
        <w:tc>
          <w:tcPr>
            <w:tcW w:type="dxa" w:w="2880"/>
          </w:tcPr>
          <w:p>
            <w:r>
              <w:rPr>
                <w:sz w:val="18"/>
              </w:rPr>
              <w:t>Verdieping</w:t>
            </w:r>
          </w:p>
        </w:tc>
        <w:tc>
          <w:tcPr>
            <w:tcW w:type="dxa" w:w="2880"/>
          </w:tcPr>
          <w:p>
            <w:r>
              <w:rPr>
                <w:sz w:val="18"/>
              </w:rPr>
              <w:t>Geen beperking voor onbrandbare ADR-8/9</w:t>
            </w:r>
          </w:p>
        </w:tc>
        <w:tc>
          <w:tcPr>
            <w:tcW w:type="dxa" w:w="2880"/>
          </w:tcPr>
          <w:p>
            <w:r>
              <w:rPr>
                <w:sz w:val="18"/>
              </w:rPr>
              <w:t>M17</w:t>
            </w:r>
          </w:p>
        </w:tc>
      </w:tr>
      <w:tr>
        <w:tc>
          <w:tcPr>
            <w:tcW w:type="dxa" w:w="2880"/>
          </w:tcPr>
          <w:p>
            <w:r>
              <w:rPr>
                <w:sz w:val="18"/>
              </w:rPr>
              <w:t>Constructie</w:t>
            </w:r>
          </w:p>
        </w:tc>
        <w:tc>
          <w:tcPr>
            <w:tcW w:type="dxa" w:w="2880"/>
          </w:tcPr>
          <w:p>
            <w:r>
              <w:rPr>
                <w:sz w:val="18"/>
              </w:rPr>
              <w:t>Dragende constructie bestand tegen opgeslagen stoffen</w:t>
            </w:r>
          </w:p>
        </w:tc>
        <w:tc>
          <w:tcPr>
            <w:tcW w:type="dxa" w:w="2880"/>
          </w:tcPr>
          <w:p>
            <w:r>
              <w:rPr>
                <w:sz w:val="18"/>
              </w:rPr>
              <w:t>M24-M27</w:t>
            </w:r>
          </w:p>
        </w:tc>
      </w:tr>
      <w:tr>
        <w:tc>
          <w:tcPr>
            <w:tcW w:type="dxa" w:w="2880"/>
          </w:tcPr>
          <w:p>
            <w:r>
              <w:rPr>
                <w:sz w:val="18"/>
              </w:rPr>
              <w:t>Brandblusmiddelen</w:t>
            </w:r>
          </w:p>
        </w:tc>
        <w:tc>
          <w:tcPr>
            <w:tcW w:type="dxa" w:w="2880"/>
          </w:tcPr>
          <w:p>
            <w:r>
              <w:rPr>
                <w:sz w:val="18"/>
              </w:rPr>
              <w:t>Min. twee 6 kg poederblussers of equivalent</w:t>
            </w:r>
          </w:p>
        </w:tc>
        <w:tc>
          <w:tcPr>
            <w:tcW w:type="dxa" w:w="2880"/>
          </w:tcPr>
          <w:p>
            <w:r>
              <w:rPr>
                <w:sz w:val="18"/>
              </w:rPr>
              <w:t>M95</w:t>
            </w:r>
          </w:p>
        </w:tc>
      </w:tr>
      <w:tr>
        <w:tc>
          <w:tcPr>
            <w:tcW w:type="dxa" w:w="2880"/>
          </w:tcPr>
          <w:p>
            <w:r>
              <w:rPr>
                <w:sz w:val="18"/>
              </w:rPr>
              <w:t>Ontstekingsbronnen</w:t>
            </w:r>
          </w:p>
        </w:tc>
        <w:tc>
          <w:tcPr>
            <w:tcW w:type="dxa" w:w="2880"/>
          </w:tcPr>
          <w:p>
            <w:r>
              <w:rPr>
                <w:sz w:val="18"/>
              </w:rPr>
              <w:t>Rook- en vuurverbod binnen 2 m</w:t>
            </w:r>
          </w:p>
        </w:tc>
        <w:tc>
          <w:tcPr>
            <w:tcW w:type="dxa" w:w="2880"/>
          </w:tcPr>
          <w:p>
            <w:r>
              <w:rPr>
                <w:sz w:val="18"/>
              </w:rPr>
              <w:t>M68, M134</w:t>
            </w:r>
          </w:p>
        </w:tc>
      </w:tr>
      <w:tr>
        <w:tc>
          <w:tcPr>
            <w:tcW w:type="dxa" w:w="2880"/>
          </w:tcPr>
          <w:p>
            <w:r>
              <w:rPr>
                <w:sz w:val="18"/>
              </w:rPr>
              <w:t>Toegang</w:t>
            </w:r>
          </w:p>
        </w:tc>
        <w:tc>
          <w:tcPr>
            <w:tcW w:type="dxa" w:w="2880"/>
          </w:tcPr>
          <w:p>
            <w:r>
              <w:rPr>
                <w:sz w:val="18"/>
              </w:rPr>
              <w:t>Alleen bevoegd en deskundig personeel</w:t>
            </w:r>
          </w:p>
        </w:tc>
        <w:tc>
          <w:tcPr>
            <w:tcW w:type="dxa" w:w="2880"/>
          </w:tcPr>
          <w:p>
            <w:r>
              <w:rPr>
                <w:sz w:val="18"/>
              </w:rPr>
              <w:t>M36</w:t>
            </w:r>
          </w:p>
        </w:tc>
      </w:tr>
      <w:tr>
        <w:tc>
          <w:tcPr>
            <w:tcW w:type="dxa" w:w="2880"/>
          </w:tcPr>
          <w:p>
            <w:r>
              <w:rPr>
                <w:sz w:val="18"/>
              </w:rPr>
              <w:t>Signalering</w:t>
            </w:r>
          </w:p>
        </w:tc>
        <w:tc>
          <w:tcPr>
            <w:tcW w:type="dxa" w:w="2880"/>
          </w:tcPr>
          <w:p>
            <w:r>
              <w:rPr>
                <w:sz w:val="18"/>
              </w:rPr>
              <w:t>ADR-etiketten (min. 20×20 cm), verbodsborden</w:t>
            </w:r>
          </w:p>
        </w:tc>
        <w:tc>
          <w:tcPr>
            <w:tcW w:type="dxa" w:w="2880"/>
          </w:tcPr>
          <w:p>
            <w:r>
              <w:rPr>
                <w:sz w:val="18"/>
              </w:rPr>
              <w:t>M135-M136</w:t>
            </w:r>
          </w:p>
        </w:tc>
      </w:tr>
      <w:tr>
        <w:tc>
          <w:tcPr>
            <w:tcW w:type="dxa" w:w="2880"/>
          </w:tcPr>
          <w:p>
            <w:r>
              <w:rPr>
                <w:sz w:val="18"/>
              </w:rPr>
              <w:t>Ventilatie</w:t>
            </w:r>
          </w:p>
        </w:tc>
        <w:tc>
          <w:tcPr>
            <w:tcW w:type="dxa" w:w="2880"/>
          </w:tcPr>
          <w:p>
            <w:r>
              <w:rPr>
                <w:sz w:val="18"/>
              </w:rPr>
              <w:t>Adequate ventilatie bij dampvorming</w:t>
            </w:r>
          </w:p>
        </w:tc>
        <w:tc>
          <w:tcPr>
            <w:tcW w:type="dxa" w:w="2880"/>
          </w:tcPr>
          <w:p>
            <w:r>
              <w:rPr>
                <w:sz w:val="18"/>
              </w:rPr>
              <w:t>M35</w:t>
            </w:r>
          </w:p>
        </w:tc>
      </w:tr>
      <w:tr>
        <w:tc>
          <w:tcPr>
            <w:tcW w:type="dxa" w:w="2880"/>
          </w:tcPr>
          <w:p>
            <w:r>
              <w:rPr>
                <w:sz w:val="18"/>
              </w:rPr>
              <w:t>Vrije ruimte</w:t>
            </w:r>
          </w:p>
        </w:tc>
        <w:tc>
          <w:tcPr>
            <w:tcW w:type="dxa" w:w="2880"/>
          </w:tcPr>
          <w:p>
            <w:r>
              <w:rPr>
                <w:sz w:val="18"/>
              </w:rPr>
              <w:t>2 m tot andere activiteiten</w:t>
            </w:r>
          </w:p>
        </w:tc>
        <w:tc>
          <w:tcPr>
            <w:tcW w:type="dxa" w:w="2880"/>
          </w:tcPr>
          <w:p>
            <w:r>
              <w:rPr>
                <w:sz w:val="18"/>
              </w:rPr>
              <w:t>M21</w:t>
            </w:r>
          </w:p>
        </w:tc>
      </w:tr>
    </w:tbl>
    <w:p>
      <w:pPr>
        <w:pStyle w:val="Heading2"/>
      </w:pPr>
      <w:r>
        <w:t>4.2 Segregatie — Onverenigbare combinaties</w:t>
      </w:r>
    </w:p>
    <w:p>
      <w:r>
        <w:rPr>
          <w:b/>
          <w:color w:val="C00000"/>
        </w:rPr>
        <w:t xml:space="preserve">KRITIEKE SCHEIDINGSEIS: </w:t>
      </w:r>
      <w:r>
        <w:t>H₂SO₄ (zuur) en NaOH (base) vormen een onverenigbare combinatie binnen ADR-klasse 8. Bij gelijktijdig vrijkomen ontstaat een sterk exotherme reactie met hitteontwikkeling, spatten en vrijkomen van bijtende dampen. PGS 15:2025, Bijlage E, schrijft voor dat zuren en basen gescheiden worden opgeslagen.</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Combinatie</w:t>
            </w:r>
          </w:p>
        </w:tc>
        <w:tc>
          <w:tcPr>
            <w:tcW w:type="dxa" w:w="2160"/>
          </w:tcPr>
          <w:p>
            <w:r>
              <w:rPr>
                <w:b/>
                <w:sz w:val="18"/>
              </w:rPr>
              <w:t>Scheiding vereist?</w:t>
            </w:r>
          </w:p>
        </w:tc>
        <w:tc>
          <w:tcPr>
            <w:tcW w:type="dxa" w:w="2160"/>
          </w:tcPr>
          <w:p>
            <w:r>
              <w:rPr>
                <w:b/>
                <w:sz w:val="18"/>
              </w:rPr>
              <w:t>Methode</w:t>
            </w:r>
          </w:p>
        </w:tc>
        <w:tc>
          <w:tcPr>
            <w:tcW w:type="dxa" w:w="2160"/>
          </w:tcPr>
          <w:p>
            <w:r>
              <w:rPr>
                <w:b/>
                <w:sz w:val="18"/>
              </w:rPr>
              <w:t>Toelichting</w:t>
            </w:r>
          </w:p>
        </w:tc>
      </w:tr>
      <w:tr>
        <w:tc>
          <w:tcPr>
            <w:tcW w:type="dxa" w:w="2160"/>
          </w:tcPr>
          <w:p>
            <w:r>
              <w:rPr>
                <w:sz w:val="18"/>
              </w:rPr>
              <w:t>H₂SO₄ + NaOH</w:t>
            </w:r>
          </w:p>
        </w:tc>
        <w:tc>
          <w:tcPr>
            <w:tcW w:type="dxa" w:w="2160"/>
          </w:tcPr>
          <w:p>
            <w:r>
              <w:rPr>
                <w:sz w:val="18"/>
              </w:rPr>
              <w:t>JA — VERPLICHT</w:t>
            </w:r>
          </w:p>
        </w:tc>
        <w:tc>
          <w:tcPr>
            <w:tcW w:type="dxa" w:w="2160"/>
          </w:tcPr>
          <w:p>
            <w:r>
              <w:rPr>
                <w:sz w:val="18"/>
              </w:rPr>
              <w:t>Vakscheiding of apart vak</w:t>
            </w:r>
          </w:p>
        </w:tc>
        <w:tc>
          <w:tcPr>
            <w:tcW w:type="dxa" w:w="2160"/>
          </w:tcPr>
          <w:p>
            <w:r>
              <w:rPr>
                <w:sz w:val="18"/>
              </w:rPr>
              <w:t>Zuur + base = exotherme reactie</w:t>
            </w:r>
          </w:p>
        </w:tc>
      </w:tr>
      <w:tr>
        <w:tc>
          <w:tcPr>
            <w:tcW w:type="dxa" w:w="2160"/>
          </w:tcPr>
          <w:p>
            <w:r>
              <w:rPr>
                <w:sz w:val="18"/>
              </w:rPr>
              <w:t>H₂SO₄ + vanadiumoplossing</w:t>
            </w:r>
          </w:p>
        </w:tc>
        <w:tc>
          <w:tcPr>
            <w:tcW w:type="dxa" w:w="2160"/>
          </w:tcPr>
          <w:p>
            <w:r>
              <w:rPr>
                <w:sz w:val="18"/>
              </w:rPr>
              <w:t>Nee (beoordeling nodig)</w:t>
            </w:r>
          </w:p>
        </w:tc>
        <w:tc>
          <w:tcPr>
            <w:tcW w:type="dxa" w:w="2160"/>
          </w:tcPr>
          <w:p>
            <w:r>
              <w:rPr>
                <w:sz w:val="18"/>
              </w:rPr>
              <w:t>Vakscheiding aanbevolen</w:t>
            </w:r>
          </w:p>
        </w:tc>
        <w:tc>
          <w:tcPr>
            <w:tcW w:type="dxa" w:w="2160"/>
          </w:tcPr>
          <w:p>
            <w:r>
              <w:rPr>
                <w:sz w:val="18"/>
              </w:rPr>
              <w:t>Controleer SDS op reactieve interacties</w:t>
            </w:r>
          </w:p>
        </w:tc>
      </w:tr>
      <w:tr>
        <w:tc>
          <w:tcPr>
            <w:tcW w:type="dxa" w:w="2160"/>
          </w:tcPr>
          <w:p>
            <w:r>
              <w:rPr>
                <w:sz w:val="18"/>
              </w:rPr>
              <w:t>NaOH + vanadiumoplossing</w:t>
            </w:r>
          </w:p>
        </w:tc>
        <w:tc>
          <w:tcPr>
            <w:tcW w:type="dxa" w:w="2160"/>
          </w:tcPr>
          <w:p>
            <w:r>
              <w:rPr>
                <w:sz w:val="18"/>
              </w:rPr>
              <w:t>Beoordeling nodig</w:t>
            </w:r>
          </w:p>
        </w:tc>
        <w:tc>
          <w:tcPr>
            <w:tcW w:type="dxa" w:w="2160"/>
          </w:tcPr>
          <w:p>
            <w:r>
              <w:rPr>
                <w:sz w:val="18"/>
              </w:rPr>
              <w:t>Vakscheiding aanbevolen</w:t>
            </w:r>
          </w:p>
        </w:tc>
        <w:tc>
          <w:tcPr>
            <w:tcW w:type="dxa" w:w="2160"/>
          </w:tcPr>
          <w:p>
            <w:r>
              <w:rPr>
                <w:sz w:val="18"/>
              </w:rPr>
              <w:t>NaOH reageert met amfotere metalen</w:t>
            </w:r>
          </w:p>
        </w:tc>
      </w:tr>
      <w:tr>
        <w:tc>
          <w:tcPr>
            <w:tcW w:type="dxa" w:w="2160"/>
          </w:tcPr>
          <w:p>
            <w:r>
              <w:rPr>
                <w:sz w:val="18"/>
              </w:rPr>
              <w:t>H₂SO₄ + brandbare stoffen</w:t>
            </w:r>
          </w:p>
        </w:tc>
        <w:tc>
          <w:tcPr>
            <w:tcW w:type="dxa" w:w="2160"/>
          </w:tcPr>
          <w:p>
            <w:r>
              <w:rPr>
                <w:sz w:val="18"/>
              </w:rPr>
              <w:t>JA</w:t>
            </w:r>
          </w:p>
        </w:tc>
        <w:tc>
          <w:tcPr>
            <w:tcW w:type="dxa" w:w="2160"/>
          </w:tcPr>
          <w:p>
            <w:r>
              <w:rPr>
                <w:sz w:val="18"/>
              </w:rPr>
              <w:t>Vakindeling</w:t>
            </w:r>
          </w:p>
        </w:tc>
        <w:tc>
          <w:tcPr>
            <w:tcW w:type="dxa" w:w="2160"/>
          </w:tcPr>
          <w:p>
            <w:r>
              <w:rPr>
                <w:sz w:val="18"/>
              </w:rPr>
              <w:t>Kan oxideren/reageren</w:t>
            </w:r>
          </w:p>
        </w:tc>
      </w:tr>
      <w:tr>
        <w:tc>
          <w:tcPr>
            <w:tcW w:type="dxa" w:w="2160"/>
          </w:tcPr>
          <w:p>
            <w:r>
              <w:rPr>
                <w:sz w:val="18"/>
              </w:rPr>
              <w:t>NaOH + aluminium</w:t>
            </w:r>
          </w:p>
        </w:tc>
        <w:tc>
          <w:tcPr>
            <w:tcW w:type="dxa" w:w="2160"/>
          </w:tcPr>
          <w:p>
            <w:r>
              <w:rPr>
                <w:sz w:val="18"/>
              </w:rPr>
              <w:t>JA</w:t>
            </w:r>
          </w:p>
        </w:tc>
        <w:tc>
          <w:tcPr>
            <w:tcW w:type="dxa" w:w="2160"/>
          </w:tcPr>
          <w:p>
            <w:r>
              <w:rPr>
                <w:sz w:val="18"/>
              </w:rPr>
              <w:t>Vakscheiding</w:t>
            </w:r>
          </w:p>
        </w:tc>
        <w:tc>
          <w:tcPr>
            <w:tcW w:type="dxa" w:w="2160"/>
          </w:tcPr>
          <w:p>
            <w:r>
              <w:rPr>
                <w:sz w:val="18"/>
              </w:rPr>
              <w:t>NaOH reageert met amfotere metalen</w:t>
            </w:r>
          </w:p>
        </w:tc>
      </w:tr>
      <w:tr>
        <w:tc>
          <w:tcPr>
            <w:tcW w:type="dxa" w:w="2160"/>
          </w:tcPr>
          <w:p>
            <w:r>
              <w:rPr>
                <w:sz w:val="18"/>
              </w:rPr>
              <w:t>Aluminiumsulfaat + calciumoxide</w:t>
            </w:r>
          </w:p>
        </w:tc>
        <w:tc>
          <w:tcPr>
            <w:tcW w:type="dxa" w:w="2160"/>
          </w:tcPr>
          <w:p>
            <w:r>
              <w:rPr>
                <w:sz w:val="18"/>
              </w:rPr>
              <w:t>Nee</w:t>
            </w:r>
          </w:p>
        </w:tc>
        <w:tc>
          <w:tcPr>
            <w:tcW w:type="dxa" w:w="2160"/>
          </w:tcPr>
          <w:p>
            <w:r>
              <w:rPr>
                <w:sz w:val="18"/>
              </w:rPr>
              <w:t>—</w:t>
            </w:r>
          </w:p>
        </w:tc>
        <w:tc>
          <w:tcPr>
            <w:tcW w:type="dxa" w:w="2160"/>
          </w:tcPr>
          <w:p>
            <w:r>
              <w:rPr>
                <w:sz w:val="18"/>
              </w:rPr>
              <w:t>Geen onverenigbaarheid</w:t>
            </w:r>
          </w:p>
        </w:tc>
      </w:tr>
    </w:tbl>
    <w:p>
      <w:pPr>
        <w:pStyle w:val="Heading2"/>
      </w:pPr>
      <w:r>
        <w:t>4.3 Specifieke eisen bijtende stoffen (ADR-klasse 8)</w:t>
      </w:r>
    </w:p>
    <w:p>
      <w:pPr>
        <w:pStyle w:val="ListBullet"/>
      </w:pPr>
      <w:r>
        <w:rPr>
          <w:b/>
        </w:rPr>
        <w:t xml:space="preserve">Materialen opvangvoorziening: </w:t>
      </w:r>
      <w:r>
        <w:t>Moet bestand zijn tegen de bijtende stof. Geen onbeschermde metalen opvang bij H₂SO₄. PP-gelined of kunststof opvangbakken aanbevolen.</w:t>
      </w:r>
    </w:p>
    <w:p>
      <w:pPr>
        <w:pStyle w:val="ListBullet"/>
      </w:pPr>
      <w:r>
        <w:rPr>
          <w:b/>
        </w:rPr>
        <w:t xml:space="preserve">Neutralisatiemiddelen: </w:t>
      </w:r>
      <w:r>
        <w:t>Beschikbaar bij opslag. Voor H₂SO₄: natriumcarbonaat (soda). Voor NaOH: citroenzuur of verdunde azijnzuuroplossing.</w:t>
      </w:r>
    </w:p>
    <w:p>
      <w:pPr>
        <w:pStyle w:val="ListBullet"/>
      </w:pPr>
      <w:r>
        <w:rPr>
          <w:b/>
        </w:rPr>
        <w:t xml:space="preserve">Condenscorrosie: </w:t>
      </w:r>
      <w:r>
        <w:t>Bij buitenopslag rekening houden met condensvorming en corrosie aan verpakkingen en constructie. Binnenopslag verdient de voorkeur.</w:t>
      </w:r>
    </w:p>
    <w:p>
      <w:pPr>
        <w:pStyle w:val="ListBullet"/>
      </w:pPr>
      <w:r>
        <w:rPr>
          <w:b/>
        </w:rPr>
        <w:t xml:space="preserve">Inspectie verpakkingen: </w:t>
      </w:r>
      <w:r>
        <w:t>Bij ontvangst en periodiek: controle op beschadigingen, corrosie, lekkage. Gebreken direct verhelpen (M45).</w:t>
      </w:r>
    </w:p>
    <w:p>
      <w:pPr>
        <w:pStyle w:val="Heading2"/>
      </w:pPr>
      <w:r>
        <w:t>4.4 Specifieke eisen CMR-houdende stoffen (SARU-ash)</w:t>
      </w:r>
    </w:p>
    <w:p>
      <w:r>
        <w:t>SARU-ash bevat nikkeloxide (CMR-categorie 2). Bij opslag van CMR-houdende stoffen gelden de volgende aanvullende eisen:</w:t>
      </w:r>
    </w:p>
    <w:p>
      <w:pPr>
        <w:pStyle w:val="ListBullet"/>
      </w:pPr>
      <w:r>
        <w:t>Gesloten opslag (stofvrij) — ash mag niet verstuiven</w:t>
      </w:r>
    </w:p>
    <w:p>
      <w:pPr>
        <w:pStyle w:val="ListBullet"/>
      </w:pPr>
      <w:r>
        <w:t>Afzonderlijke opslag van levensmiddelen en consumentenproducten</w:t>
      </w:r>
    </w:p>
    <w:p>
      <w:pPr>
        <w:pStyle w:val="ListBullet"/>
      </w:pPr>
      <w:r>
        <w:t>Registratie van blootstelling (arbeidshygiëne)</w:t>
      </w:r>
    </w:p>
    <w:p>
      <w:pPr>
        <w:pStyle w:val="ListBullet"/>
      </w:pPr>
      <w:r>
        <w:t>Specifieke PBM's: FFP3-masker bij hantering, handschoenen, veiligheidsbril</w:t>
      </w:r>
    </w:p>
    <w:p>
      <w:pPr>
        <w:pStyle w:val="ListBullet"/>
      </w:pPr>
      <w:r>
        <w:t>RI&amp;E moet CMR-risico's expliciet behandelen</w:t>
      </w:r>
    </w:p>
    <w:p>
      <w:pPr>
        <w:pStyle w:val="Heading2"/>
      </w:pPr>
      <w:r>
        <w:t>4.5 Opslag in jerrycans (huidige situatie)</w:t>
      </w:r>
    </w:p>
    <w:p>
      <w:r>
        <w:t>In de demo-fase worden alle vloeistoffen opgeslagen in jerrycans (10L en 25L) op een rack in het lab. Dit is toegestaan onder PGS 15:2025 mits:</w:t>
      </w:r>
    </w:p>
    <w:p>
      <w:pPr>
        <w:pStyle w:val="ListBullet"/>
      </w:pPr>
      <w:r>
        <w:t>De jerrycans ADR-conform zijn (UN-gekeurd)</w:t>
      </w:r>
    </w:p>
    <w:p>
      <w:pPr>
        <w:pStyle w:val="ListBullet"/>
      </w:pPr>
      <w:r>
        <w:t>De opslaglocatie voldoet aan de basismaatregelen (opvang, signalering, toegangsbeperking)</w:t>
      </w:r>
    </w:p>
    <w:p>
      <w:pPr>
        <w:pStyle w:val="ListBullet"/>
      </w:pPr>
      <w:r>
        <w:t>De werkvoorraad-regel wordt nageleefd: max. 1 aangebroken + 1 nieuwe verpakking per stof in de nabijheid van het werk</w:t>
      </w:r>
    </w:p>
    <w:p>
      <w:pPr>
        <w:pStyle w:val="ListBullet"/>
      </w:pPr>
      <w:r>
        <w:t>Zuren en basen fysiek gescheiden zijn op het rack</w:t>
      </w:r>
    </w:p>
    <w:p>
      <w:r>
        <w:br w:type="page"/>
      </w:r>
    </w:p>
    <w:p>
      <w:pPr>
        <w:pStyle w:val="Heading1"/>
      </w:pPr>
      <w:r>
        <w:t>5. BRZO &amp; Vergunningen</w:t>
      </w:r>
    </w:p>
    <w:p>
      <w:pPr>
        <w:pStyle w:val="Heading2"/>
      </w:pPr>
      <w:r>
        <w:t>5.1 BRZO 2020 toepasselijkheid</w:t>
      </w:r>
    </w:p>
    <w:p>
      <w:r>
        <w:t>Het Besluit risico's zware ongevallen 2020 (BRZO 2020) is de nationale implementatie van de Seveso III-richtlijn. Het BRZO is van toepassing op inrichtingen waar bepaalde gevaarlijke stoffen in hoeveelheden boven de drempelwaarden uit Bijlage I aanwezig zijn.</w:t>
      </w:r>
    </w:p>
    <w:p>
      <w:r>
        <w:t>Voor Phoenix Metals in de demo-fase geldt:</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Stof/categorie</w:t>
            </w:r>
          </w:p>
        </w:tc>
        <w:tc>
          <w:tcPr>
            <w:tcW w:type="dxa" w:w="2160"/>
          </w:tcPr>
          <w:p>
            <w:r>
              <w:rPr>
                <w:b/>
                <w:sz w:val="18"/>
              </w:rPr>
              <w:t>BRZO Bijlage I drempelwaarde</w:t>
            </w:r>
          </w:p>
        </w:tc>
        <w:tc>
          <w:tcPr>
            <w:tcW w:type="dxa" w:w="2160"/>
          </w:tcPr>
          <w:p>
            <w:r>
              <w:rPr>
                <w:b/>
                <w:sz w:val="18"/>
              </w:rPr>
              <w:t>Phoenix Metals demo-fase</w:t>
            </w:r>
          </w:p>
        </w:tc>
        <w:tc>
          <w:tcPr>
            <w:tcW w:type="dxa" w:w="2160"/>
          </w:tcPr>
          <w:p>
            <w:r>
              <w:rPr>
                <w:b/>
                <w:sz w:val="18"/>
              </w:rPr>
              <w:t>BRZO van toepassing?</w:t>
            </w:r>
          </w:p>
        </w:tc>
      </w:tr>
      <w:tr>
        <w:tc>
          <w:tcPr>
            <w:tcW w:type="dxa" w:w="2160"/>
          </w:tcPr>
          <w:p>
            <w:r>
              <w:rPr>
                <w:sz w:val="18"/>
              </w:rPr>
              <w:t>Zwavelzuur (H₂SO₄)</w:t>
            </w:r>
          </w:p>
        </w:tc>
        <w:tc>
          <w:tcPr>
            <w:tcW w:type="dxa" w:w="2160"/>
          </w:tcPr>
          <w:p>
            <w:r>
              <w:rPr>
                <w:sz w:val="18"/>
              </w:rPr>
              <w:t>1.000 ton (cat. E1)</w:t>
            </w:r>
          </w:p>
        </w:tc>
        <w:tc>
          <w:tcPr>
            <w:tcW w:type="dxa" w:w="2160"/>
          </w:tcPr>
          <w:p>
            <w:r>
              <w:rPr>
                <w:sz w:val="18"/>
              </w:rPr>
              <w:t>~330 kg</w:t>
            </w:r>
          </w:p>
        </w:tc>
        <w:tc>
          <w:tcPr>
            <w:tcW w:type="dxa" w:w="2160"/>
          </w:tcPr>
          <w:p>
            <w:r>
              <w:rPr>
                <w:sz w:val="18"/>
              </w:rPr>
              <w:t>Nee</w:t>
            </w:r>
          </w:p>
        </w:tc>
      </w:tr>
      <w:tr>
        <w:tc>
          <w:tcPr>
            <w:tcW w:type="dxa" w:w="2160"/>
          </w:tcPr>
          <w:p>
            <w:r>
              <w:rPr>
                <w:sz w:val="18"/>
              </w:rPr>
              <w:t>Natriumhydroxide (NaOH)</w:t>
            </w:r>
          </w:p>
        </w:tc>
        <w:tc>
          <w:tcPr>
            <w:tcW w:type="dxa" w:w="2160"/>
          </w:tcPr>
          <w:p>
            <w:r>
              <w:rPr>
                <w:sz w:val="18"/>
              </w:rPr>
              <w:t>Niet in Bijlage I (cat. E1)</w:t>
            </w:r>
          </w:p>
        </w:tc>
        <w:tc>
          <w:tcPr>
            <w:tcW w:type="dxa" w:w="2160"/>
          </w:tcPr>
          <w:p>
            <w:r>
              <w:rPr>
                <w:sz w:val="18"/>
              </w:rPr>
              <w:t>~140 kg</w:t>
            </w:r>
          </w:p>
        </w:tc>
        <w:tc>
          <w:tcPr>
            <w:tcW w:type="dxa" w:w="2160"/>
          </w:tcPr>
          <w:p>
            <w:r>
              <w:rPr>
                <w:sz w:val="18"/>
              </w:rPr>
              <w:t>Nee</w:t>
            </w:r>
          </w:p>
        </w:tc>
      </w:tr>
      <w:tr>
        <w:tc>
          <w:tcPr>
            <w:tcW w:type="dxa" w:w="2160"/>
          </w:tcPr>
          <w:p>
            <w:r>
              <w:rPr>
                <w:sz w:val="18"/>
              </w:rPr>
              <w:t>Vanadiumverbindingen</w:t>
            </w:r>
          </w:p>
        </w:tc>
        <w:tc>
          <w:tcPr>
            <w:tcW w:type="dxa" w:w="2160"/>
          </w:tcPr>
          <w:p>
            <w:r>
              <w:rPr>
                <w:sz w:val="18"/>
              </w:rPr>
              <w:t>Niet specifiek in Bijlage I</w:t>
            </w:r>
          </w:p>
        </w:tc>
        <w:tc>
          <w:tcPr>
            <w:tcW w:type="dxa" w:w="2160"/>
          </w:tcPr>
          <w:p>
            <w:r>
              <w:rPr>
                <w:sz w:val="18"/>
              </w:rPr>
              <w:t>&lt;10 kg V</w:t>
            </w:r>
          </w:p>
        </w:tc>
        <w:tc>
          <w:tcPr>
            <w:tcW w:type="dxa" w:w="2160"/>
          </w:tcPr>
          <w:p>
            <w:r>
              <w:rPr>
                <w:sz w:val="18"/>
              </w:rPr>
              <w:t>Nee</w:t>
            </w:r>
          </w:p>
        </w:tc>
      </w:tr>
      <w:tr>
        <w:tc>
          <w:tcPr>
            <w:tcW w:type="dxa" w:w="2160"/>
          </w:tcPr>
          <w:p>
            <w:r>
              <w:rPr>
                <w:sz w:val="18"/>
              </w:rPr>
              <w:t>Nikkeloxide (NiO)</w:t>
            </w:r>
          </w:p>
        </w:tc>
        <w:tc>
          <w:tcPr>
            <w:tcW w:type="dxa" w:w="2160"/>
          </w:tcPr>
          <w:p>
            <w:r>
              <w:rPr>
                <w:sz w:val="18"/>
              </w:rPr>
              <w:t>Acuut toxisch / CMR: lagere drempels</w:t>
            </w:r>
          </w:p>
        </w:tc>
        <w:tc>
          <w:tcPr>
            <w:tcW w:type="dxa" w:w="2160"/>
          </w:tcPr>
          <w:p>
            <w:r>
              <w:rPr>
                <w:sz w:val="18"/>
              </w:rPr>
              <w:t>&lt;6 kg (in ash)</w:t>
            </w:r>
          </w:p>
        </w:tc>
        <w:tc>
          <w:tcPr>
            <w:tcW w:type="dxa" w:w="2160"/>
          </w:tcPr>
          <w:p>
            <w:r>
              <w:rPr>
                <w:sz w:val="18"/>
              </w:rPr>
              <w:t>Nee</w:t>
            </w:r>
          </w:p>
        </w:tc>
      </w:tr>
      <w:tr>
        <w:tc>
          <w:tcPr>
            <w:tcW w:type="dxa" w:w="2160"/>
          </w:tcPr>
          <w:p>
            <w:r>
              <w:rPr>
                <w:sz w:val="18"/>
              </w:rPr>
              <w:t>Totale gevaarlijke stoffen</w:t>
            </w:r>
          </w:p>
        </w:tc>
        <w:tc>
          <w:tcPr>
            <w:tcW w:type="dxa" w:w="2160"/>
          </w:tcPr>
          <w:p>
            <w:r>
              <w:rPr>
                <w:sz w:val="18"/>
              </w:rPr>
              <w:t>50-200 ton (cat. P8/P9)</w:t>
            </w:r>
          </w:p>
        </w:tc>
        <w:tc>
          <w:tcPr>
            <w:tcW w:type="dxa" w:w="2160"/>
          </w:tcPr>
          <w:p>
            <w:r>
              <w:rPr>
                <w:sz w:val="18"/>
              </w:rPr>
              <w:t>&lt;500 kg totaal</w:t>
            </w:r>
          </w:p>
        </w:tc>
        <w:tc>
          <w:tcPr>
            <w:tcW w:type="dxa" w:w="2160"/>
          </w:tcPr>
          <w:p>
            <w:r>
              <w:rPr>
                <w:sz w:val="18"/>
              </w:rPr>
              <w:t>Nee</w:t>
            </w:r>
          </w:p>
        </w:tc>
      </w:tr>
    </w:tbl>
    <w:p>
      <w:r>
        <w:rPr>
          <w:b/>
        </w:rPr>
        <w:t xml:space="preserve">Conclusie: </w:t>
      </w:r>
      <w:r>
        <w:t>BRZO 2020 is niet van toepassing op de demo-fase van Phoenix Metals. Alle hoeveelheden liggen minimaal een factor 100-1000 onder de laagste drempelwaarden. Bij opschaling naar commerciële productie moet de BRZO-toepasselijkheid opnieuw beoordeeld worden.</w:t>
      </w:r>
    </w:p>
    <w:p>
      <w:pPr>
        <w:pStyle w:val="Heading2"/>
      </w:pPr>
      <w:r>
        <w:t>5.2 Vergunningsplicht (Wm/Wabo/Omgevingswet)</w:t>
      </w:r>
    </w:p>
    <w:p>
      <w:r>
        <w:t>De opslag van gevaarlijke stoffen door Phoenix Metals valt onder het Besluit activiteiten leefomgeving (Bal) en vereist een omgevingsvergunning. De vergunningvoorwaarden zullen PGS 15:2025 als norm hanteren. De vergunningaanvraag wordt (mede) gebaseerd op de inventarisatie en maatregelen uit dit kennisdossier.</w:t>
      </w:r>
    </w:p>
    <w:p>
      <w:pPr>
        <w:pStyle w:val="Heading2"/>
      </w:pPr>
      <w:r>
        <w:t>5.3 Relatie met PGS 15 in vergunning</w:t>
      </w:r>
    </w:p>
    <w:p>
      <w:r>
        <w:t>In de omgevingsvergunning wordt PGS 15:2025 aangemerkt als standaardgood practice. Dit betekent dat het bevoegd gezag (gemeente Rotterdam / DCMR) verwacht dat Phoenix Metals de maatregelen uit PGS 15:2025 implementeert, tenzij gelijkwaardige alternatieven worden aangetoond (PGS 15:2025, hoofdstuk 8). Dit kennisdossier dient als basisdocument voor de vergunningsaanvraag.</w:t>
      </w:r>
    </w:p>
    <w:p>
      <w:r>
        <w:br w:type="page"/>
      </w:r>
    </w:p>
    <w:p>
      <w:pPr>
        <w:pStyle w:val="Heading1"/>
      </w:pPr>
      <w:r>
        <w:t>6. Veiligheidsmaatregelen</w:t>
      </w:r>
    </w:p>
    <w:p>
      <w:pPr>
        <w:pStyle w:val="Heading2"/>
      </w:pPr>
      <w:r>
        <w:t>6.1 Primaire maatregelen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w:t>
            </w:r>
          </w:p>
        </w:tc>
        <w:tc>
          <w:tcPr>
            <w:tcW w:type="dxa" w:w="2880"/>
          </w:tcPr>
          <w:p>
            <w:r>
              <w:rPr>
                <w:b/>
                <w:sz w:val="18"/>
              </w:rPr>
              <w:t>Specificatie</w:t>
            </w:r>
          </w:p>
        </w:tc>
        <w:tc>
          <w:tcPr>
            <w:tcW w:type="dxa" w:w="2880"/>
          </w:tcPr>
          <w:p>
            <w:r>
              <w:rPr>
                <w:b/>
                <w:sz w:val="18"/>
              </w:rPr>
              <w:t>Status</w:t>
            </w:r>
          </w:p>
        </w:tc>
      </w:tr>
      <w:tr>
        <w:tc>
          <w:tcPr>
            <w:tcW w:type="dxa" w:w="2880"/>
          </w:tcPr>
          <w:p>
            <w:r>
              <w:rPr>
                <w:sz w:val="18"/>
              </w:rPr>
              <w:t>Gesloten opslag</w:t>
            </w:r>
          </w:p>
        </w:tc>
        <w:tc>
          <w:tcPr>
            <w:tcW w:type="dxa" w:w="2880"/>
          </w:tcPr>
          <w:p>
            <w:r>
              <w:rPr>
                <w:sz w:val="18"/>
              </w:rPr>
              <w:t>Alle stoffen in gesloten verpakking; ash in afgesloten containers</w:t>
            </w:r>
          </w:p>
        </w:tc>
        <w:tc>
          <w:tcPr>
            <w:tcW w:type="dxa" w:w="2880"/>
          </w:tcPr>
          <w:p>
            <w:r>
              <w:rPr>
                <w:sz w:val="18"/>
              </w:rPr>
              <w:t>✓</w:t>
            </w:r>
          </w:p>
        </w:tc>
      </w:tr>
      <w:tr>
        <w:tc>
          <w:tcPr>
            <w:tcW w:type="dxa" w:w="2880"/>
          </w:tcPr>
          <w:p>
            <w:r>
              <w:rPr>
                <w:sz w:val="18"/>
              </w:rPr>
              <w:t>Lekbeker/opvang</w:t>
            </w:r>
          </w:p>
        </w:tc>
        <w:tc>
          <w:tcPr>
            <w:tcW w:type="dxa" w:w="2880"/>
          </w:tcPr>
          <w:p>
            <w:r>
              <w:rPr>
                <w:sz w:val="18"/>
              </w:rPr>
              <w:t>PP-lined opvangbak onder rack; 110% grootste jerrycan = 27,5 L</w:t>
            </w:r>
          </w:p>
        </w:tc>
        <w:tc>
          <w:tcPr>
            <w:tcW w:type="dxa" w:w="2880"/>
          </w:tcPr>
          <w:p>
            <w:r>
              <w:rPr>
                <w:sz w:val="18"/>
              </w:rPr>
              <w:t>Te realiseren</w:t>
            </w:r>
          </w:p>
        </w:tc>
      </w:tr>
      <w:tr>
        <w:tc>
          <w:tcPr>
            <w:tcW w:type="dxa" w:w="2880"/>
          </w:tcPr>
          <w:p>
            <w:r>
              <w:rPr>
                <w:sz w:val="18"/>
              </w:rPr>
              <w:t>Ventilatie</w:t>
            </w:r>
          </w:p>
        </w:tc>
        <w:tc>
          <w:tcPr>
            <w:tcW w:type="dxa" w:w="2880"/>
          </w:tcPr>
          <w:p>
            <w:r>
              <w:rPr>
                <w:sz w:val="18"/>
              </w:rPr>
              <w:t>Mechanische ventilatie in lab-ruimte (minimaal 6×/uur bij lekkage)</w:t>
            </w:r>
          </w:p>
        </w:tc>
        <w:tc>
          <w:tcPr>
            <w:tcW w:type="dxa" w:w="2880"/>
          </w:tcPr>
          <w:p>
            <w:r>
              <w:rPr>
                <w:sz w:val="18"/>
              </w:rPr>
              <w:t>Voorhanden</w:t>
            </w:r>
          </w:p>
        </w:tc>
      </w:tr>
      <w:tr>
        <w:tc>
          <w:tcPr>
            <w:tcW w:type="dxa" w:w="2880"/>
          </w:tcPr>
          <w:p>
            <w:r>
              <w:rPr>
                <w:sz w:val="18"/>
              </w:rPr>
              <w:t>Segregatie zuur/base</w:t>
            </w:r>
          </w:p>
        </w:tc>
        <w:tc>
          <w:tcPr>
            <w:tcW w:type="dxa" w:w="2880"/>
          </w:tcPr>
          <w:p>
            <w:r>
              <w:rPr>
                <w:sz w:val="18"/>
              </w:rPr>
              <w:t>H₂SO₄ en NaOH in gescheiden vakken op rack</w:t>
            </w:r>
          </w:p>
        </w:tc>
        <w:tc>
          <w:tcPr>
            <w:tcW w:type="dxa" w:w="2880"/>
          </w:tcPr>
          <w:p>
            <w:r>
              <w:rPr>
                <w:sz w:val="18"/>
              </w:rPr>
              <w:t>Te realiseren</w:t>
            </w:r>
          </w:p>
        </w:tc>
      </w:tr>
      <w:tr>
        <w:tc>
          <w:tcPr>
            <w:tcW w:type="dxa" w:w="2880"/>
          </w:tcPr>
          <w:p>
            <w:r>
              <w:rPr>
                <w:sz w:val="18"/>
              </w:rPr>
              <w:t>Verpakkingcontrole</w:t>
            </w:r>
          </w:p>
        </w:tc>
        <w:tc>
          <w:tcPr>
            <w:tcW w:type="dxa" w:w="2880"/>
          </w:tcPr>
          <w:p>
            <w:r>
              <w:rPr>
                <w:sz w:val="18"/>
              </w:rPr>
              <w:t>Inspectie bij ontvangst + periodiek (maandelijks)</w:t>
            </w:r>
          </w:p>
        </w:tc>
        <w:tc>
          <w:tcPr>
            <w:tcW w:type="dxa" w:w="2880"/>
          </w:tcPr>
          <w:p>
            <w:r>
              <w:rPr>
                <w:sz w:val="18"/>
              </w:rPr>
              <w:t>Procedure vereist</w:t>
            </w:r>
          </w:p>
        </w:tc>
      </w:tr>
      <w:tr>
        <w:tc>
          <w:tcPr>
            <w:tcW w:type="dxa" w:w="2880"/>
          </w:tcPr>
          <w:p>
            <w:r>
              <w:rPr>
                <w:sz w:val="18"/>
              </w:rPr>
              <w:t>Signalering</w:t>
            </w:r>
          </w:p>
        </w:tc>
        <w:tc>
          <w:tcPr>
            <w:tcW w:type="dxa" w:w="2880"/>
          </w:tcPr>
          <w:p>
            <w:r>
              <w:rPr>
                <w:sz w:val="18"/>
              </w:rPr>
              <w:t>ADR-etiket 8 op rack; CLP-pictogrammen; rook-/vuurverbod</w:t>
            </w:r>
          </w:p>
        </w:tc>
        <w:tc>
          <w:tcPr>
            <w:tcW w:type="dxa" w:w="2880"/>
          </w:tcPr>
          <w:p>
            <w:r>
              <w:rPr>
                <w:sz w:val="18"/>
              </w:rPr>
              <w:t>Te realiseren</w:t>
            </w:r>
          </w:p>
        </w:tc>
      </w:tr>
    </w:tbl>
    <w:p>
      <w:pPr>
        <w:pStyle w:val="Heading2"/>
      </w:pPr>
      <w:r>
        <w:t>6.2 Secundaire maatregelen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w:t>
            </w:r>
          </w:p>
        </w:tc>
        <w:tc>
          <w:tcPr>
            <w:tcW w:type="dxa" w:w="2880"/>
          </w:tcPr>
          <w:p>
            <w:r>
              <w:rPr>
                <w:b/>
                <w:sz w:val="18"/>
              </w:rPr>
              <w:t>Specificatie</w:t>
            </w:r>
          </w:p>
        </w:tc>
        <w:tc>
          <w:tcPr>
            <w:tcW w:type="dxa" w:w="2880"/>
          </w:tcPr>
          <w:p>
            <w:r>
              <w:rPr>
                <w:b/>
                <w:sz w:val="18"/>
              </w:rPr>
              <w:t>Status</w:t>
            </w:r>
          </w:p>
        </w:tc>
      </w:tr>
      <w:tr>
        <w:tc>
          <w:tcPr>
            <w:tcW w:type="dxa" w:w="2880"/>
          </w:tcPr>
          <w:p>
            <w:r>
              <w:rPr>
                <w:sz w:val="18"/>
              </w:rPr>
              <w:t>Brandblusmiddelen</w:t>
            </w:r>
          </w:p>
        </w:tc>
        <w:tc>
          <w:tcPr>
            <w:tcW w:type="dxa" w:w="2880"/>
          </w:tcPr>
          <w:p>
            <w:r>
              <w:rPr>
                <w:sz w:val="18"/>
              </w:rPr>
              <w:t>Min. twee 6 kg poederblussers in nabijheid opslag</w:t>
            </w:r>
          </w:p>
        </w:tc>
        <w:tc>
          <w:tcPr>
            <w:tcW w:type="dxa" w:w="2880"/>
          </w:tcPr>
          <w:p>
            <w:r>
              <w:rPr>
                <w:sz w:val="18"/>
              </w:rPr>
              <w:t>Voorhanden (PlantOne)</w:t>
            </w:r>
          </w:p>
        </w:tc>
      </w:tr>
      <w:tr>
        <w:tc>
          <w:tcPr>
            <w:tcW w:type="dxa" w:w="2880"/>
          </w:tcPr>
          <w:p>
            <w:r>
              <w:rPr>
                <w:sz w:val="18"/>
              </w:rPr>
              <w:t>Lekkagedetectie</w:t>
            </w:r>
          </w:p>
        </w:tc>
        <w:tc>
          <w:tcPr>
            <w:tcW w:type="dxa" w:w="2880"/>
          </w:tcPr>
          <w:p>
            <w:r>
              <w:rPr>
                <w:sz w:val="18"/>
              </w:rPr>
              <w:t>Visuele inspectie; evt. pH-indicator in opvangbak</w:t>
            </w:r>
          </w:p>
        </w:tc>
        <w:tc>
          <w:tcPr>
            <w:tcW w:type="dxa" w:w="2880"/>
          </w:tcPr>
          <w:p>
            <w:r>
              <w:rPr>
                <w:sz w:val="18"/>
              </w:rPr>
              <w:t>Te beoordelen</w:t>
            </w:r>
          </w:p>
        </w:tc>
      </w:tr>
      <w:tr>
        <w:tc>
          <w:tcPr>
            <w:tcW w:type="dxa" w:w="2880"/>
          </w:tcPr>
          <w:p>
            <w:r>
              <w:rPr>
                <w:sz w:val="18"/>
              </w:rPr>
              <w:t>Calamiteitenplan</w:t>
            </w:r>
          </w:p>
        </w:tc>
        <w:tc>
          <w:tcPr>
            <w:tcW w:type="dxa" w:w="2880"/>
          </w:tcPr>
          <w:p>
            <w:r>
              <w:rPr>
                <w:sz w:val="18"/>
              </w:rPr>
              <w:t>Als onderdeel van PlantOne-caliteitenplan + eigen invulling</w:t>
            </w:r>
          </w:p>
        </w:tc>
        <w:tc>
          <w:tcPr>
            <w:tcW w:type="dxa" w:w="2880"/>
          </w:tcPr>
          <w:p>
            <w:r>
              <w:rPr>
                <w:sz w:val="18"/>
              </w:rPr>
              <w:t>In ontwikkeling</w:t>
            </w:r>
          </w:p>
        </w:tc>
      </w:tr>
      <w:tr>
        <w:tc>
          <w:tcPr>
            <w:tcW w:type="dxa" w:w="2880"/>
          </w:tcPr>
          <w:p>
            <w:r>
              <w:rPr>
                <w:sz w:val="18"/>
              </w:rPr>
              <w:t>Nooddouche / oogspoel</w:t>
            </w:r>
          </w:p>
        </w:tc>
        <w:tc>
          <w:tcPr>
            <w:tcW w:type="dxa" w:w="2880"/>
          </w:tcPr>
          <w:p>
            <w:r>
              <w:rPr>
                <w:sz w:val="18"/>
              </w:rPr>
              <w:t>Bereikbaar binnen 10 seconden van opslaglocatie</w:t>
            </w:r>
          </w:p>
        </w:tc>
        <w:tc>
          <w:tcPr>
            <w:tcW w:type="dxa" w:w="2880"/>
          </w:tcPr>
          <w:p>
            <w:r>
              <w:rPr>
                <w:sz w:val="18"/>
              </w:rPr>
              <w:t>Voorhanden (PlantOne)</w:t>
            </w:r>
          </w:p>
        </w:tc>
      </w:tr>
      <w:tr>
        <w:tc>
          <w:tcPr>
            <w:tcW w:type="dxa" w:w="2880"/>
          </w:tcPr>
          <w:p>
            <w:r>
              <w:rPr>
                <w:sz w:val="18"/>
              </w:rPr>
              <w:t>Bluswateropvang</w:t>
            </w:r>
          </w:p>
        </w:tc>
        <w:tc>
          <w:tcPr>
            <w:tcW w:type="dxa" w:w="2880"/>
          </w:tcPr>
          <w:p>
            <w:r>
              <w:rPr>
                <w:sz w:val="18"/>
              </w:rPr>
              <w:t>Basisniveau: opvang in lekbeker voldoende</w:t>
            </w:r>
          </w:p>
        </w:tc>
        <w:tc>
          <w:tcPr>
            <w:tcW w:type="dxa" w:w="2880"/>
          </w:tcPr>
          <w:p>
            <w:r>
              <w:rPr>
                <w:sz w:val="18"/>
              </w:rPr>
              <w:t>Voldoet</w:t>
            </w:r>
          </w:p>
        </w:tc>
      </w:tr>
    </w:tbl>
    <w:p>
      <w:pPr>
        <w:pStyle w:val="Heading2"/>
      </w:pPr>
      <w:r>
        <w:t>6.3 Organisatorische maatregelen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w:t>
            </w:r>
          </w:p>
        </w:tc>
        <w:tc>
          <w:tcPr>
            <w:tcW w:type="dxa" w:w="2880"/>
          </w:tcPr>
          <w:p>
            <w:r>
              <w:rPr>
                <w:b/>
                <w:sz w:val="18"/>
              </w:rPr>
              <w:t>Beschrijving</w:t>
            </w:r>
          </w:p>
        </w:tc>
        <w:tc>
          <w:tcPr>
            <w:tcW w:type="dxa" w:w="2880"/>
          </w:tcPr>
          <w:p>
            <w:r>
              <w:rPr>
                <w:b/>
                <w:sz w:val="18"/>
              </w:rPr>
              <w:t>Referentie</w:t>
            </w:r>
          </w:p>
        </w:tc>
      </w:tr>
      <w:tr>
        <w:tc>
          <w:tcPr>
            <w:tcW w:type="dxa" w:w="2880"/>
          </w:tcPr>
          <w:p>
            <w:r>
              <w:rPr>
                <w:sz w:val="18"/>
              </w:rPr>
              <w:t>HZS-plan</w:t>
            </w:r>
          </w:p>
        </w:tc>
        <w:tc>
          <w:tcPr>
            <w:tcW w:type="dxa" w:w="2880"/>
          </w:tcPr>
          <w:p>
            <w:r>
              <w:rPr>
                <w:sz w:val="18"/>
              </w:rPr>
              <w:t>Hulpverlening in samenspraak met veiligheidsregio Rotterdam-Rijnmond</w:t>
            </w:r>
          </w:p>
        </w:tc>
        <w:tc>
          <w:tcPr>
            <w:tcW w:type="dxa" w:w="2880"/>
          </w:tcPr>
          <w:p>
            <w:r>
              <w:rPr>
                <w:sz w:val="18"/>
              </w:rPr>
              <w:t>Wet veiligheidsregio's art. 25</w:t>
            </w:r>
          </w:p>
        </w:tc>
      </w:tr>
      <w:tr>
        <w:tc>
          <w:tcPr>
            <w:tcW w:type="dxa" w:w="2880"/>
          </w:tcPr>
          <w:p>
            <w:r>
              <w:rPr>
                <w:sz w:val="18"/>
              </w:rPr>
              <w:t>RI&amp;E</w:t>
            </w:r>
          </w:p>
        </w:tc>
        <w:tc>
          <w:tcPr>
            <w:tcW w:type="dxa" w:w="2880"/>
          </w:tcPr>
          <w:p>
            <w:r>
              <w:rPr>
                <w:sz w:val="18"/>
              </w:rPr>
              <w:t>Risico-inventarisatie incl. gevaarlijke stoffen, CMR, straling</w:t>
            </w:r>
          </w:p>
        </w:tc>
        <w:tc>
          <w:tcPr>
            <w:tcW w:type="dxa" w:w="2880"/>
          </w:tcPr>
          <w:p>
            <w:r>
              <w:rPr>
                <w:sz w:val="18"/>
              </w:rPr>
              <w:t>Arbowet art. 5</w:t>
            </w:r>
          </w:p>
        </w:tc>
      </w:tr>
      <w:tr>
        <w:tc>
          <w:tcPr>
            <w:tcW w:type="dxa" w:w="2880"/>
          </w:tcPr>
          <w:p>
            <w:r>
              <w:rPr>
                <w:sz w:val="18"/>
              </w:rPr>
              <w:t>Werkplekinstructie</w:t>
            </w:r>
          </w:p>
        </w:tc>
        <w:tc>
          <w:tcPr>
            <w:tcW w:type="dxa" w:w="2880"/>
          </w:tcPr>
          <w:p>
            <w:r>
              <w:rPr>
                <w:sz w:val="18"/>
              </w:rPr>
              <w:t>Instructiekaarten per stof: gevaren, PBM's, lekkageprocedure</w:t>
            </w:r>
          </w:p>
        </w:tc>
        <w:tc>
          <w:tcPr>
            <w:tcW w:type="dxa" w:w="2880"/>
          </w:tcPr>
          <w:p>
            <w:r>
              <w:rPr>
                <w:sz w:val="18"/>
              </w:rPr>
              <w:t>PGS 15 M120</w:t>
            </w:r>
          </w:p>
        </w:tc>
      </w:tr>
      <w:tr>
        <w:tc>
          <w:tcPr>
            <w:tcW w:type="dxa" w:w="2880"/>
          </w:tcPr>
          <w:p>
            <w:r>
              <w:rPr>
                <w:sz w:val="18"/>
              </w:rPr>
              <w:t>Stoffenregister</w:t>
            </w:r>
          </w:p>
        </w:tc>
        <w:tc>
          <w:tcPr>
            <w:tcW w:type="dxa" w:w="2880"/>
          </w:tcPr>
          <w:p>
            <w:r>
              <w:rPr>
                <w:sz w:val="18"/>
              </w:rPr>
              <w:t>Actuele lijst opgeslagen stoffen incl. SDS-referenties</w:t>
            </w:r>
          </w:p>
        </w:tc>
        <w:tc>
          <w:tcPr>
            <w:tcW w:type="dxa" w:w="2880"/>
          </w:tcPr>
          <w:p>
            <w:r>
              <w:rPr>
                <w:sz w:val="18"/>
              </w:rPr>
              <w:t>PGS 15 M116</w:t>
            </w:r>
          </w:p>
        </w:tc>
      </w:tr>
      <w:tr>
        <w:tc>
          <w:tcPr>
            <w:tcW w:type="dxa" w:w="2880"/>
          </w:tcPr>
          <w:p>
            <w:r>
              <w:rPr>
                <w:sz w:val="18"/>
              </w:rPr>
              <w:t>Calamiteiteninstructie</w:t>
            </w:r>
          </w:p>
        </w:tc>
        <w:tc>
          <w:tcPr>
            <w:tcW w:type="dxa" w:w="2880"/>
          </w:tcPr>
          <w:p>
            <w:r>
              <w:rPr>
                <w:sz w:val="18"/>
              </w:rPr>
              <w:t>Zichtbaar bij opslag: contactgegevens, eerste maatregelen</w:t>
            </w:r>
          </w:p>
        </w:tc>
        <w:tc>
          <w:tcPr>
            <w:tcW w:type="dxa" w:w="2880"/>
          </w:tcPr>
          <w:p>
            <w:r>
              <w:rPr>
                <w:sz w:val="18"/>
              </w:rPr>
              <w:t>PGS 15 M121</w:t>
            </w:r>
          </w:p>
        </w:tc>
      </w:tr>
      <w:tr>
        <w:tc>
          <w:tcPr>
            <w:tcW w:type="dxa" w:w="2880"/>
          </w:tcPr>
          <w:p>
            <w:r>
              <w:rPr>
                <w:sz w:val="18"/>
              </w:rPr>
              <w:t>Training</w:t>
            </w:r>
          </w:p>
        </w:tc>
        <w:tc>
          <w:tcPr>
            <w:tcW w:type="dxa" w:w="2880"/>
          </w:tcPr>
          <w:p>
            <w:r>
              <w:rPr>
                <w:sz w:val="18"/>
              </w:rPr>
              <w:t>Periodieke instructie medewerkers (min. jaarlijks)</w:t>
            </w:r>
          </w:p>
        </w:tc>
        <w:tc>
          <w:tcPr>
            <w:tcW w:type="dxa" w:w="2880"/>
          </w:tcPr>
          <w:p>
            <w:r>
              <w:rPr>
                <w:sz w:val="18"/>
              </w:rPr>
              <w:t>PGS 15 §7.4.3</w:t>
            </w:r>
          </w:p>
        </w:tc>
      </w:tr>
      <w:tr>
        <w:tc>
          <w:tcPr>
            <w:tcW w:type="dxa" w:w="2880"/>
          </w:tcPr>
          <w:p>
            <w:r>
              <w:rPr>
                <w:sz w:val="18"/>
              </w:rPr>
              <w:t>Plattegrond</w:t>
            </w:r>
          </w:p>
        </w:tc>
        <w:tc>
          <w:tcPr>
            <w:tcW w:type="dxa" w:w="2880"/>
          </w:tcPr>
          <w:p>
            <w:r>
              <w:rPr>
                <w:sz w:val="18"/>
              </w:rPr>
              <w:t>Actuele opslagplattegrond beschikbaar voor brandweer</w:t>
            </w:r>
          </w:p>
        </w:tc>
        <w:tc>
          <w:tcPr>
            <w:tcW w:type="dxa" w:w="2880"/>
          </w:tcPr>
          <w:p>
            <w:r>
              <w:rPr>
                <w:sz w:val="18"/>
              </w:rPr>
              <w:t>PGS 15 M116</w:t>
            </w:r>
          </w:p>
        </w:tc>
      </w:tr>
    </w:tbl>
    <w:p>
      <w:pPr>
        <w:pStyle w:val="Heading2"/>
      </w:pPr>
      <w:r>
        <w:t>6.4 PBM's bij omgang met opgeslagen stoffen</w:t>
      </w:r>
    </w:p>
    <w:tbl>
      <w:tblPr>
        <w:tblStyle w:val="LightGrid-Accent1"/>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b/>
                <w:sz w:val="18"/>
              </w:rPr>
              <w:t>Stofgroep</w:t>
            </w:r>
          </w:p>
        </w:tc>
        <w:tc>
          <w:tcPr>
            <w:tcW w:type="dxa" w:w="1728"/>
          </w:tcPr>
          <w:p>
            <w:r>
              <w:rPr>
                <w:b/>
                <w:sz w:val="18"/>
              </w:rPr>
              <w:t>Handschoenen</w:t>
            </w:r>
          </w:p>
        </w:tc>
        <w:tc>
          <w:tcPr>
            <w:tcW w:type="dxa" w:w="1728"/>
          </w:tcPr>
          <w:p>
            <w:r>
              <w:rPr>
                <w:b/>
                <w:sz w:val="18"/>
              </w:rPr>
              <w:t>Oogbescherming</w:t>
            </w:r>
          </w:p>
        </w:tc>
        <w:tc>
          <w:tcPr>
            <w:tcW w:type="dxa" w:w="1728"/>
          </w:tcPr>
          <w:p>
            <w:r>
              <w:rPr>
                <w:b/>
                <w:sz w:val="18"/>
              </w:rPr>
              <w:t>Kleding</w:t>
            </w:r>
          </w:p>
        </w:tc>
        <w:tc>
          <w:tcPr>
            <w:tcW w:type="dxa" w:w="1728"/>
          </w:tcPr>
          <w:p>
            <w:r>
              <w:rPr>
                <w:b/>
                <w:sz w:val="18"/>
              </w:rPr>
              <w:t>Adembescherming</w:t>
            </w:r>
          </w:p>
        </w:tc>
      </w:tr>
      <w:tr>
        <w:tc>
          <w:tcPr>
            <w:tcW w:type="dxa" w:w="1728"/>
          </w:tcPr>
          <w:p>
            <w:r>
              <w:rPr>
                <w:sz w:val="18"/>
              </w:rPr>
              <w:t>NaOH 50%</w:t>
            </w:r>
          </w:p>
        </w:tc>
        <w:tc>
          <w:tcPr>
            <w:tcW w:type="dxa" w:w="1728"/>
          </w:tcPr>
          <w:p>
            <w:r>
              <w:rPr>
                <w:sz w:val="18"/>
              </w:rPr>
              <w:t>PVC/nitril (bijtbestendig)</w:t>
            </w:r>
          </w:p>
        </w:tc>
        <w:tc>
          <w:tcPr>
            <w:tcW w:type="dxa" w:w="1728"/>
          </w:tcPr>
          <w:p>
            <w:r>
              <w:rPr>
                <w:sz w:val="18"/>
              </w:rPr>
              <w:t>Veiligheidsbril + face shield</w:t>
            </w:r>
          </w:p>
        </w:tc>
        <w:tc>
          <w:tcPr>
            <w:tcW w:type="dxa" w:w="1728"/>
          </w:tcPr>
          <w:p>
            <w:r>
              <w:rPr>
                <w:sz w:val="18"/>
              </w:rPr>
              <w:t>Zuurbestendig pak/schort</w:t>
            </w:r>
          </w:p>
        </w:tc>
        <w:tc>
          <w:tcPr>
            <w:tcW w:type="dxa" w:w="1728"/>
          </w:tcPr>
          <w:p>
            <w:r>
              <w:rPr>
                <w:sz w:val="18"/>
              </w:rPr>
              <w:t>Niet standaard (bij dampen: FFP2)</w:t>
            </w:r>
          </w:p>
        </w:tc>
      </w:tr>
      <w:tr>
        <w:tc>
          <w:tcPr>
            <w:tcW w:type="dxa" w:w="1728"/>
          </w:tcPr>
          <w:p>
            <w:r>
              <w:rPr>
                <w:sz w:val="18"/>
              </w:rPr>
              <w:t>H₂SO₄ (25-75%)</w:t>
            </w:r>
          </w:p>
        </w:tc>
        <w:tc>
          <w:tcPr>
            <w:tcW w:type="dxa" w:w="1728"/>
          </w:tcPr>
          <w:p>
            <w:r>
              <w:rPr>
                <w:sz w:val="18"/>
              </w:rPr>
              <w:t>PVC/nitril (zuurbestendig)</w:t>
            </w:r>
          </w:p>
        </w:tc>
        <w:tc>
          <w:tcPr>
            <w:tcW w:type="dxa" w:w="1728"/>
          </w:tcPr>
          <w:p>
            <w:r>
              <w:rPr>
                <w:sz w:val="18"/>
              </w:rPr>
              <w:t>Veiligheidsbril + face shield</w:t>
            </w:r>
          </w:p>
        </w:tc>
        <w:tc>
          <w:tcPr>
            <w:tcW w:type="dxa" w:w="1728"/>
          </w:tcPr>
          <w:p>
            <w:r>
              <w:rPr>
                <w:sz w:val="18"/>
              </w:rPr>
              <w:t>Zuurbestendig pak/schort</w:t>
            </w:r>
          </w:p>
        </w:tc>
        <w:tc>
          <w:tcPr>
            <w:tcW w:type="dxa" w:w="1728"/>
          </w:tcPr>
          <w:p>
            <w:r>
              <w:rPr>
                <w:sz w:val="18"/>
              </w:rPr>
              <w:t>Niet standaard (bij dampen: FFP2)</w:t>
            </w:r>
          </w:p>
        </w:tc>
      </w:tr>
      <w:tr>
        <w:tc>
          <w:tcPr>
            <w:tcW w:type="dxa" w:w="1728"/>
          </w:tcPr>
          <w:p>
            <w:r>
              <w:rPr>
                <w:sz w:val="18"/>
              </w:rPr>
              <w:t>SARU-ash</w:t>
            </w:r>
          </w:p>
        </w:tc>
        <w:tc>
          <w:tcPr>
            <w:tcW w:type="dxa" w:w="1728"/>
          </w:tcPr>
          <w:p>
            <w:r>
              <w:rPr>
                <w:sz w:val="18"/>
              </w:rPr>
              <w:t>Nitril handschoenen</w:t>
            </w:r>
          </w:p>
        </w:tc>
        <w:tc>
          <w:tcPr>
            <w:tcW w:type="dxa" w:w="1728"/>
          </w:tcPr>
          <w:p>
            <w:r>
              <w:rPr>
                <w:sz w:val="18"/>
              </w:rPr>
              <w:t>Veiligheidsbril</w:t>
            </w:r>
          </w:p>
        </w:tc>
        <w:tc>
          <w:tcPr>
            <w:tcW w:type="dxa" w:w="1728"/>
          </w:tcPr>
          <w:p>
            <w:r>
              <w:rPr>
                <w:sz w:val="18"/>
              </w:rPr>
              <w:t>Beschermende kleding</w:t>
            </w:r>
          </w:p>
        </w:tc>
        <w:tc>
          <w:tcPr>
            <w:tcW w:type="dxa" w:w="1728"/>
          </w:tcPr>
          <w:p>
            <w:r>
              <w:rPr>
                <w:sz w:val="18"/>
              </w:rPr>
              <w:t>FFP3 (stofvormig, CMR)</w:t>
            </w:r>
          </w:p>
        </w:tc>
      </w:tr>
      <w:tr>
        <w:tc>
          <w:tcPr>
            <w:tcW w:type="dxa" w:w="1728"/>
          </w:tcPr>
          <w:p>
            <w:r>
              <w:rPr>
                <w:sz w:val="18"/>
              </w:rPr>
              <w:t>Vanadium-elektrolyt</w:t>
            </w:r>
          </w:p>
        </w:tc>
        <w:tc>
          <w:tcPr>
            <w:tcW w:type="dxa" w:w="1728"/>
          </w:tcPr>
          <w:p>
            <w:r>
              <w:rPr>
                <w:sz w:val="18"/>
              </w:rPr>
              <w:t>Nitril/PVC handschoenen</w:t>
            </w:r>
          </w:p>
        </w:tc>
        <w:tc>
          <w:tcPr>
            <w:tcW w:type="dxa" w:w="1728"/>
          </w:tcPr>
          <w:p>
            <w:r>
              <w:rPr>
                <w:sz w:val="18"/>
              </w:rPr>
              <w:t>Veiligheidsbril</w:t>
            </w:r>
          </w:p>
        </w:tc>
        <w:tc>
          <w:tcPr>
            <w:tcW w:type="dxa" w:w="1728"/>
          </w:tcPr>
          <w:p>
            <w:r>
              <w:rPr>
                <w:sz w:val="18"/>
              </w:rPr>
              <w:t>Labjas + schort</w:t>
            </w:r>
          </w:p>
        </w:tc>
        <w:tc>
          <w:tcPr>
            <w:tcW w:type="dxa" w:w="1728"/>
          </w:tcPr>
          <w:p>
            <w:r>
              <w:rPr>
                <w:sz w:val="18"/>
              </w:rPr>
              <w:t>Bij verneveling: FFP2</w:t>
            </w:r>
          </w:p>
        </w:tc>
      </w:tr>
    </w:tbl>
    <w:p>
      <w:r>
        <w:br w:type="page"/>
      </w:r>
    </w:p>
    <w:p>
      <w:pPr>
        <w:pStyle w:val="Heading1"/>
      </w:pPr>
      <w:r>
        <w:t>7. Concrete Actielijst</w:t>
      </w:r>
    </w:p>
    <w:p>
      <w:pPr>
        <w:pStyle w:val="Heading2"/>
      </w:pPr>
      <w:r>
        <w:t>7.1 Demo-fase (huidig)</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rPr>
                <w:b/>
                <w:sz w:val="18"/>
              </w:rPr>
              <w:t>#</w:t>
            </w:r>
          </w:p>
        </w:tc>
        <w:tc>
          <w:tcPr>
            <w:tcW w:type="dxa" w:w="1440"/>
          </w:tcPr>
          <w:p>
            <w:r>
              <w:rPr>
                <w:b/>
                <w:sz w:val="18"/>
              </w:rPr>
              <w:t>Actie</w:t>
            </w:r>
          </w:p>
        </w:tc>
        <w:tc>
          <w:tcPr>
            <w:tcW w:type="dxa" w:w="1440"/>
          </w:tcPr>
          <w:p>
            <w:r>
              <w:rPr>
                <w:b/>
                <w:sz w:val="18"/>
              </w:rPr>
              <w:t>Prioriteit</w:t>
            </w:r>
          </w:p>
        </w:tc>
        <w:tc>
          <w:tcPr>
            <w:tcW w:type="dxa" w:w="1440"/>
          </w:tcPr>
          <w:p>
            <w:r>
              <w:rPr>
                <w:b/>
                <w:sz w:val="18"/>
              </w:rPr>
              <w:t>Termijn</w:t>
            </w:r>
          </w:p>
        </w:tc>
        <w:tc>
          <w:tcPr>
            <w:tcW w:type="dxa" w:w="1440"/>
          </w:tcPr>
          <w:p>
            <w:r>
              <w:rPr>
                <w:b/>
                <w:sz w:val="18"/>
              </w:rPr>
              <w:t>Verantwoordelijke</w:t>
            </w:r>
          </w:p>
        </w:tc>
        <w:tc>
          <w:tcPr>
            <w:tcW w:type="dxa" w:w="1440"/>
          </w:tcPr>
          <w:p>
            <w:r>
              <w:rPr>
                <w:b/>
                <w:sz w:val="18"/>
              </w:rPr>
              <w:t>Status</w:t>
            </w:r>
          </w:p>
        </w:tc>
      </w:tr>
      <w:tr>
        <w:tc>
          <w:tcPr>
            <w:tcW w:type="dxa" w:w="1440"/>
          </w:tcPr>
          <w:p>
            <w:r>
              <w:rPr>
                <w:sz w:val="18"/>
              </w:rPr>
              <w:t>1</w:t>
            </w:r>
          </w:p>
        </w:tc>
        <w:tc>
          <w:tcPr>
            <w:tcW w:type="dxa" w:w="1440"/>
          </w:tcPr>
          <w:p>
            <w:r>
              <w:rPr>
                <w:sz w:val="18"/>
              </w:rPr>
              <w:t>Opvangbak plaatsen onder chemie-rack (110% grootste verpakking)</w:t>
            </w:r>
          </w:p>
        </w:tc>
        <w:tc>
          <w:tcPr>
            <w:tcW w:type="dxa" w:w="1440"/>
          </w:tcPr>
          <w:p>
            <w:r>
              <w:rPr>
                <w:sz w:val="18"/>
              </w:rPr>
              <w:t>Hoog</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r>
        <w:tc>
          <w:tcPr>
            <w:tcW w:type="dxa" w:w="1440"/>
          </w:tcPr>
          <w:p>
            <w:r>
              <w:rPr>
                <w:sz w:val="18"/>
              </w:rPr>
              <w:t>2</w:t>
            </w:r>
          </w:p>
        </w:tc>
        <w:tc>
          <w:tcPr>
            <w:tcW w:type="dxa" w:w="1440"/>
          </w:tcPr>
          <w:p>
            <w:r>
              <w:rPr>
                <w:sz w:val="18"/>
              </w:rPr>
              <w:t>Scheiding zuur/base op rack realiseren (fysieke afscheiding)</w:t>
            </w:r>
          </w:p>
        </w:tc>
        <w:tc>
          <w:tcPr>
            <w:tcW w:type="dxa" w:w="1440"/>
          </w:tcPr>
          <w:p>
            <w:r>
              <w:rPr>
                <w:sz w:val="18"/>
              </w:rPr>
              <w:t>Hoog</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r>
        <w:tc>
          <w:tcPr>
            <w:tcW w:type="dxa" w:w="1440"/>
          </w:tcPr>
          <w:p>
            <w:r>
              <w:rPr>
                <w:sz w:val="18"/>
              </w:rPr>
              <w:t>3</w:t>
            </w:r>
          </w:p>
        </w:tc>
        <w:tc>
          <w:tcPr>
            <w:tcW w:type="dxa" w:w="1440"/>
          </w:tcPr>
          <w:p>
            <w:r>
              <w:rPr>
                <w:sz w:val="18"/>
              </w:rPr>
              <w:t>ADR-etiketten (klasse 8 + 9) aanbrengen op opslaglocatie</w:t>
            </w:r>
          </w:p>
        </w:tc>
        <w:tc>
          <w:tcPr>
            <w:tcW w:type="dxa" w:w="1440"/>
          </w:tcPr>
          <w:p>
            <w:r>
              <w:rPr>
                <w:sz w:val="18"/>
              </w:rPr>
              <w:t>Hoog</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r>
        <w:tc>
          <w:tcPr>
            <w:tcW w:type="dxa" w:w="1440"/>
          </w:tcPr>
          <w:p>
            <w:r>
              <w:rPr>
                <w:sz w:val="18"/>
              </w:rPr>
              <w:t>4</w:t>
            </w:r>
          </w:p>
        </w:tc>
        <w:tc>
          <w:tcPr>
            <w:tcW w:type="dxa" w:w="1440"/>
          </w:tcPr>
          <w:p>
            <w:r>
              <w:rPr>
                <w:sz w:val="18"/>
              </w:rPr>
              <w:t>Verbodsbord "Roken en open vuur verboden" plaatsen</w:t>
            </w:r>
          </w:p>
        </w:tc>
        <w:tc>
          <w:tcPr>
            <w:tcW w:type="dxa" w:w="1440"/>
          </w:tcPr>
          <w:p>
            <w:r>
              <w:rPr>
                <w:sz w:val="18"/>
              </w:rPr>
              <w:t>Hoog</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r>
        <w:tc>
          <w:tcPr>
            <w:tcW w:type="dxa" w:w="1440"/>
          </w:tcPr>
          <w:p>
            <w:r>
              <w:rPr>
                <w:sz w:val="18"/>
              </w:rPr>
              <w:t>5</w:t>
            </w:r>
          </w:p>
        </w:tc>
        <w:tc>
          <w:tcPr>
            <w:tcW w:type="dxa" w:w="1440"/>
          </w:tcPr>
          <w:p>
            <w:r>
              <w:rPr>
                <w:sz w:val="18"/>
              </w:rPr>
              <w:t>Neutralisatiemiddelen (soda + citroenzuur) beschikbaar stellen</w:t>
            </w:r>
          </w:p>
        </w:tc>
        <w:tc>
          <w:tcPr>
            <w:tcW w:type="dxa" w:w="1440"/>
          </w:tcPr>
          <w:p>
            <w:r>
              <w:rPr>
                <w:sz w:val="18"/>
              </w:rPr>
              <w:t>Hoog</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r>
        <w:tc>
          <w:tcPr>
            <w:tcW w:type="dxa" w:w="1440"/>
          </w:tcPr>
          <w:p>
            <w:r>
              <w:rPr>
                <w:sz w:val="18"/>
              </w:rPr>
              <w:t>6</w:t>
            </w:r>
          </w:p>
        </w:tc>
        <w:tc>
          <w:tcPr>
            <w:tcW w:type="dxa" w:w="1440"/>
          </w:tcPr>
          <w:p>
            <w:r>
              <w:rPr>
                <w:sz w:val="18"/>
              </w:rPr>
              <w:t>Absorptiemateriaal (universeel + zuurbestendig) beschikbaar stellen</w:t>
            </w:r>
          </w:p>
        </w:tc>
        <w:tc>
          <w:tcPr>
            <w:tcW w:type="dxa" w:w="1440"/>
          </w:tcPr>
          <w:p>
            <w:r>
              <w:rPr>
                <w:sz w:val="18"/>
              </w:rPr>
              <w:t>Midden</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r>
        <w:tc>
          <w:tcPr>
            <w:tcW w:type="dxa" w:w="1440"/>
          </w:tcPr>
          <w:p>
            <w:r>
              <w:rPr>
                <w:sz w:val="18"/>
              </w:rPr>
              <w:t>7</w:t>
            </w:r>
          </w:p>
        </w:tc>
        <w:tc>
          <w:tcPr>
            <w:tcW w:type="dxa" w:w="1440"/>
          </w:tcPr>
          <w:p>
            <w:r>
              <w:rPr>
                <w:sz w:val="18"/>
              </w:rPr>
              <w:t>Lekkage-instructie opstellen en zichtbaar ophangen</w:t>
            </w:r>
          </w:p>
        </w:tc>
        <w:tc>
          <w:tcPr>
            <w:tcW w:type="dxa" w:w="1440"/>
          </w:tcPr>
          <w:p>
            <w:r>
              <w:rPr>
                <w:sz w:val="18"/>
              </w:rPr>
              <w:t>Hoog</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r>
        <w:tc>
          <w:tcPr>
            <w:tcW w:type="dxa" w:w="1440"/>
          </w:tcPr>
          <w:p>
            <w:r>
              <w:rPr>
                <w:sz w:val="18"/>
              </w:rPr>
              <w:t>8</w:t>
            </w:r>
          </w:p>
        </w:tc>
        <w:tc>
          <w:tcPr>
            <w:tcW w:type="dxa" w:w="1440"/>
          </w:tcPr>
          <w:p>
            <w:r>
              <w:rPr>
                <w:sz w:val="18"/>
              </w:rPr>
              <w:t>Stoffenregister actualiseren incl. SDS-referenties</w:t>
            </w:r>
          </w:p>
        </w:tc>
        <w:tc>
          <w:tcPr>
            <w:tcW w:type="dxa" w:w="1440"/>
          </w:tcPr>
          <w:p>
            <w:r>
              <w:rPr>
                <w:sz w:val="18"/>
              </w:rPr>
              <w:t>Midden</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r>
        <w:tc>
          <w:tcPr>
            <w:tcW w:type="dxa" w:w="1440"/>
          </w:tcPr>
          <w:p>
            <w:r>
              <w:rPr>
                <w:sz w:val="18"/>
              </w:rPr>
              <w:t>9</w:t>
            </w:r>
          </w:p>
        </w:tc>
        <w:tc>
          <w:tcPr>
            <w:tcW w:type="dxa" w:w="1440"/>
          </w:tcPr>
          <w:p>
            <w:r>
              <w:rPr>
                <w:sz w:val="18"/>
              </w:rPr>
              <w:t>Calamiteiteninstructie opstellen (incl. contactgegevens)</w:t>
            </w:r>
          </w:p>
        </w:tc>
        <w:tc>
          <w:tcPr>
            <w:tcW w:type="dxa" w:w="1440"/>
          </w:tcPr>
          <w:p>
            <w:r>
              <w:rPr>
                <w:sz w:val="18"/>
              </w:rPr>
              <w:t>Hoog</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r>
        <w:tc>
          <w:tcPr>
            <w:tcW w:type="dxa" w:w="1440"/>
          </w:tcPr>
          <w:p>
            <w:r>
              <w:rPr>
                <w:sz w:val="18"/>
              </w:rPr>
              <w:t>10</w:t>
            </w:r>
          </w:p>
        </w:tc>
        <w:tc>
          <w:tcPr>
            <w:tcW w:type="dxa" w:w="1440"/>
          </w:tcPr>
          <w:p>
            <w:r>
              <w:rPr>
                <w:sz w:val="18"/>
              </w:rPr>
              <w:t>PBM-matrix finaliseren en distribueren</w:t>
            </w:r>
          </w:p>
        </w:tc>
        <w:tc>
          <w:tcPr>
            <w:tcW w:type="dxa" w:w="1440"/>
          </w:tcPr>
          <w:p>
            <w:r>
              <w:rPr>
                <w:sz w:val="18"/>
              </w:rPr>
              <w:t>Midden</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r>
        <w:tc>
          <w:tcPr>
            <w:tcW w:type="dxa" w:w="1440"/>
          </w:tcPr>
          <w:p>
            <w:r>
              <w:rPr>
                <w:sz w:val="18"/>
              </w:rPr>
              <w:t>11</w:t>
            </w:r>
          </w:p>
        </w:tc>
        <w:tc>
          <w:tcPr>
            <w:tcW w:type="dxa" w:w="1440"/>
          </w:tcPr>
          <w:p>
            <w:r>
              <w:rPr>
                <w:sz w:val="18"/>
              </w:rPr>
              <w:t>RI&amp;E actualiseren met PGS 15-maatregelen</w:t>
            </w:r>
          </w:p>
        </w:tc>
        <w:tc>
          <w:tcPr>
            <w:tcW w:type="dxa" w:w="1440"/>
          </w:tcPr>
          <w:p>
            <w:r>
              <w:rPr>
                <w:sz w:val="18"/>
              </w:rPr>
              <w:t>Midden</w:t>
            </w:r>
          </w:p>
        </w:tc>
        <w:tc>
          <w:tcPr>
            <w:tcW w:type="dxa" w:w="1440"/>
          </w:tcPr>
          <w:p>
            <w:r>
              <w:rPr>
                <w:sz w:val="18"/>
              </w:rPr>
              <w:t>Week 1 demo</w:t>
            </w:r>
          </w:p>
        </w:tc>
        <w:tc>
          <w:tcPr>
            <w:tcW w:type="dxa" w:w="1440"/>
          </w:tcPr>
          <w:p>
            <w:r>
              <w:rPr>
                <w:sz w:val="18"/>
              </w:rPr>
              <w:t>HSE Manager</w:t>
            </w:r>
          </w:p>
        </w:tc>
        <w:tc>
          <w:tcPr>
            <w:tcW w:type="dxa" w:w="1440"/>
          </w:tcPr>
          <w:p>
            <w:r>
              <w:rPr>
                <w:sz w:val="18"/>
              </w:rPr>
              <w:t>Open</w:t>
            </w:r>
          </w:p>
        </w:tc>
      </w:tr>
      <w:tr>
        <w:tc>
          <w:tcPr>
            <w:tcW w:type="dxa" w:w="1440"/>
          </w:tcPr>
          <w:p>
            <w:r>
              <w:rPr>
                <w:sz w:val="18"/>
              </w:rPr>
              <w:t>12</w:t>
            </w:r>
          </w:p>
        </w:tc>
        <w:tc>
          <w:tcPr>
            <w:tcW w:type="dxa" w:w="1440"/>
          </w:tcPr>
          <w:p>
            <w:r>
              <w:rPr>
                <w:sz w:val="18"/>
              </w:rPr>
              <w:t>Oprichting plattegrond opslaglocatie voor brandweer</w:t>
            </w:r>
          </w:p>
        </w:tc>
        <w:tc>
          <w:tcPr>
            <w:tcW w:type="dxa" w:w="1440"/>
          </w:tcPr>
          <w:p>
            <w:r>
              <w:rPr>
                <w:sz w:val="18"/>
              </w:rPr>
              <w:t>Laag</w:t>
            </w:r>
          </w:p>
        </w:tc>
        <w:tc>
          <w:tcPr>
            <w:tcW w:type="dxa" w:w="1440"/>
          </w:tcPr>
          <w:p>
            <w:r>
              <w:rPr>
                <w:sz w:val="18"/>
              </w:rPr>
              <w:t>Week 2 demo</w:t>
            </w:r>
          </w:p>
        </w:tc>
        <w:tc>
          <w:tcPr>
            <w:tcW w:type="dxa" w:w="1440"/>
          </w:tcPr>
          <w:p>
            <w:r>
              <w:rPr>
                <w:sz w:val="18"/>
              </w:rPr>
              <w:t>HSE Manager</w:t>
            </w:r>
          </w:p>
        </w:tc>
        <w:tc>
          <w:tcPr>
            <w:tcW w:type="dxa" w:w="1440"/>
          </w:tcPr>
          <w:p>
            <w:r>
              <w:rPr>
                <w:sz w:val="18"/>
              </w:rPr>
              <w:t>Open</w:t>
            </w:r>
          </w:p>
        </w:tc>
      </w:tr>
      <w:tr>
        <w:tc>
          <w:tcPr>
            <w:tcW w:type="dxa" w:w="1440"/>
          </w:tcPr>
          <w:p>
            <w:r>
              <w:rPr>
                <w:sz w:val="18"/>
              </w:rPr>
              <w:t>13</w:t>
            </w:r>
          </w:p>
        </w:tc>
        <w:tc>
          <w:tcPr>
            <w:tcW w:type="dxa" w:w="1440"/>
          </w:tcPr>
          <w:p>
            <w:r>
              <w:rPr>
                <w:sz w:val="18"/>
              </w:rPr>
              <w:t>Stralingsbeoordeling SARU-ash (SBD Van Driel BV)</w:t>
            </w:r>
          </w:p>
        </w:tc>
        <w:tc>
          <w:tcPr>
            <w:tcW w:type="dxa" w:w="1440"/>
          </w:tcPr>
          <w:p>
            <w:r>
              <w:rPr>
                <w:sz w:val="18"/>
              </w:rPr>
              <w:t>Hoog</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r>
        <w:tc>
          <w:tcPr>
            <w:tcW w:type="dxa" w:w="1440"/>
          </w:tcPr>
          <w:p>
            <w:r>
              <w:rPr>
                <w:sz w:val="18"/>
              </w:rPr>
              <w:t>14</w:t>
            </w:r>
          </w:p>
        </w:tc>
        <w:tc>
          <w:tcPr>
            <w:tcW w:type="dxa" w:w="1440"/>
          </w:tcPr>
          <w:p>
            <w:r>
              <w:rPr>
                <w:sz w:val="18"/>
              </w:rPr>
              <w:t>Werkplekinstructiekaarten per stofgroep opstellen</w:t>
            </w:r>
          </w:p>
        </w:tc>
        <w:tc>
          <w:tcPr>
            <w:tcW w:type="dxa" w:w="1440"/>
          </w:tcPr>
          <w:p>
            <w:r>
              <w:rPr>
                <w:sz w:val="18"/>
              </w:rPr>
              <w:t>Midden</w:t>
            </w:r>
          </w:p>
        </w:tc>
        <w:tc>
          <w:tcPr>
            <w:tcW w:type="dxa" w:w="1440"/>
          </w:tcPr>
          <w:p>
            <w:r>
              <w:rPr>
                <w:sz w:val="18"/>
              </w:rPr>
              <w:t>Week 1 demo</w:t>
            </w:r>
          </w:p>
        </w:tc>
        <w:tc>
          <w:tcPr>
            <w:tcW w:type="dxa" w:w="1440"/>
          </w:tcPr>
          <w:p>
            <w:r>
              <w:rPr>
                <w:sz w:val="18"/>
              </w:rPr>
              <w:t>HSE Manager</w:t>
            </w:r>
          </w:p>
        </w:tc>
        <w:tc>
          <w:tcPr>
            <w:tcW w:type="dxa" w:w="1440"/>
          </w:tcPr>
          <w:p>
            <w:r>
              <w:rPr>
                <w:sz w:val="18"/>
              </w:rPr>
              <w:t>Open</w:t>
            </w:r>
          </w:p>
        </w:tc>
      </w:tr>
      <w:tr>
        <w:tc>
          <w:tcPr>
            <w:tcW w:type="dxa" w:w="1440"/>
          </w:tcPr>
          <w:p>
            <w:r>
              <w:rPr>
                <w:sz w:val="18"/>
              </w:rPr>
              <w:t>15</w:t>
            </w:r>
          </w:p>
        </w:tc>
        <w:tc>
          <w:tcPr>
            <w:tcW w:type="dxa" w:w="1440"/>
          </w:tcPr>
          <w:p>
            <w:r>
              <w:rPr>
                <w:sz w:val="18"/>
              </w:rPr>
              <w:t>Brandblusmiddelen controleren (type + locatie)</w:t>
            </w:r>
          </w:p>
        </w:tc>
        <w:tc>
          <w:tcPr>
            <w:tcW w:type="dxa" w:w="1440"/>
          </w:tcPr>
          <w:p>
            <w:r>
              <w:rPr>
                <w:sz w:val="18"/>
              </w:rPr>
              <w:t>Midden</w:t>
            </w:r>
          </w:p>
        </w:tc>
        <w:tc>
          <w:tcPr>
            <w:tcW w:type="dxa" w:w="1440"/>
          </w:tcPr>
          <w:p>
            <w:r>
              <w:rPr>
                <w:sz w:val="18"/>
              </w:rPr>
              <w:t>Voor start demo</w:t>
            </w:r>
          </w:p>
        </w:tc>
        <w:tc>
          <w:tcPr>
            <w:tcW w:type="dxa" w:w="1440"/>
          </w:tcPr>
          <w:p>
            <w:r>
              <w:rPr>
                <w:sz w:val="18"/>
              </w:rPr>
              <w:t>HSE Manager</w:t>
            </w:r>
          </w:p>
        </w:tc>
        <w:tc>
          <w:tcPr>
            <w:tcW w:type="dxa" w:w="1440"/>
          </w:tcPr>
          <w:p>
            <w:r>
              <w:rPr>
                <w:sz w:val="18"/>
              </w:rPr>
              <w:t>Open</w:t>
            </w:r>
          </w:p>
        </w:tc>
      </w:tr>
    </w:tbl>
    <w:p>
      <w:pPr>
        <w:pStyle w:val="Heading2"/>
      </w:pPr>
      <w:r>
        <w:t>7.2 Commerciële fase (toekomstig)</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w:t>
            </w:r>
          </w:p>
        </w:tc>
        <w:tc>
          <w:tcPr>
            <w:tcW w:type="dxa" w:w="2160"/>
          </w:tcPr>
          <w:p>
            <w:r>
              <w:rPr>
                <w:b/>
                <w:sz w:val="18"/>
              </w:rPr>
              <w:t>Actie</w:t>
            </w:r>
          </w:p>
        </w:tc>
        <w:tc>
          <w:tcPr>
            <w:tcW w:type="dxa" w:w="2160"/>
          </w:tcPr>
          <w:p>
            <w:r>
              <w:rPr>
                <w:b/>
                <w:sz w:val="18"/>
              </w:rPr>
              <w:t>Prioriteit</w:t>
            </w:r>
          </w:p>
        </w:tc>
        <w:tc>
          <w:tcPr>
            <w:tcW w:type="dxa" w:w="2160"/>
          </w:tcPr>
          <w:p>
            <w:r>
              <w:rPr>
                <w:b/>
                <w:sz w:val="18"/>
              </w:rPr>
              <w:t>Opmerking</w:t>
            </w:r>
          </w:p>
        </w:tc>
      </w:tr>
      <w:tr>
        <w:tc>
          <w:tcPr>
            <w:tcW w:type="dxa" w:w="2160"/>
          </w:tcPr>
          <w:p>
            <w:r>
              <w:rPr>
                <w:sz w:val="18"/>
              </w:rPr>
              <w:t>1</w:t>
            </w:r>
          </w:p>
        </w:tc>
        <w:tc>
          <w:tcPr>
            <w:tcW w:type="dxa" w:w="2160"/>
          </w:tcPr>
          <w:p>
            <w:r>
              <w:rPr>
                <w:sz w:val="18"/>
              </w:rPr>
              <w:t>PGS 15-risicoklasse herbeoordelen bij &gt;2.500 kg per ADR-klasse</w:t>
            </w:r>
          </w:p>
        </w:tc>
        <w:tc>
          <w:tcPr>
            <w:tcW w:type="dxa" w:w="2160"/>
          </w:tcPr>
          <w:p>
            <w:r>
              <w:rPr>
                <w:sz w:val="18"/>
              </w:rPr>
              <w:t>Hoog</w:t>
            </w:r>
          </w:p>
        </w:tc>
        <w:tc>
          <w:tcPr>
            <w:tcW w:type="dxa" w:w="2160"/>
          </w:tcPr>
          <w:p>
            <w:r>
              <w:rPr>
                <w:sz w:val="18"/>
              </w:rPr>
              <w:t>Kan leiden tot veiligheidsniveau A of C</w:t>
            </w:r>
          </w:p>
        </w:tc>
      </w:tr>
      <w:tr>
        <w:tc>
          <w:tcPr>
            <w:tcW w:type="dxa" w:w="2160"/>
          </w:tcPr>
          <w:p>
            <w:r>
              <w:rPr>
                <w:sz w:val="18"/>
              </w:rPr>
              <w:t>2</w:t>
            </w:r>
          </w:p>
        </w:tc>
        <w:tc>
          <w:tcPr>
            <w:tcW w:type="dxa" w:w="2160"/>
          </w:tcPr>
          <w:p>
            <w:r>
              <w:rPr>
                <w:sz w:val="18"/>
              </w:rPr>
              <w:t>BRZO-toepasselijkheid herbeoordelen</w:t>
            </w:r>
          </w:p>
        </w:tc>
        <w:tc>
          <w:tcPr>
            <w:tcW w:type="dxa" w:w="2160"/>
          </w:tcPr>
          <w:p>
            <w:r>
              <w:rPr>
                <w:sz w:val="18"/>
              </w:rPr>
              <w:t>Hoog</w:t>
            </w:r>
          </w:p>
        </w:tc>
        <w:tc>
          <w:tcPr>
            <w:tcW w:type="dxa" w:w="2160"/>
          </w:tcPr>
          <w:p>
            <w:r>
              <w:rPr>
                <w:sz w:val="18"/>
              </w:rPr>
              <w:t>Bij opschaling naar tonnenniveau</w:t>
            </w:r>
          </w:p>
        </w:tc>
      </w:tr>
      <w:tr>
        <w:tc>
          <w:tcPr>
            <w:tcW w:type="dxa" w:w="2160"/>
          </w:tcPr>
          <w:p>
            <w:r>
              <w:rPr>
                <w:sz w:val="18"/>
              </w:rPr>
              <w:t>3</w:t>
            </w:r>
          </w:p>
        </w:tc>
        <w:tc>
          <w:tcPr>
            <w:tcW w:type="dxa" w:w="2160"/>
          </w:tcPr>
          <w:p>
            <w:r>
              <w:rPr>
                <w:sz w:val="18"/>
              </w:rPr>
              <w:t>VBB-installatie ontwerpen (indien veiligheidsniveau A)</w:t>
            </w:r>
          </w:p>
        </w:tc>
        <w:tc>
          <w:tcPr>
            <w:tcW w:type="dxa" w:w="2160"/>
          </w:tcPr>
          <w:p>
            <w:r>
              <w:rPr>
                <w:sz w:val="18"/>
              </w:rPr>
              <w:t>Hoog</w:t>
            </w:r>
          </w:p>
        </w:tc>
        <w:tc>
          <w:tcPr>
            <w:tcW w:type="dxa" w:w="2160"/>
          </w:tcPr>
          <w:p>
            <w:r>
              <w:rPr>
                <w:sz w:val="18"/>
              </w:rPr>
              <w:t>PGS 14 UPD vereist</w:t>
            </w:r>
          </w:p>
        </w:tc>
      </w:tr>
      <w:tr>
        <w:tc>
          <w:tcPr>
            <w:tcW w:type="dxa" w:w="2160"/>
          </w:tcPr>
          <w:p>
            <w:r>
              <w:rPr>
                <w:sz w:val="18"/>
              </w:rPr>
              <w:t>4</w:t>
            </w:r>
          </w:p>
        </w:tc>
        <w:tc>
          <w:tcPr>
            <w:tcW w:type="dxa" w:w="2160"/>
          </w:tcPr>
          <w:p>
            <w:r>
              <w:rPr>
                <w:sz w:val="18"/>
              </w:rPr>
              <w:t>Wbdbo berekenen en realiseren (indien vereist)</w:t>
            </w:r>
          </w:p>
        </w:tc>
        <w:tc>
          <w:tcPr>
            <w:tcW w:type="dxa" w:w="2160"/>
          </w:tcPr>
          <w:p>
            <w:r>
              <w:rPr>
                <w:sz w:val="18"/>
              </w:rPr>
              <w:t>Hoog</w:t>
            </w:r>
          </w:p>
        </w:tc>
        <w:tc>
          <w:tcPr>
            <w:tcW w:type="dxa" w:w="2160"/>
          </w:tcPr>
          <w:p>
            <w:r>
              <w:rPr>
                <w:sz w:val="18"/>
              </w:rPr>
              <w:t>NEN 6068</w:t>
            </w:r>
          </w:p>
        </w:tc>
      </w:tr>
      <w:tr>
        <w:tc>
          <w:tcPr>
            <w:tcW w:type="dxa" w:w="2160"/>
          </w:tcPr>
          <w:p>
            <w:r>
              <w:rPr>
                <w:sz w:val="18"/>
              </w:rPr>
              <w:t>5</w:t>
            </w:r>
          </w:p>
        </w:tc>
        <w:tc>
          <w:tcPr>
            <w:tcW w:type="dxa" w:w="2160"/>
          </w:tcPr>
          <w:p>
            <w:r>
              <w:rPr>
                <w:sz w:val="18"/>
              </w:rPr>
              <w:t>Bluswateropvang voorzien (100% bij ADR-9 in veiligheidsniveau A)</w:t>
            </w:r>
          </w:p>
        </w:tc>
        <w:tc>
          <w:tcPr>
            <w:tcW w:type="dxa" w:w="2160"/>
          </w:tcPr>
          <w:p>
            <w:r>
              <w:rPr>
                <w:sz w:val="18"/>
              </w:rPr>
              <w:t>Midden</w:t>
            </w:r>
          </w:p>
        </w:tc>
        <w:tc>
          <w:tcPr>
            <w:tcW w:type="dxa" w:w="2160"/>
          </w:tcPr>
          <w:p>
            <w:r>
              <w:rPr>
                <w:sz w:val="18"/>
              </w:rPr>
              <w:t>Milieugevaarlijke stoffen</w:t>
            </w:r>
          </w:p>
        </w:tc>
      </w:tr>
      <w:tr>
        <w:tc>
          <w:tcPr>
            <w:tcW w:type="dxa" w:w="2160"/>
          </w:tcPr>
          <w:p>
            <w:r>
              <w:rPr>
                <w:sz w:val="18"/>
              </w:rPr>
              <w:t>6</w:t>
            </w:r>
          </w:p>
        </w:tc>
        <w:tc>
          <w:tcPr>
            <w:tcW w:type="dxa" w:w="2160"/>
          </w:tcPr>
          <w:p>
            <w:r>
              <w:rPr>
                <w:sz w:val="18"/>
              </w:rPr>
              <w:t>Tankopslag conform PGS 15 aanleggen</w:t>
            </w:r>
          </w:p>
        </w:tc>
        <w:tc>
          <w:tcPr>
            <w:tcW w:type="dxa" w:w="2160"/>
          </w:tcPr>
          <w:p>
            <w:r>
              <w:rPr>
                <w:sz w:val="18"/>
              </w:rPr>
              <w:t>Midden</w:t>
            </w:r>
          </w:p>
        </w:tc>
        <w:tc>
          <w:tcPr>
            <w:tcW w:type="dxa" w:w="2160"/>
          </w:tcPr>
          <w:p>
            <w:r>
              <w:rPr>
                <w:sz w:val="18"/>
              </w:rPr>
              <w:t>Nieuwe tanks: zie plant layout</w:t>
            </w:r>
          </w:p>
        </w:tc>
      </w:tr>
      <w:tr>
        <w:tc>
          <w:tcPr>
            <w:tcW w:type="dxa" w:w="2160"/>
          </w:tcPr>
          <w:p>
            <w:r>
              <w:rPr>
                <w:sz w:val="18"/>
              </w:rPr>
              <w:t>7</w:t>
            </w:r>
          </w:p>
        </w:tc>
        <w:tc>
          <w:tcPr>
            <w:tcW w:type="dxa" w:w="2160"/>
          </w:tcPr>
          <w:p>
            <w:r>
              <w:rPr>
                <w:sz w:val="18"/>
              </w:rPr>
              <w:t>Scenariostudie uitvoeren (PGS 15 §7.7)</w:t>
            </w:r>
          </w:p>
        </w:tc>
        <w:tc>
          <w:tcPr>
            <w:tcW w:type="dxa" w:w="2160"/>
          </w:tcPr>
          <w:p>
            <w:r>
              <w:rPr>
                <w:sz w:val="18"/>
              </w:rPr>
              <w:t>Midden</w:t>
            </w:r>
          </w:p>
        </w:tc>
        <w:tc>
          <w:tcPr>
            <w:tcW w:type="dxa" w:w="2160"/>
          </w:tcPr>
          <w:p>
            <w:r>
              <w:rPr>
                <w:sz w:val="18"/>
              </w:rPr>
              <w:t>Voor grotere hoeveelheden</w:t>
            </w:r>
          </w:p>
        </w:tc>
      </w:tr>
      <w:tr>
        <w:tc>
          <w:tcPr>
            <w:tcW w:type="dxa" w:w="2160"/>
          </w:tcPr>
          <w:p>
            <w:r>
              <w:rPr>
                <w:sz w:val="18"/>
              </w:rPr>
              <w:t>8</w:t>
            </w:r>
          </w:p>
        </w:tc>
        <w:tc>
          <w:tcPr>
            <w:tcW w:type="dxa" w:w="2160"/>
          </w:tcPr>
          <w:p>
            <w:r>
              <w:rPr>
                <w:sz w:val="18"/>
              </w:rPr>
              <w:t>HZS-overleg met veiligheidsregio actualiseren</w:t>
            </w:r>
          </w:p>
        </w:tc>
        <w:tc>
          <w:tcPr>
            <w:tcW w:type="dxa" w:w="2160"/>
          </w:tcPr>
          <w:p>
            <w:r>
              <w:rPr>
                <w:sz w:val="18"/>
              </w:rPr>
              <w:t>Midden</w:t>
            </w:r>
          </w:p>
        </w:tc>
        <w:tc>
          <w:tcPr>
            <w:tcW w:type="dxa" w:w="2160"/>
          </w:tcPr>
          <w:p>
            <w:r>
              <w:rPr>
                <w:sz w:val="18"/>
              </w:rPr>
              <w:t>Bij wijziging inrichting</w:t>
            </w:r>
          </w:p>
        </w:tc>
      </w:tr>
    </w:tbl>
    <w:p>
      <w:r>
        <w:br w:type="page"/>
      </w:r>
    </w:p>
    <w:p>
      <w:pPr>
        <w:pStyle w:val="Heading1"/>
      </w:pPr>
      <w:r>
        <w:t>8. Bronverwijzingen</w:t>
      </w:r>
    </w:p>
    <w:p>
      <w:pPr>
        <w:pStyle w:val="Heading2"/>
      </w:pPr>
      <w:r>
        <w:t>8.1 PGS 15:2025</w:t>
      </w:r>
    </w:p>
    <w:p>
      <w:r>
        <w:t>[1] PGS 15:2025, versie 1.0 (januari 2025) — Opslag van verpakte gevaarlijke stoffen. Publicatiereeks Gevaarlijke Stoffen. URL: publicatiereeksgevaarlijkestoffen.nl</w:t>
      </w:r>
    </w:p>
    <w:p>
      <w:r>
        <w:t>[2] PGS 15:2025, §4 — Opslagclassificaties en veiligheidsniveaus (Tabellen 6, 7)</w:t>
      </w:r>
    </w:p>
    <w:p>
      <w:r>
        <w:t>[3] PGS 15:2025, §5 — Bouwkundige eisen en brandwerendheid (Wbdbo)</w:t>
      </w:r>
    </w:p>
    <w:p>
      <w:r>
        <w:t>[4] PGS 15:2025, Bijlage E — Onverenigbare combinaties</w:t>
      </w:r>
    </w:p>
    <w:p>
      <w:r>
        <w:t>[5] PGS 15:2025, M21, M29, M30, M35, M45, M85, M95, M115-M121, M135-M137 — Specifieke maatregelen</w:t>
      </w:r>
    </w:p>
    <w:p>
      <w:pPr>
        <w:pStyle w:val="Heading2"/>
      </w:pPr>
      <w:r>
        <w:t>8.2 BRZO &amp; Wetgeving</w:t>
      </w:r>
    </w:p>
    <w:p>
      <w:r>
        <w:t>[1] Besluit risico's zware ongevallen 2020 (BRZO 2020), Stb. 2015, 373</w:t>
      </w:r>
    </w:p>
    <w:p>
      <w:r>
        <w:t>[2] Besluit activiteiten leefomgeving (Bal), art. 3.27, 4.1012</w:t>
      </w:r>
    </w:p>
    <w:p>
      <w:r>
        <w:t>[3] Besluit bouwwerken leefomgeving (Bbl) — brandcompartimentering</w:t>
      </w:r>
    </w:p>
    <w:p>
      <w:r>
        <w:t>[4] Arbeidsomstandighedenwet, art. 5 (RI&amp;E)</w:t>
      </w:r>
    </w:p>
    <w:p>
      <w:r>
        <w:t>[5] Arbobesluit, hoofdstuk 4 — Gevaarlijke stoffen</w:t>
      </w:r>
    </w:p>
    <w:p>
      <w:r>
        <w:t>[6] Besluit basisveiligheidsnormen stralingsbescherming, art. 2.2, 3.17, 3.20</w:t>
      </w:r>
    </w:p>
    <w:p>
      <w:r>
        <w:t>[7] CLP-verordening (EG) 1272/2008</w:t>
      </w:r>
    </w:p>
    <w:p>
      <w:r>
        <w:t>[8] REACH (EG) 1907/2006</w:t>
      </w:r>
    </w:p>
    <w:p>
      <w:pPr>
        <w:pStyle w:val="Heading2"/>
      </w:pPr>
      <w:r>
        <w:t>8.3 Normen</w:t>
      </w:r>
    </w:p>
    <w:p>
      <w:r>
        <w:t>[1] NEN 6068 — Bepaling weerstand tegen branddoorslag en brandoverslag</w:t>
      </w:r>
    </w:p>
    <w:p>
      <w:r>
        <w:t>[2] NEN 6069 — Brandwerendheid van constructies</w:t>
      </w:r>
    </w:p>
    <w:p>
      <w:r>
        <w:t>[3] NEN 6063 — Bepaling brandgedrag van dakconstructies</w:t>
      </w:r>
    </w:p>
    <w:p>
      <w:r>
        <w:t>[4] NEN 2535 — Branddetectieinstallaties</w:t>
      </w:r>
    </w:p>
    <w:p>
      <w:r>
        <w:t>[5] NEN-EN 14470-1/2 — Brandveiligheidsopslagkasten</w:t>
      </w:r>
    </w:p>
    <w:p>
      <w:r>
        <w:t>[6] NEN-EN-ISO 20560 — Signalering leidingen en tanks</w:t>
      </w:r>
    </w:p>
    <w:p>
      <w:r>
        <w:t>[7] NEN-EN-ISO 7010 — Veiligheidskleuren en veiligheidstekens</w:t>
      </w:r>
    </w:p>
    <w:p>
      <w:pPr>
        <w:pStyle w:val="Heading2"/>
      </w:pPr>
      <w:r>
        <w:t>8.4 Phoenix Metals brondocumenten</w:t>
      </w:r>
    </w:p>
    <w:p>
      <w:r>
        <w:t>[1] Registration Chemicals — MASTER v2.1.0 (29 november 2024)</w:t>
      </w:r>
    </w:p>
    <w:p>
      <w:r>
        <w:t>[2] Fact sheet Ash v1.0 (LM van Langen, november 2024)</w:t>
      </w:r>
    </w:p>
    <w:p>
      <w:r>
        <w:t>[3] Demo Process VR — Procesbeschrijving (28 stappen)</w:t>
      </w:r>
    </w:p>
    <w:p>
      <w:r>
        <w:t>[4] Plant Layout — Schaal 1:75 (A1)</w:t>
      </w:r>
    </w:p>
    <w:p>
      <w:r>
        <w:t>[5] PBM Matrix Phoenix Metals Draft 1</w:t>
      </w:r>
    </w:p>
    <w:p>
      <w:r>
        <w:t>[6] Overzicht Relatie BRZO Elementen en VBS</w:t>
      </w:r>
    </w:p>
    <w:p>
      <w:r>
        <w:t>[7] Phoenix Metals Bedrijfsomschrijving (HSE Manager sollicitatie)</w:t>
      </w:r>
    </w:p>
    <w:p>
      <w:r>
        <w:br w:type="page"/>
      </w:r>
    </w:p>
    <w:p>
      <w:pPr>
        <w:pStyle w:val="Heading1"/>
      </w:pPr>
      <w:r>
        <w:t>Kolofon</w:t>
      </w:r>
    </w:p>
    <w:p>
      <w:r>
        <w:t>Dit document is samengesteld door J. van Gemert, HSEQ Consultant, in opdracht van Phoenix Metals B.V. Alle informatie is gebaseerd op openbaar toegankelijke brondocumenten, PGS 15:2025 en bedrijfsdocumentatie van Phoenix Metals.</w:t>
      </w:r>
    </w:p>
    <w:p>
      <w:r>
        <w:t>© 2026 Phoenix Metals B.V. — Alle rechten voorbehouden. Dit document is vertrouwelijk en uitsluitend bestemd voor intern gebruik.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