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b/>
          <w:color w:val="1B3A5C"/>
          <w:sz w:val="72"/>
        </w:rPr>
        <w:t>BASISVEILIGHEID</w:t>
      </w:r>
    </w:p>
    <w:p>
      <w:pPr>
        <w:jc w:val="center"/>
      </w:pPr>
      <w:r>
        <w:rPr>
          <w:color w:val="E86C00"/>
          <w:sz w:val="56"/>
        </w:rPr>
        <w:t>Opslag Gevaarlijke Stoffen</w:t>
      </w:r>
    </w:p>
    <w:p/>
    <w:p>
      <w:pPr>
        <w:jc w:val="center"/>
      </w:pPr>
      <w:r>
        <w:rPr>
          <w:color w:val="1B3A5C"/>
          <w:sz w:val="40"/>
        </w:rPr>
        <w:t>Phoenix Metals B.V.</w:t>
      </w:r>
    </w:p>
    <w:p/>
    <w:p>
      <w:pPr>
        <w:jc w:val="center"/>
      </w:pPr>
      <w:r>
        <w:rPr>
          <w:color w:val="666666"/>
          <w:sz w:val="28"/>
        </w:rPr>
        <w:t>Versie 4.0 — April 2026</w:t>
      </w:r>
    </w:p>
    <w:p/>
    <w:p/>
    <w:p>
      <w:pPr>
        <w:jc w:val="center"/>
      </w:pPr>
      <w:r>
        <w:rPr>
          <w:i/>
          <w:color w:val="666666"/>
          <w:sz w:val="28"/>
        </w:rPr>
        <w:t>Basishandleiding voor medewerkers</w:t>
      </w:r>
    </w:p>
    <w:p>
      <w:pPr>
        <w:jc w:val="center"/>
      </w:pPr>
      <w:r>
        <w:rPr>
          <w:color w:val="999999"/>
          <w:sz w:val="20"/>
        </w:rPr>
        <w:t>Niet-geautoriseerde verspreiding verboden</w:t>
      </w:r>
    </w:p>
    <w:p>
      <w:r>
        <w:br w:type="page"/>
      </w:r>
    </w:p>
    <w:p>
      <w:pPr>
        <w:pStyle w:val="Heading1"/>
      </w:pPr>
      <w:r>
        <w:t>Inleiding</w:t>
      </w:r>
    </w:p>
    <w:p>
      <w:pPr>
        <w:pStyle w:val="Heading2"/>
      </w:pPr>
      <w:r>
        <w:t>Waarom deze handleiding?</w:t>
      </w:r>
    </w:p>
    <w:p>
      <w:r>
        <w:t>Bij Phoenix Metals werken we met stoffen die gevaarlijk kunnen zijn als je niet weet hoe je ermee om moet gaan. Zwavelzuur, natriumhydroxide, SARU ash — het zijn stuk voor stof materialen die ons werk mogelijk maken, maar die ook serieus letsel kunnen veroorzaken als we niet voorzichtig zijn.</w:t>
      </w:r>
    </w:p>
    <w:p>
      <w:r>
        <w:t>Deze handleiding legt in gewone taal uit hoe we veilig omgaan met gevaarlijke stoffen. Geen juridische teksten, geen ingewikkeld jargon — gewoon duidelijk wat je moet weten om veilig te werken en weer thuis te komen bij je familie.</w:t>
      </w:r>
    </w:p>
    <w:p>
      <w:pPr>
        <w:pStyle w:val="Heading2"/>
      </w:pPr>
      <w:r>
        <w:t>Voor wie is deze handleiding?</w:t>
      </w:r>
    </w:p>
    <w:p>
      <w:r>
        <w:t xml:space="preserve">Deze handleiding is bedoeld voor </w:t>
      </w:r>
      <w:r>
        <w:rPr>
          <w:b/>
        </w:rPr>
        <w:t>alle medewerkers</w:t>
      </w:r>
      <w:r>
        <w:t xml:space="preserve"> van Phoenix Metals die in de buurt komen van gevaarlijke stoffen. Dat betekent:</w:t>
      </w:r>
    </w:p>
    <w:p>
      <w:pPr>
        <w:pStyle w:val="ListBullet"/>
      </w:pPr>
      <w:r>
        <w:t>Labmedewerkers en operators</w:t>
      </w:r>
    </w:p>
    <w:p>
      <w:pPr>
        <w:pStyle w:val="ListBullet"/>
      </w:pPr>
      <w:r>
        <w:t>Technisch onderhoudspersoneel</w:t>
      </w:r>
    </w:p>
    <w:p>
      <w:pPr>
        <w:pStyle w:val="ListBullet"/>
      </w:pPr>
      <w:r>
        <w:t>Magazijn- en logistiekmedewerkers</w:t>
      </w:r>
    </w:p>
    <w:p>
      <w:pPr>
        <w:pStyle w:val="ListBullet"/>
      </w:pPr>
      <w:r>
        <w:t>Nieuwe medewerkers (als onderdeel van de inwerkinstructie)</w:t>
      </w:r>
    </w:p>
    <w:p>
      <w:pPr>
        <w:pStyle w:val="ListBullet"/>
      </w:pPr>
      <w:r>
        <w:t>Stagiairs en tijdelijke krachten</w:t>
      </w:r>
    </w:p>
    <w:p>
      <w:pPr>
        <w:pStyle w:val="Heading2"/>
      </w:pPr>
      <w:r>
        <w:t>Hoe gebruik je deze handleiding?</w:t>
      </w:r>
    </w:p>
    <w:p>
      <w:r>
        <w:t>Lees de handleiding één keer helemaal door. Daarna kun je hem gebruiken als naslagwerk. De hoofdstukken zijn zo geschreven dat je ze los kunt lezen. Twijfel je over iets? Vraag het altijd aan je leidinggevende of de HSE-verantwoordelijke.</w:t>
      </w:r>
    </w:p>
    <w:p>
      <w:pPr>
        <w:spacing w:before="120" w:after="120"/>
        <w:shd w:val="clear" w:color="auto" w:fill="E8F8E8"/>
      </w:pPr>
      <w:r>
        <w:rPr>
          <w:color w:val="1B3A5C"/>
          <w:sz w:val="20"/>
        </w:rPr>
        <w:t>💡 Bewaar deze handleiding op een bereikbare plek. Bij calamiteiten heb je hem snel nodig.</w:t>
      </w:r>
    </w:p>
    <w:p>
      <w:r>
        <w:br w:type="page"/>
      </w:r>
    </w:p>
    <w:p>
      <w:pPr>
        <w:pStyle w:val="Heading1"/>
      </w:pPr>
      <w:r>
        <w:t>Wat zijn gevaarlijke stoffen?</w:t>
      </w:r>
    </w:p>
    <w:p>
      <w:pPr>
        <w:pStyle w:val="Heading2"/>
      </w:pPr>
      <w:r>
        <w:t>Eenvoudig uitgelegd</w:t>
      </w:r>
    </w:p>
    <w:p>
      <w:r>
        <w:t>Een gevaarlijke stof is elk materiaal dat schade kan veroorzaken aan mensen, milieu of materieel. Dat klinkt breed, en dat is het ook. Het gaat om stoffen die brandbaar, bijtend, giftig, explosief of schadelijk voor het milieu zijn.</w:t>
      </w:r>
    </w:p>
    <w:p>
      <w:r>
        <w:t>In Europa gebruiken we het CLP-systeem (Classification, Labelling and Packaging) om gevaarlijke stoffen in te delen. CLP gebruikt pictogrammen (plaatjes) die je overal ter wereld hetzelfde ziet. Zo weet je direct wat je aan het doen bent, in welke taal je ook spreekt.</w:t>
      </w:r>
    </w:p>
    <w:p>
      <w:pPr>
        <w:pStyle w:val="Heading2"/>
      </w:pPr>
      <w:r>
        <w:t>GHS-pictogrammen — wat betekenen ze?</w:t>
      </w:r>
    </w:p>
    <w:p>
      <w:r>
        <w:t>Op elke verpakking van een gevaarlijke stof zie je één of meer van deze pictogrammen. Leer ze herkennen — ze waarschuwen je voor de risico's.</w:t>
      </w:r>
    </w:p>
    <w:tbl>
      <w:tblPr>
        <w:tblStyle w:val="TableGrid"/>
        <w:tblW w:type="auto" w:w="0"/>
        <w:jc w:val="center"/>
        <w:tblLook w:firstColumn="1" w:firstRow="1" w:lastColumn="0" w:lastRow="0" w:noHBand="0" w:noVBand="1" w:val="04A0"/>
      </w:tblPr>
      <w:tblGrid>
        <w:gridCol w:w="4703"/>
        <w:gridCol w:w="4703"/>
      </w:tblGrid>
      <w:tr>
        <w:tc>
          <w:tcPr>
            <w:tcW w:type="dxa" w:w="4703"/>
            <w:shd w:val="clear" w:color="auto" w:fill="1B3A5C"/>
          </w:tcPr>
          <w:p>
            <w:pPr>
              <w:spacing w:after="40" w:before="40"/>
            </w:pPr>
            <w:r>
              <w:rPr>
                <w:b/>
                <w:color w:val="FFFFFF"/>
                <w:sz w:val="20"/>
              </w:rPr>
              <w:t>Pictogram</w:t>
            </w:r>
          </w:p>
        </w:tc>
        <w:tc>
          <w:tcPr>
            <w:tcW w:type="dxa" w:w="4703"/>
            <w:shd w:val="clear" w:color="auto" w:fill="1B3A5C"/>
          </w:tcPr>
          <w:p>
            <w:pPr>
              <w:spacing w:after="40" w:before="40"/>
            </w:pPr>
            <w:r>
              <w:rPr>
                <w:b/>
                <w:color w:val="FFFFFF"/>
                <w:sz w:val="20"/>
              </w:rPr>
              <w:t>Betekenis</w:t>
            </w:r>
          </w:p>
        </w:tc>
      </w:tr>
      <w:tr>
        <w:tc>
          <w:tcPr>
            <w:tcW w:type="dxa" w:w="4703"/>
          </w:tcPr>
          <w:p>
            <w:pPr>
              <w:spacing w:after="40" w:before="40"/>
            </w:pPr>
            <w:r>
              <w:rPr>
                <w:sz w:val="20"/>
              </w:rPr>
              <w:t>💀 Doodskop</w:t>
            </w:r>
          </w:p>
        </w:tc>
        <w:tc>
          <w:tcPr>
            <w:tcW w:type="dxa" w:w="4703"/>
          </w:tcPr>
          <w:p>
            <w:pPr>
              <w:spacing w:after="40" w:before="40"/>
            </w:pPr>
            <w:r>
              <w:rPr>
                <w:sz w:val="20"/>
              </w:rPr>
              <w:t>Acuut giftig — kan dodelijk zijn bij inademing, inslikken of huidcontact</w:t>
            </w:r>
          </w:p>
        </w:tc>
      </w:tr>
      <w:tr>
        <w:tc>
          <w:tcPr>
            <w:tcW w:type="dxa" w:w="4703"/>
            <w:shd w:val="clear" w:color="auto" w:fill="F2F2F2"/>
          </w:tcPr>
          <w:p>
            <w:pPr>
              <w:spacing w:after="40" w:before="40"/>
            </w:pPr>
            <w:r>
              <w:rPr>
                <w:sz w:val="20"/>
              </w:rPr>
              <w:t>🔥 Vlam</w:t>
            </w:r>
          </w:p>
        </w:tc>
        <w:tc>
          <w:tcPr>
            <w:tcW w:type="dxa" w:w="4703"/>
            <w:shd w:val="clear" w:color="auto" w:fill="F2F2F2"/>
          </w:tcPr>
          <w:p>
            <w:pPr>
              <w:spacing w:after="40" w:before="40"/>
            </w:pPr>
            <w:r>
              <w:rPr>
                <w:sz w:val="20"/>
              </w:rPr>
              <w:t>Brandbaar — kan vlam vatten</w:t>
            </w:r>
          </w:p>
        </w:tc>
      </w:tr>
      <w:tr>
        <w:tc>
          <w:tcPr>
            <w:tcW w:type="dxa" w:w="4703"/>
          </w:tcPr>
          <w:p>
            <w:pPr>
              <w:spacing w:after="40" w:before="40"/>
            </w:pPr>
            <w:r>
              <w:rPr>
                <w:sz w:val="20"/>
              </w:rPr>
              <w:t>💥 Explosie</w:t>
            </w:r>
          </w:p>
        </w:tc>
        <w:tc>
          <w:tcPr>
            <w:tcW w:type="dxa" w:w="4703"/>
          </w:tcPr>
          <w:p>
            <w:pPr>
              <w:spacing w:after="40" w:before="40"/>
            </w:pPr>
            <w:r>
              <w:rPr>
                <w:sz w:val="20"/>
              </w:rPr>
              <w:t>Explosief — kan ontploffen</w:t>
            </w:r>
          </w:p>
        </w:tc>
      </w:tr>
      <w:tr>
        <w:tc>
          <w:tcPr>
            <w:tcW w:type="dxa" w:w="4703"/>
            <w:shd w:val="clear" w:color="auto" w:fill="F2F2F2"/>
          </w:tcPr>
          <w:p>
            <w:pPr>
              <w:spacing w:after="40" w:before="40"/>
            </w:pPr>
            <w:r>
              <w:rPr>
                <w:sz w:val="20"/>
              </w:rPr>
              <w:t>⭕ Brandende cirkel</w:t>
            </w:r>
          </w:p>
        </w:tc>
        <w:tc>
          <w:tcPr>
            <w:tcW w:type="dxa" w:w="4703"/>
            <w:shd w:val="clear" w:color="auto" w:fill="F2F2F2"/>
          </w:tcPr>
          <w:p>
            <w:pPr>
              <w:spacing w:after="40" w:before="40"/>
            </w:pPr>
            <w:r>
              <w:rPr>
                <w:sz w:val="20"/>
              </w:rPr>
              <w:t>Oxiderend — werkt brandversterkend</w:t>
            </w:r>
          </w:p>
        </w:tc>
      </w:tr>
      <w:tr>
        <w:tc>
          <w:tcPr>
            <w:tcW w:type="dxa" w:w="4703"/>
          </w:tcPr>
          <w:p>
            <w:pPr>
              <w:spacing w:after="40" w:before="40"/>
            </w:pPr>
            <w:r>
              <w:rPr>
                <w:sz w:val="20"/>
              </w:rPr>
              <w:t>🔴 Corrosie</w:t>
            </w:r>
          </w:p>
        </w:tc>
        <w:tc>
          <w:tcPr>
            <w:tcW w:type="dxa" w:w="4703"/>
          </w:tcPr>
          <w:p>
            <w:pPr>
              <w:spacing w:after="40" w:before="40"/>
            </w:pPr>
            <w:r>
              <w:rPr>
                <w:sz w:val="20"/>
              </w:rPr>
              <w:t>Bijtend — vernietigt huid, ogen en metalen</w:t>
            </w:r>
          </w:p>
        </w:tc>
      </w:tr>
      <w:tr>
        <w:tc>
          <w:tcPr>
            <w:tcW w:type="dxa" w:w="4703"/>
            <w:shd w:val="clear" w:color="auto" w:fill="F2F2F2"/>
          </w:tcPr>
          <w:p>
            <w:pPr>
              <w:spacing w:after="40" w:before="40"/>
            </w:pPr>
            <w:r>
              <w:rPr>
                <w:sz w:val="20"/>
              </w:rPr>
              <w:t>⛽ Gasfles</w:t>
            </w:r>
          </w:p>
        </w:tc>
        <w:tc>
          <w:tcPr>
            <w:tcW w:type="dxa" w:w="4703"/>
            <w:shd w:val="clear" w:color="auto" w:fill="F2F2F2"/>
          </w:tcPr>
          <w:p>
            <w:pPr>
              <w:spacing w:after="40" w:before="40"/>
            </w:pPr>
            <w:r>
              <w:rPr>
                <w:sz w:val="20"/>
              </w:rPr>
              <w:t>Gassen onder druk — kan exploderen bij verwarming</w:t>
            </w:r>
          </w:p>
        </w:tc>
      </w:tr>
      <w:tr>
        <w:tc>
          <w:tcPr>
            <w:tcW w:type="dxa" w:w="4703"/>
          </w:tcPr>
          <w:p>
            <w:pPr>
              <w:spacing w:after="40" w:before="40"/>
            </w:pPr>
            <w:r>
              <w:rPr>
                <w:sz w:val="20"/>
              </w:rPr>
              <w:t>☠️ Uitroepteken + mens</w:t>
            </w:r>
          </w:p>
        </w:tc>
        <w:tc>
          <w:tcPr>
            <w:tcW w:type="dxa" w:w="4703"/>
          </w:tcPr>
          <w:p>
            <w:pPr>
              <w:spacing w:after="40" w:before="40"/>
            </w:pPr>
            <w:r>
              <w:rPr>
                <w:sz w:val="20"/>
              </w:rPr>
              <w:t>Giftig bij langdurige blootstelling — schadelijk voor organen</w:t>
            </w:r>
          </w:p>
        </w:tc>
      </w:tr>
      <w:tr>
        <w:tc>
          <w:tcPr>
            <w:tcW w:type="dxa" w:w="4703"/>
            <w:shd w:val="clear" w:color="auto" w:fill="F2F2F2"/>
          </w:tcPr>
          <w:p>
            <w:pPr>
              <w:spacing w:after="40" w:before="40"/>
            </w:pPr>
            <w:r>
              <w:rPr>
                <w:sz w:val="20"/>
              </w:rPr>
              <w:t>🌊 Vis + boom</w:t>
            </w:r>
          </w:p>
        </w:tc>
        <w:tc>
          <w:tcPr>
            <w:tcW w:type="dxa" w:w="4703"/>
            <w:shd w:val="clear" w:color="auto" w:fill="F2F2F2"/>
          </w:tcPr>
          <w:p>
            <w:pPr>
              <w:spacing w:after="40" w:before="40"/>
            </w:pPr>
            <w:r>
              <w:rPr>
                <w:sz w:val="20"/>
              </w:rPr>
              <w:t>Milieugevaarlijk — giftig voor waterorganismen</w:t>
            </w:r>
          </w:p>
        </w:tc>
      </w:tr>
      <w:tr>
        <w:tc>
          <w:tcPr>
            <w:tcW w:type="dxa" w:w="4703"/>
          </w:tcPr>
          <w:p>
            <w:pPr>
              <w:spacing w:after="40" w:before="40"/>
            </w:pPr>
            <w:r>
              <w:rPr>
                <w:sz w:val="20"/>
              </w:rPr>
              <w:t>❗ Uitroepteken</w:t>
            </w:r>
          </w:p>
        </w:tc>
        <w:tc>
          <w:tcPr>
            <w:tcW w:type="dxa" w:w="4703"/>
          </w:tcPr>
          <w:p>
            <w:pPr>
              <w:spacing w:after="40" w:before="40"/>
            </w:pPr>
            <w:r>
              <w:rPr>
                <w:sz w:val="20"/>
              </w:rPr>
              <w:t>Irriterend — huidirritatie, oogirritatie, allergische reacties</w:t>
            </w:r>
          </w:p>
        </w:tc>
      </w:tr>
    </w:tbl>
    <w:p/>
    <w:p>
      <w:pPr>
        <w:spacing w:before="120" w:after="120"/>
        <w:shd w:val="clear" w:color="auto" w:fill="E8F4FD"/>
      </w:pPr>
      <w:r>
        <w:rPr>
          <w:color w:val="1B3A5C"/>
          <w:sz w:val="20"/>
        </w:rPr>
        <w:t>Belangrijk: Bij Phoenix Metals zie je vooral het corrosie-pictogram (bijtend) op zwavelzuur en natriumhydroxide, en het milieugevaarpictogram op vanadiumverbindingen.</w:t>
      </w:r>
    </w:p>
    <w:p>
      <w:pPr>
        <w:pStyle w:val="Heading2"/>
      </w:pPr>
      <w:r>
        <w:t>Welke stoffen heeft Phoenix Metals?</w:t>
      </w:r>
    </w:p>
    <w:p>
      <w:r>
        <w:t>Phoenix Metals hanteert de volgende gevaarlijke stoffen:</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val="clear" w:color="auto" w:fill="1B3A5C"/>
          </w:tcPr>
          <w:p>
            <w:pPr>
              <w:spacing w:after="40" w:before="40"/>
            </w:pPr>
            <w:r>
              <w:rPr>
                <w:b/>
                <w:color w:val="FFFFFF"/>
                <w:sz w:val="20"/>
              </w:rPr>
              <w:t>Stof</w:t>
            </w:r>
          </w:p>
        </w:tc>
        <w:tc>
          <w:tcPr>
            <w:tcW w:type="dxa" w:w="2351"/>
            <w:shd w:val="clear" w:color="auto" w:fill="1B3A5C"/>
          </w:tcPr>
          <w:p>
            <w:pPr>
              <w:spacing w:after="40" w:before="40"/>
            </w:pPr>
            <w:r>
              <w:rPr>
                <w:b/>
                <w:color w:val="FFFFFF"/>
                <w:sz w:val="20"/>
              </w:rPr>
              <w:t>Gevaartype</w:t>
            </w:r>
          </w:p>
        </w:tc>
        <w:tc>
          <w:tcPr>
            <w:tcW w:type="dxa" w:w="2351"/>
            <w:shd w:val="clear" w:color="auto" w:fill="1B3A5C"/>
          </w:tcPr>
          <w:p>
            <w:pPr>
              <w:spacing w:after="40" w:before="40"/>
            </w:pPr>
            <w:r>
              <w:rPr>
                <w:b/>
                <w:color w:val="FFFFFF"/>
                <w:sz w:val="20"/>
              </w:rPr>
              <w:t>Hoeveelheid</w:t>
            </w:r>
          </w:p>
        </w:tc>
        <w:tc>
          <w:tcPr>
            <w:tcW w:type="dxa" w:w="2351"/>
            <w:shd w:val="clear" w:color="auto" w:fill="1B3A5C"/>
          </w:tcPr>
          <w:p>
            <w:pPr>
              <w:spacing w:after="40" w:before="40"/>
            </w:pPr>
            <w:r>
              <w:rPr>
                <w:b/>
                <w:color w:val="FFFFFF"/>
                <w:sz w:val="20"/>
              </w:rPr>
              <w:t>Locatie</w:t>
            </w:r>
          </w:p>
        </w:tc>
      </w:tr>
      <w:tr>
        <w:tc>
          <w:tcPr>
            <w:tcW w:type="dxa" w:w="2351"/>
          </w:tcPr>
          <w:p>
            <w:pPr>
              <w:spacing w:after="40" w:before="40"/>
            </w:pPr>
            <w:r>
              <w:rPr>
                <w:sz w:val="20"/>
              </w:rPr>
              <w:t>Zwavelzuur (H₂SO₄)</w:t>
            </w:r>
          </w:p>
        </w:tc>
        <w:tc>
          <w:tcPr>
            <w:tcW w:type="dxa" w:w="2351"/>
          </w:tcPr>
          <w:p>
            <w:pPr>
              <w:spacing w:after="40" w:before="40"/>
            </w:pPr>
            <w:r>
              <w:rPr>
                <w:sz w:val="20"/>
              </w:rPr>
              <w:t>Bijtend (klasse 8)</w:t>
            </w:r>
          </w:p>
        </w:tc>
        <w:tc>
          <w:tcPr>
            <w:tcW w:type="dxa" w:w="2351"/>
          </w:tcPr>
          <w:p>
            <w:pPr>
              <w:spacing w:after="40" w:before="40"/>
            </w:pPr>
            <w:r>
              <w:rPr>
                <w:sz w:val="20"/>
              </w:rPr>
              <w:t>30-100 L</w:t>
            </w:r>
          </w:p>
        </w:tc>
        <w:tc>
          <w:tcPr>
            <w:tcW w:type="dxa" w:w="2351"/>
          </w:tcPr>
          <w:p>
            <w:pPr>
              <w:spacing w:after="40" w:before="40"/>
            </w:pPr>
            <w:r>
              <w:rPr>
                <w:sz w:val="20"/>
              </w:rPr>
              <w:t>Rack lab</w:t>
            </w:r>
          </w:p>
        </w:tc>
      </w:tr>
      <w:tr>
        <w:tc>
          <w:tcPr>
            <w:tcW w:type="dxa" w:w="2351"/>
            <w:shd w:val="clear" w:color="auto" w:fill="F2F2F2"/>
          </w:tcPr>
          <w:p>
            <w:pPr>
              <w:spacing w:after="40" w:before="40"/>
            </w:pPr>
            <w:r>
              <w:rPr>
                <w:sz w:val="20"/>
              </w:rPr>
              <w:t>Natriumhydroxide (NaOH)</w:t>
            </w:r>
          </w:p>
        </w:tc>
        <w:tc>
          <w:tcPr>
            <w:tcW w:type="dxa" w:w="2351"/>
            <w:shd w:val="clear" w:color="auto" w:fill="F2F2F2"/>
          </w:tcPr>
          <w:p>
            <w:pPr>
              <w:spacing w:after="40" w:before="40"/>
            </w:pPr>
            <w:r>
              <w:rPr>
                <w:sz w:val="20"/>
              </w:rPr>
              <w:t>Bijtend (klasse 8)</w:t>
            </w:r>
          </w:p>
        </w:tc>
        <w:tc>
          <w:tcPr>
            <w:tcW w:type="dxa" w:w="2351"/>
            <w:shd w:val="clear" w:color="auto" w:fill="F2F2F2"/>
          </w:tcPr>
          <w:p>
            <w:pPr>
              <w:spacing w:after="40" w:before="40"/>
            </w:pPr>
            <w:r>
              <w:rPr>
                <w:sz w:val="20"/>
              </w:rPr>
              <w:t>100 L</w:t>
            </w:r>
          </w:p>
        </w:tc>
        <w:tc>
          <w:tcPr>
            <w:tcW w:type="dxa" w:w="2351"/>
            <w:shd w:val="clear" w:color="auto" w:fill="F2F2F2"/>
          </w:tcPr>
          <w:p>
            <w:pPr>
              <w:spacing w:after="40" w:before="40"/>
            </w:pPr>
            <w:r>
              <w:rPr>
                <w:sz w:val="20"/>
              </w:rPr>
              <w:t>Rack lab</w:t>
            </w:r>
          </w:p>
        </w:tc>
      </w:tr>
      <w:tr>
        <w:tc>
          <w:tcPr>
            <w:tcW w:type="dxa" w:w="2351"/>
          </w:tcPr>
          <w:p>
            <w:pPr>
              <w:spacing w:after="40" w:before="40"/>
            </w:pPr>
            <w:r>
              <w:rPr>
                <w:sz w:val="20"/>
              </w:rPr>
              <w:t>SARU ash</w:t>
            </w:r>
          </w:p>
        </w:tc>
        <w:tc>
          <w:tcPr>
            <w:tcW w:type="dxa" w:w="2351"/>
          </w:tcPr>
          <w:p>
            <w:pPr>
              <w:spacing w:after="40" w:before="40"/>
            </w:pPr>
            <w:r>
              <w:rPr>
                <w:sz w:val="20"/>
              </w:rPr>
              <w:t>Giftig + radioactief</w:t>
            </w:r>
          </w:p>
        </w:tc>
        <w:tc>
          <w:tcPr>
            <w:tcW w:type="dxa" w:w="2351"/>
          </w:tcPr>
          <w:p>
            <w:pPr>
              <w:spacing w:after="40" w:before="40"/>
            </w:pPr>
            <w:r>
              <w:rPr>
                <w:sz w:val="20"/>
              </w:rPr>
              <w:t>≤60 kg</w:t>
            </w:r>
          </w:p>
        </w:tc>
        <w:tc>
          <w:tcPr>
            <w:tcW w:type="dxa" w:w="2351"/>
          </w:tcPr>
          <w:p>
            <w:pPr>
              <w:spacing w:after="40" w:before="40"/>
            </w:pPr>
            <w:r>
              <w:rPr>
                <w:sz w:val="20"/>
              </w:rPr>
              <w:t>Verwerkbereik</w:t>
            </w:r>
          </w:p>
        </w:tc>
      </w:tr>
      <w:tr>
        <w:tc>
          <w:tcPr>
            <w:tcW w:type="dxa" w:w="2351"/>
            <w:shd w:val="clear" w:color="auto" w:fill="F2F2F2"/>
          </w:tcPr>
          <w:p>
            <w:pPr>
              <w:spacing w:after="40" w:before="40"/>
            </w:pPr>
            <w:r>
              <w:rPr>
                <w:sz w:val="20"/>
              </w:rPr>
              <w:t>Aluminiumsulfaat</w:t>
            </w:r>
          </w:p>
        </w:tc>
        <w:tc>
          <w:tcPr>
            <w:tcW w:type="dxa" w:w="2351"/>
            <w:shd w:val="clear" w:color="auto" w:fill="F2F2F2"/>
          </w:tcPr>
          <w:p>
            <w:pPr>
              <w:spacing w:after="40" w:before="40"/>
            </w:pPr>
            <w:r>
              <w:rPr>
                <w:sz w:val="20"/>
              </w:rPr>
              <w:t>Irriterend</w:t>
            </w:r>
          </w:p>
        </w:tc>
        <w:tc>
          <w:tcPr>
            <w:tcW w:type="dxa" w:w="2351"/>
            <w:shd w:val="clear" w:color="auto" w:fill="F2F2F2"/>
          </w:tcPr>
          <w:p>
            <w:pPr>
              <w:spacing w:after="40" w:before="40"/>
            </w:pPr>
            <w:r>
              <w:rPr>
                <w:sz w:val="20"/>
              </w:rPr>
              <w:t>5 kg</w:t>
            </w:r>
          </w:p>
        </w:tc>
        <w:tc>
          <w:tcPr>
            <w:tcW w:type="dxa" w:w="2351"/>
            <w:shd w:val="clear" w:color="auto" w:fill="F2F2F2"/>
          </w:tcPr>
          <w:p>
            <w:pPr>
              <w:spacing w:after="40" w:before="40"/>
            </w:pPr>
            <w:r>
              <w:rPr>
                <w:sz w:val="20"/>
              </w:rPr>
              <w:t>Rack lab</w:t>
            </w:r>
          </w:p>
        </w:tc>
      </w:tr>
      <w:tr>
        <w:tc>
          <w:tcPr>
            <w:tcW w:type="dxa" w:w="2351"/>
          </w:tcPr>
          <w:p>
            <w:pPr>
              <w:spacing w:after="40" w:before="40"/>
            </w:pPr>
            <w:r>
              <w:rPr>
                <w:sz w:val="20"/>
              </w:rPr>
              <w:t>Calciumoxide</w:t>
            </w:r>
          </w:p>
        </w:tc>
        <w:tc>
          <w:tcPr>
            <w:tcW w:type="dxa" w:w="2351"/>
          </w:tcPr>
          <w:p>
            <w:pPr>
              <w:spacing w:after="40" w:before="40"/>
            </w:pPr>
            <w:r>
              <w:rPr>
                <w:sz w:val="20"/>
              </w:rPr>
              <w:t>Bijtend / irriterend</w:t>
            </w:r>
          </w:p>
        </w:tc>
        <w:tc>
          <w:tcPr>
            <w:tcW w:type="dxa" w:w="2351"/>
          </w:tcPr>
          <w:p>
            <w:pPr>
              <w:spacing w:after="40" w:before="40"/>
            </w:pPr>
            <w:r>
              <w:rPr>
                <w:sz w:val="20"/>
              </w:rPr>
              <w:t>10 kg</w:t>
            </w:r>
          </w:p>
        </w:tc>
        <w:tc>
          <w:tcPr>
            <w:tcW w:type="dxa" w:w="2351"/>
          </w:tcPr>
          <w:p>
            <w:pPr>
              <w:spacing w:after="40" w:before="40"/>
            </w:pPr>
            <w:r>
              <w:rPr>
                <w:sz w:val="20"/>
              </w:rPr>
              <w:t>Rack lab</w:t>
            </w:r>
          </w:p>
        </w:tc>
      </w:tr>
    </w:tbl>
    <w:p>
      <w:r>
        <w:br w:type="page"/>
      </w:r>
    </w:p>
    <w:p>
      <w:pPr>
        <w:pStyle w:val="Heading1"/>
      </w:pPr>
      <w:r>
        <w:t>De stoffen bij Phoenix Metals</w:t>
      </w:r>
    </w:p>
    <w:p>
      <w:r>
        <w:t>Hieronder beschrijven we elke stof in detail: wat het is, wat de gevaren zijn, en hoe je er veilig mee werkt.</w:t>
      </w:r>
    </w:p>
    <w:p>
      <w:pPr>
        <w:pStyle w:val="Heading2"/>
      </w:pPr>
      <w:r>
        <w:t>Zwavelzuur (H₂SO₄)</w:t>
      </w:r>
    </w:p>
    <w:p>
      <w:pPr>
        <w:pStyle w:val="Heading3"/>
      </w:pPr>
      <w:r>
        <w:t>Wat is het en wat doet het?</w:t>
      </w:r>
    </w:p>
    <w:p>
      <w:r>
        <w:t>Zwavelzuur is een van de meest gebruikte industriële chemicaliën ter wereld. Bij Phoenix Metals gebruiken we het in drie concentraties: 25%, 50% en 75%. Het is een heldere, kleurloze tot lichtgele vloeistof. Hoe hoger de concentratie, hoe gevaarlijker.</w:t>
      </w:r>
    </w:p>
    <w:p>
      <w:pPr>
        <w:pStyle w:val="Heading3"/>
      </w:pPr>
      <w:r>
        <w:t>Gevaren</w:t>
      </w:r>
    </w:p>
    <w:p>
      <w:pPr>
        <w:pStyle w:val="ListBullet"/>
      </w:pPr>
      <w:r>
        <w:t xml:space="preserve"> Ernststeken brandwonden bij huid- of oogcontact</w:t>
      </w:r>
    </w:p>
    <w:p>
      <w:pPr>
        <w:pStyle w:val="ListBullet"/>
      </w:pPr>
      <w:r>
        <w:t>Corrosief voor metalen — kan lekken veroorzaken</w:t>
      </w:r>
    </w:p>
    <w:p>
      <w:pPr>
        <w:pStyle w:val="ListBullet"/>
      </w:pPr>
      <w:r>
        <w:t>Exotherme reactie met water — nooit water op zuur gieten!</w:t>
      </w:r>
    </w:p>
    <w:p>
      <w:pPr>
        <w:pStyle w:val="ListBullet"/>
      </w:pPr>
      <w:r>
        <w:t>Reactie met NaOH is sterk exotherm — altijd gescheiden opslaan</w:t>
      </w:r>
    </w:p>
    <w:tbl>
      <w:tblPr>
        <w:tblStyle w:val="TableGrid"/>
        <w:tblW w:type="auto" w:w="0"/>
        <w:jc w:val="center"/>
        <w:tblLook w:firstColumn="1" w:firstRow="1" w:lastColumn="0" w:lastRow="0" w:noHBand="0" w:noVBand="1" w:val="04A0"/>
      </w:tblPr>
      <w:tblGrid>
        <w:gridCol w:w="4703"/>
        <w:gridCol w:w="4703"/>
      </w:tblGrid>
      <w:tr>
        <w:tc>
          <w:tcPr>
            <w:tcW w:type="dxa" w:w="4703"/>
            <w:shd w:val="clear" w:color="auto" w:fill="1B3A5C"/>
          </w:tcPr>
          <w:p>
            <w:pPr>
              <w:spacing w:after="40" w:before="40"/>
            </w:pPr>
            <w:r>
              <w:rPr>
                <w:b/>
                <w:color w:val="FFFFFF"/>
                <w:sz w:val="20"/>
              </w:rPr>
              <w:t>Eigenschap</w:t>
            </w:r>
          </w:p>
        </w:tc>
        <w:tc>
          <w:tcPr>
            <w:tcW w:type="dxa" w:w="4703"/>
            <w:shd w:val="clear" w:color="auto" w:fill="1B3A5C"/>
          </w:tcPr>
          <w:p>
            <w:pPr>
              <w:spacing w:after="40" w:before="40"/>
            </w:pPr>
            <w:r>
              <w:rPr>
                <w:b/>
                <w:color w:val="FFFFFF"/>
                <w:sz w:val="20"/>
              </w:rPr>
              <w:t>Waarde</w:t>
            </w:r>
          </w:p>
        </w:tc>
      </w:tr>
      <w:tr>
        <w:tc>
          <w:tcPr>
            <w:tcW w:type="dxa" w:w="4703"/>
          </w:tcPr>
          <w:p>
            <w:pPr>
              <w:spacing w:after="40" w:before="40"/>
            </w:pPr>
            <w:r>
              <w:rPr>
                <w:sz w:val="20"/>
              </w:rPr>
              <w:t>ADR-klasse</w:t>
            </w:r>
          </w:p>
        </w:tc>
        <w:tc>
          <w:tcPr>
            <w:tcW w:type="dxa" w:w="4703"/>
          </w:tcPr>
          <w:p>
            <w:pPr>
              <w:spacing w:after="40" w:before="40"/>
            </w:pPr>
            <w:r>
              <w:rPr>
                <w:sz w:val="20"/>
              </w:rPr>
              <w:t>8 (bijtend), UN 1830 (&gt;51%) / UN 2796 (≤51%)</w:t>
            </w:r>
          </w:p>
        </w:tc>
      </w:tr>
      <w:tr>
        <w:tc>
          <w:tcPr>
            <w:tcW w:type="dxa" w:w="4703"/>
            <w:shd w:val="clear" w:color="auto" w:fill="F2F2F2"/>
          </w:tcPr>
          <w:p>
            <w:pPr>
              <w:spacing w:after="40" w:before="40"/>
            </w:pPr>
            <w:r>
              <w:rPr>
                <w:sz w:val="20"/>
              </w:rPr>
              <w:t>H-zinnen</w:t>
            </w:r>
          </w:p>
        </w:tc>
        <w:tc>
          <w:tcPr>
            <w:tcW w:type="dxa" w:w="4703"/>
            <w:shd w:val="clear" w:color="auto" w:fill="F2F2F2"/>
          </w:tcPr>
          <w:p>
            <w:pPr>
              <w:spacing w:after="40" w:before="40"/>
            </w:pPr>
            <w:r>
              <w:rPr>
                <w:sz w:val="20"/>
              </w:rPr>
              <w:t>H290 (corrosief voor metalen), H314 (ernstige huidverbrandingen en oogletsel)</w:t>
            </w:r>
          </w:p>
        </w:tc>
      </w:tr>
    </w:tbl>
    <w:p>
      <w:pPr>
        <w:pStyle w:val="Heading3"/>
      </w:pPr>
      <w:r>
        <w:t>Veilig omgaan met zwavelzuur</w:t>
      </w:r>
    </w:p>
    <w:p>
      <w:pPr>
        <w:pStyle w:val="ListBullet"/>
      </w:pPr>
      <w:r>
        <w:t>Draag altijd: zuurbestendige handschoenen (PVC/nitril), veiligheidsbril, beschermende kleding</w:t>
      </w:r>
    </w:p>
    <w:p>
      <w:pPr>
        <w:pStyle w:val="ListBullet"/>
      </w:pPr>
      <w:r>
        <w:t>Gebruik het flow cabinet bij het overgieten of mengen</w:t>
      </w:r>
    </w:p>
    <w:p>
      <w:pPr>
        <w:pStyle w:val="ListBullet"/>
      </w:pPr>
      <w:r>
        <w:t>Nooit water op zuur gieten — altijd zuur aan water toevoegen</w:t>
      </w:r>
    </w:p>
    <w:p>
      <w:pPr>
        <w:pStyle w:val="ListBullet"/>
      </w:pPr>
      <w:r>
        <w:t>Bij huidcontact: onmiddellijk spoelen met water (minimaal 15 minuten)</w:t>
      </w:r>
    </w:p>
    <w:p>
      <w:pPr>
        <w:spacing w:before="120" w:after="120"/>
        <w:shd w:val="clear" w:color="auto" w:fill="FDEDED"/>
      </w:pPr>
      <w:r>
        <w:rPr>
          <w:color w:val="1B3A5C"/>
          <w:sz w:val="20"/>
        </w:rPr>
        <w:t>⚠️ Zwavelzuur + water = hitte-ontwikkeling. Giet NOOIT water bij zwavelzuur. Voeg altijd langzaam het zuur toe aan water.</w:t>
      </w:r>
    </w:p>
    <w:p>
      <w:pPr>
        <w:pStyle w:val="Heading2"/>
      </w:pPr>
      <w:r>
        <w:t>Natriumhydroxide (NaOH)</w:t>
      </w:r>
    </w:p>
    <w:p>
      <w:pPr>
        <w:pStyle w:val="Heading3"/>
      </w:pPr>
      <w:r>
        <w:t>Wat is het en wat doet het?</w:t>
      </w:r>
    </w:p>
    <w:p>
      <w:r>
        <w:t>Natriumhydroxide (ook wel 'loog' of 'caustic soda' genoemd) is een sterke base. Bij Phoenix Metals gebruiken we een 50% oplossing. Het is een heldere, kleurloze vloeistof die sterk bijtend is. Bij temperaturen onder 12°C kan de oplossing kristalliseren.</w:t>
      </w:r>
    </w:p>
    <w:p>
      <w:pPr>
        <w:pStyle w:val="Heading3"/>
      </w:pPr>
      <w:r>
        <w:t>Gevaren</w:t>
      </w:r>
    </w:p>
    <w:p>
      <w:pPr>
        <w:pStyle w:val="ListBullet"/>
      </w:pPr>
      <w:r>
        <w:t>Ernstige brandwonden bij huid- of oogcontact</w:t>
      </w:r>
    </w:p>
    <w:p>
      <w:pPr>
        <w:pStyle w:val="ListBullet"/>
      </w:pPr>
      <w:r>
        <w:t>Corrosief voor metalen</w:t>
      </w:r>
    </w:p>
    <w:p>
      <w:pPr>
        <w:pStyle w:val="ListBullet"/>
      </w:pPr>
      <w:r>
        <w:t>Kristallisatie bij &lt;12°C — vorstvrij opslaan!</w:t>
      </w:r>
    </w:p>
    <w:p>
      <w:pPr>
        <w:pStyle w:val="ListBullet"/>
      </w:pPr>
      <w:r>
        <w:t>Reactie met zuren is sterk exotherm — altijd gescheiden opslaan</w:t>
      </w:r>
    </w:p>
    <w:tbl>
      <w:tblPr>
        <w:tblStyle w:val="TableGrid"/>
        <w:tblW w:type="auto" w:w="0"/>
        <w:jc w:val="center"/>
        <w:tblLook w:firstColumn="1" w:firstRow="1" w:lastColumn="0" w:lastRow="0" w:noHBand="0" w:noVBand="1" w:val="04A0"/>
      </w:tblPr>
      <w:tblGrid>
        <w:gridCol w:w="4703"/>
        <w:gridCol w:w="4703"/>
      </w:tblGrid>
      <w:tr>
        <w:tc>
          <w:tcPr>
            <w:tcW w:type="dxa" w:w="4703"/>
            <w:shd w:val="clear" w:color="auto" w:fill="1B3A5C"/>
          </w:tcPr>
          <w:p>
            <w:pPr>
              <w:spacing w:after="40" w:before="40"/>
            </w:pPr>
            <w:r>
              <w:rPr>
                <w:b/>
                <w:color w:val="FFFFFF"/>
                <w:sz w:val="20"/>
              </w:rPr>
              <w:t>Eigenschap</w:t>
            </w:r>
          </w:p>
        </w:tc>
        <w:tc>
          <w:tcPr>
            <w:tcW w:type="dxa" w:w="4703"/>
            <w:shd w:val="clear" w:color="auto" w:fill="1B3A5C"/>
          </w:tcPr>
          <w:p>
            <w:pPr>
              <w:spacing w:after="40" w:before="40"/>
            </w:pPr>
            <w:r>
              <w:rPr>
                <w:b/>
                <w:color w:val="FFFFFF"/>
                <w:sz w:val="20"/>
              </w:rPr>
              <w:t>Waarde</w:t>
            </w:r>
          </w:p>
        </w:tc>
      </w:tr>
      <w:tr>
        <w:tc>
          <w:tcPr>
            <w:tcW w:type="dxa" w:w="4703"/>
          </w:tcPr>
          <w:p>
            <w:pPr>
              <w:spacing w:after="40" w:before="40"/>
            </w:pPr>
            <w:r>
              <w:rPr>
                <w:sz w:val="20"/>
              </w:rPr>
              <w:t>ADR-klasse</w:t>
            </w:r>
          </w:p>
        </w:tc>
        <w:tc>
          <w:tcPr>
            <w:tcW w:type="dxa" w:w="4703"/>
          </w:tcPr>
          <w:p>
            <w:pPr>
              <w:spacing w:after="40" w:before="40"/>
            </w:pPr>
            <w:r>
              <w:rPr>
                <w:sz w:val="20"/>
              </w:rPr>
              <w:t>8 (bijtend), UN 1824, Packing Group II</w:t>
            </w:r>
          </w:p>
        </w:tc>
      </w:tr>
      <w:tr>
        <w:tc>
          <w:tcPr>
            <w:tcW w:type="dxa" w:w="4703"/>
            <w:shd w:val="clear" w:color="auto" w:fill="F2F2F2"/>
          </w:tcPr>
          <w:p>
            <w:pPr>
              <w:spacing w:after="40" w:before="40"/>
            </w:pPr>
            <w:r>
              <w:rPr>
                <w:sz w:val="20"/>
              </w:rPr>
              <w:t>H-zinnen</w:t>
            </w:r>
          </w:p>
        </w:tc>
        <w:tc>
          <w:tcPr>
            <w:tcW w:type="dxa" w:w="4703"/>
            <w:shd w:val="clear" w:color="auto" w:fill="F2F2F2"/>
          </w:tcPr>
          <w:p>
            <w:pPr>
              <w:spacing w:after="40" w:before="40"/>
            </w:pPr>
            <w:r>
              <w:rPr>
                <w:sz w:val="20"/>
              </w:rPr>
              <w:t>H290, H314</w:t>
            </w:r>
          </w:p>
        </w:tc>
      </w:tr>
    </w:tbl>
    <w:p>
      <w:pPr>
        <w:pStyle w:val="Heading3"/>
      </w:pPr>
      <w:r>
        <w:t>Veilig omgaan met natriumhydroxide</w:t>
      </w:r>
    </w:p>
    <w:p>
      <w:pPr>
        <w:pStyle w:val="ListBullet"/>
      </w:pPr>
      <w:r>
        <w:t>Draag altijd: bijtwerende handschoenen (nitril/neopreen), veiligheidsbril, beschermkleding</w:t>
      </w:r>
    </w:p>
    <w:p>
      <w:pPr>
        <w:pStyle w:val="ListBullet"/>
      </w:pPr>
      <w:r>
        <w:t>Bewaar boven 15°C (kristallisatierisico)</w:t>
      </w:r>
    </w:p>
    <w:p>
      <w:pPr>
        <w:pStyle w:val="ListBullet"/>
      </w:pPr>
      <w:r>
        <w:t>Nooit mengen met zuren — altijd gescheiden opslaan en gebruiken</w:t>
      </w:r>
    </w:p>
    <w:p>
      <w:pPr>
        <w:pStyle w:val="ListBullet"/>
      </w:pPr>
      <w:r>
        <w:t>Bij huidcontact: onmiddellijk spoelen met veel water (15+ minuten)</w:t>
      </w:r>
    </w:p>
    <w:p>
      <w:pPr>
        <w:spacing w:before="120" w:after="120"/>
        <w:shd w:val="clear" w:color="auto" w:fill="FDEDED"/>
      </w:pPr>
      <w:r>
        <w:rPr>
          <w:color w:val="1B3A5C"/>
          <w:sz w:val="20"/>
        </w:rPr>
        <w:t>⚠️ NaOH + H₂SO₄ = heftige exotherme reactie. Deze stoffen MOETEN gescheiden opgeslagen worden. Zie hoofdstuk 5.</w:t>
      </w:r>
    </w:p>
    <w:p>
      <w:pPr>
        <w:pStyle w:val="Heading2"/>
      </w:pPr>
      <w:r>
        <w:t>SARU ash</w:t>
      </w:r>
    </w:p>
    <w:p>
      <w:pPr>
        <w:pStyle w:val="Heading3"/>
      </w:pPr>
      <w:r>
        <w:t>Wat is het en wat doet het?</w:t>
      </w:r>
    </w:p>
    <w:p>
      <w:r>
        <w:t>SARU ash (Soot Ash Removal Unit) is een reststroom uit de ruwe-olieraffinage. Het is een poederachtig mengsel dat voornamelijk bestaat uit natriummetavanadaat, trinatriumorthovanadaat en nikkeloxide. Phoenix Metals verwerkt dit materiaal om vanadium terug te winnen.</w:t>
      </w:r>
    </w:p>
    <w:p>
      <w:r>
        <w:t>Bijzonder aan SARU ash is dat het van nature voorkomende radionucliden bevat (U-238-reeks en Th-232-reeks). De activiteit is laag — bij de kleine hoeveelheden die wij verwerken (maximaal 60 kg totaal, 3,5 kg per batch) is het intrinsiek veilig volgens de stralingsbeschermingswetgeving.</w:t>
      </w:r>
    </w:p>
    <w:p>
      <w:pPr>
        <w:pStyle w:val="Heading3"/>
      </w:pPr>
      <w:r>
        <w:t>Gevaren</w:t>
      </w:r>
    </w:p>
    <w:p>
      <w:pPr>
        <w:pStyle w:val="ListBullet"/>
      </w:pPr>
      <w:r>
        <w:t>Vanadiumverbindingen: giftig bij inademing en inslikken</w:t>
      </w:r>
    </w:p>
    <w:p>
      <w:pPr>
        <w:pStyle w:val="ListBullet"/>
      </w:pPr>
      <w:r>
        <w:t>Nikkeloxide: irriterend, potentieel carcinogeen bij langdurige inademing</w:t>
      </w:r>
    </w:p>
    <w:p>
      <w:pPr>
        <w:pStyle w:val="ListBullet"/>
      </w:pPr>
      <w:r>
        <w:t>Radioactieve stoffen (laag niveau): U-238, Ra-226, Pb-210, Ra-228, Th-228</w:t>
      </w:r>
    </w:p>
    <w:p>
      <w:pPr>
        <w:pStyle w:val="ListBullet"/>
      </w:pPr>
      <w:r>
        <w:t>Stofvorming bij hanteren — inademing voorkomen</w:t>
      </w:r>
    </w:p>
    <w:p>
      <w:pPr>
        <w:pStyle w:val="Heading3"/>
      </w:pPr>
      <w:r>
        <w:t>Veilig omgaan met SARU ash</w:t>
      </w:r>
    </w:p>
    <w:p>
      <w:pPr>
        <w:pStyle w:val="ListBullet"/>
      </w:pPr>
      <w:r>
        <w:t>Draag altijd: FFP3-masker (stof), handschoenen, veiligheidsbril</w:t>
      </w:r>
    </w:p>
    <w:p>
      <w:pPr>
        <w:pStyle w:val="ListBullet"/>
      </w:pPr>
      <w:r>
        <w:t>Werk bij voorkeur in het flow cabinet of onder afzuiging</w:t>
      </w:r>
    </w:p>
    <w:p>
      <w:pPr>
        <w:pStyle w:val="ListBullet"/>
      </w:pPr>
      <w:r>
        <w:t>Maximaal 3,5 kg per batch — geen uitzonderingen</w:t>
      </w:r>
    </w:p>
    <w:p>
      <w:pPr>
        <w:pStyle w:val="ListBullet"/>
      </w:pPr>
      <w:r>
        <w:t>Vermijd stofvorming — werk voorzichtig en niet te hardhandig</w:t>
      </w:r>
    </w:p>
    <w:p>
      <w:pPr>
        <w:pStyle w:val="ListBullet"/>
      </w:pPr>
      <w:r>
        <w:t>Na afloop: handen wassen, kleding controleren op besmetting</w:t>
      </w:r>
    </w:p>
    <w:p>
      <w:pPr>
        <w:spacing w:before="120" w:after="120"/>
        <w:shd w:val="clear" w:color="auto" w:fill="FFF3CD"/>
      </w:pPr>
      <w:r>
        <w:rPr>
          <w:color w:val="1B3A5C"/>
          <w:sz w:val="20"/>
        </w:rPr>
        <w:t>📋 Stralingsbescherming: Hoewel de activiteit laag is, gelden specifieke regels. Notificatieplicht bij afvoer. Raadpleeg altijd de stralingsdeskundige (SBD Van Driel BV) bij twijfel.</w:t>
      </w:r>
    </w:p>
    <w:p>
      <w:pPr>
        <w:pStyle w:val="Heading2"/>
      </w:pPr>
      <w:r>
        <w:t>Aluminiumsulfaat</w:t>
      </w:r>
    </w:p>
    <w:p>
      <w:pPr>
        <w:pStyle w:val="Heading3"/>
      </w:pPr>
      <w:r>
        <w:t>Wat is het en wat doet het?</w:t>
      </w:r>
    </w:p>
    <w:p>
      <w:r>
        <w:t>Aluminiumsulfaat is een wit, kristallijn poeder. Het wordt gebruikt als coagulant in waterzuiveringsprocessen en bij Phoenix Metals in het proces. Het is een minder gevaarlijke stof dan zwavelzuur of NaOH, maar verdient toch aandacht.</w:t>
      </w:r>
    </w:p>
    <w:p>
      <w:pPr>
        <w:pStyle w:val="Heading3"/>
      </w:pPr>
      <w:r>
        <w:t>Gevaren</w:t>
      </w:r>
    </w:p>
    <w:p>
      <w:pPr>
        <w:pStyle w:val="ListBullet"/>
      </w:pPr>
      <w:r>
        <w:t>Irriterend voor ogen en huid</w:t>
      </w:r>
    </w:p>
    <w:p>
      <w:pPr>
        <w:pStyle w:val="ListBullet"/>
      </w:pPr>
      <w:r>
        <w:t>Irriterend bij inademing (stof)</w:t>
      </w:r>
    </w:p>
    <w:p>
      <w:pPr>
        <w:pStyle w:val="ListBullet"/>
      </w:pPr>
      <w:r>
        <w:t>Mild irriterend voor de luchtwegen</w:t>
      </w:r>
    </w:p>
    <w:p>
      <w:pPr>
        <w:pStyle w:val="Heading3"/>
      </w:pPr>
      <w:r>
        <w:t>Veilig omgaan</w:t>
      </w:r>
    </w:p>
    <w:p>
      <w:pPr>
        <w:pStyle w:val="ListBullet"/>
      </w:pPr>
      <w:r>
        <w:t>Draag: handschoenen, veiligheidsbril, stofmasker bij stofvorming</w:t>
      </w:r>
    </w:p>
    <w:p>
      <w:pPr>
        <w:pStyle w:val="ListBullet"/>
      </w:pPr>
      <w:r>
        <w:t>Stofvorming voorkomen bij het afmeten</w:t>
      </w:r>
    </w:p>
    <w:p>
      <w:pPr>
        <w:pStyle w:val="ListBullet"/>
      </w:pPr>
      <w:r>
        <w:t>Bij oogcontact: spoelen met water (15 minuten)</w:t>
      </w:r>
    </w:p>
    <w:p>
      <w:pPr>
        <w:pStyle w:val="Heading2"/>
      </w:pPr>
      <w:r>
        <w:t>Calciumoxide (CaO)</w:t>
      </w:r>
    </w:p>
    <w:p>
      <w:pPr>
        <w:pStyle w:val="Heading3"/>
      </w:pPr>
      <w:r>
        <w:t>Wat is het en wat doet het?</w:t>
      </w:r>
    </w:p>
    <w:p>
      <w:r>
        <w:t>Calciumoxide (ook wel 'ongebluste kalk' of 'quicklime') is een wit tot grijs poeder. Het reageert heftig met water onder ontwikkeling van hitte. Bij Phoenix Metals wordt het gebruikt in het proces.</w:t>
      </w:r>
    </w:p>
    <w:p>
      <w:pPr>
        <w:pStyle w:val="Heading3"/>
      </w:pPr>
      <w:r>
        <w:t>Gevaren</w:t>
      </w:r>
    </w:p>
    <w:p>
      <w:pPr>
        <w:pStyle w:val="ListBullet"/>
      </w:pPr>
      <w:r>
        <w:t>Bijtend — veroorzaakt huid- en oogirritatie</w:t>
      </w:r>
    </w:p>
    <w:p>
      <w:pPr>
        <w:pStyle w:val="ListBullet"/>
      </w:pPr>
      <w:r>
        <w:t>Reageert exotherm met water — hitte-ontwikkeling</w:t>
      </w:r>
    </w:p>
    <w:p>
      <w:pPr>
        <w:pStyle w:val="ListBullet"/>
      </w:pPr>
      <w:r>
        <w:t>Irriterend bij inademing (stof)</w:t>
      </w:r>
    </w:p>
    <w:p>
      <w:pPr>
        <w:pStyle w:val="Heading3"/>
      </w:pPr>
      <w:r>
        <w:t>Veilig omgaan</w:t>
      </w:r>
    </w:p>
    <w:p>
      <w:pPr>
        <w:pStyle w:val="ListBullet"/>
      </w:pPr>
      <w:r>
        <w:t>Draag: handschoenen, veiligheidsbril, stofmasker</w:t>
      </w:r>
    </w:p>
    <w:p>
      <w:pPr>
        <w:pStyle w:val="ListBullet"/>
      </w:pPr>
      <w:r>
        <w:t>Droog opslaan — uit de buurt van water en vocht</w:t>
      </w:r>
    </w:p>
    <w:p>
      <w:pPr>
        <w:pStyle w:val="ListBullet"/>
      </w:pPr>
      <w:r>
        <w:t>Nooit met natte handen aanpakken</w:t>
      </w:r>
    </w:p>
    <w:p>
      <w:r>
        <w:br w:type="page"/>
      </w:r>
    </w:p>
    <w:p>
      <w:pPr>
        <w:pStyle w:val="Heading1"/>
      </w:pPr>
      <w:r>
        <w:t>Opslagregels</w:t>
      </w:r>
    </w:p>
    <w:p>
      <w:pPr>
        <w:pStyle w:val="Heading2"/>
      </w:pPr>
      <w:r>
        <w:t>Waar worden stoffen opgeslagen?</w:t>
      </w:r>
    </w:p>
    <w:p>
      <w:r>
        <w:t>Alle gevaarlijke stoffen bij Phoenix Metals zijn opgeslagen in het rack lab, tenzij anders aangegeven. Het rack lab is voorzien van:</w:t>
      </w:r>
    </w:p>
    <w:p>
      <w:pPr>
        <w:pStyle w:val="ListBullet"/>
      </w:pPr>
      <w:r>
        <w:t>Lekbakken / opvangbakken onder elke verpakking</w:t>
      </w:r>
    </w:p>
    <w:p>
      <w:pPr>
        <w:pStyle w:val="ListBullet"/>
      </w:pPr>
      <w:r>
        <w:t>Ventilatie (voldoende luchtverversing)</w:t>
      </w:r>
    </w:p>
    <w:p>
      <w:pPr>
        <w:pStyle w:val="ListBullet"/>
      </w:pPr>
      <w:r>
        <w:t>Nooddouche en oogdouche in de nabijheid</w:t>
      </w:r>
    </w:p>
    <w:p>
      <w:pPr>
        <w:pStyle w:val="ListBullet"/>
      </w:pPr>
      <w:r>
        <w:t>Brandblusmiddelen geschikt voor chemische branden</w:t>
      </w:r>
    </w:p>
    <w:p>
      <w:pPr>
        <w:pStyle w:val="ListBullet"/>
      </w:pPr>
      <w:r>
        <w:t>Correcte etikettering op alle verpakkingen en opslaglocaties</w:t>
      </w:r>
    </w:p>
    <w:p>
      <w:pPr>
        <w:pStyle w:val="Heading2"/>
      </w:pPr>
      <w:r>
        <w:t>Basisregels voor opslag</w:t>
      </w:r>
    </w:p>
    <w:tbl>
      <w:tblPr>
        <w:tblStyle w:val="TableGrid"/>
        <w:tblW w:type="auto" w:w="0"/>
        <w:jc w:val="center"/>
        <w:tblLook w:firstColumn="1" w:firstRow="1" w:lastColumn="0" w:lastRow="0" w:noHBand="0" w:noVBand="1" w:val="04A0"/>
      </w:tblPr>
      <w:tblGrid>
        <w:gridCol w:w="4703"/>
        <w:gridCol w:w="4703"/>
      </w:tblGrid>
      <w:tr>
        <w:tc>
          <w:tcPr>
            <w:tcW w:type="dxa" w:w="4703"/>
            <w:shd w:val="clear" w:color="auto" w:fill="1B3A5C"/>
          </w:tcPr>
          <w:p>
            <w:pPr>
              <w:spacing w:after="40" w:before="40"/>
            </w:pPr>
            <w:r>
              <w:rPr>
                <w:b/>
                <w:color w:val="FFFFFF"/>
                <w:sz w:val="20"/>
              </w:rPr>
              <w:t>Regel</w:t>
            </w:r>
          </w:p>
        </w:tc>
        <w:tc>
          <w:tcPr>
            <w:tcW w:type="dxa" w:w="4703"/>
            <w:shd w:val="clear" w:color="auto" w:fill="1B3A5C"/>
          </w:tcPr>
          <w:p>
            <w:pPr>
              <w:spacing w:after="40" w:before="40"/>
            </w:pPr>
            <w:r>
              <w:rPr>
                <w:b/>
                <w:color w:val="FFFFFF"/>
                <w:sz w:val="20"/>
              </w:rPr>
              <w:t>Uitleg</w:t>
            </w:r>
          </w:p>
        </w:tc>
      </w:tr>
      <w:tr>
        <w:tc>
          <w:tcPr>
            <w:tcW w:type="dxa" w:w="4703"/>
          </w:tcPr>
          <w:p>
            <w:pPr>
              <w:spacing w:after="40" w:before="40"/>
            </w:pPr>
            <w:r>
              <w:rPr>
                <w:sz w:val="20"/>
              </w:rPr>
              <w:t>Gescheiden houden</w:t>
            </w:r>
          </w:p>
        </w:tc>
        <w:tc>
          <w:tcPr>
            <w:tcW w:type="dxa" w:w="4703"/>
          </w:tcPr>
          <w:p>
            <w:pPr>
              <w:spacing w:after="40" w:before="40"/>
            </w:pPr>
            <w:r>
              <w:rPr>
                <w:sz w:val="20"/>
              </w:rPr>
              <w:t>Zuren en basen NOOIT in hetzelfde vak. Oxiderende stoffen apart van brandbare stoffen.</w:t>
            </w:r>
          </w:p>
        </w:tc>
      </w:tr>
      <w:tr>
        <w:tc>
          <w:tcPr>
            <w:tcW w:type="dxa" w:w="4703"/>
            <w:shd w:val="clear" w:color="auto" w:fill="F2F2F2"/>
          </w:tcPr>
          <w:p>
            <w:pPr>
              <w:spacing w:after="40" w:before="40"/>
            </w:pPr>
            <w:r>
              <w:rPr>
                <w:sz w:val="20"/>
              </w:rPr>
              <w:t>Lekbeker / opvangbak</w:t>
            </w:r>
          </w:p>
        </w:tc>
        <w:tc>
          <w:tcPr>
            <w:tcW w:type="dxa" w:w="4703"/>
            <w:shd w:val="clear" w:color="auto" w:fill="F2F2F2"/>
          </w:tcPr>
          <w:p>
            <w:pPr>
              <w:spacing w:after="40" w:before="40"/>
            </w:pPr>
            <w:r>
              <w:rPr>
                <w:sz w:val="20"/>
              </w:rPr>
              <w:t>Elke verpakking staat in een lekbak die de volledige inhoud kan opvangen.</w:t>
            </w:r>
          </w:p>
        </w:tc>
      </w:tr>
      <w:tr>
        <w:tc>
          <w:tcPr>
            <w:tcW w:type="dxa" w:w="4703"/>
          </w:tcPr>
          <w:p>
            <w:pPr>
              <w:spacing w:after="40" w:before="40"/>
            </w:pPr>
            <w:r>
              <w:rPr>
                <w:sz w:val="20"/>
              </w:rPr>
              <w:t>Ventilatie</w:t>
            </w:r>
          </w:p>
        </w:tc>
        <w:tc>
          <w:tcPr>
            <w:tcW w:type="dxa" w:w="4703"/>
          </w:tcPr>
          <w:p>
            <w:pPr>
              <w:spacing w:after="40" w:before="40"/>
            </w:pPr>
            <w:r>
              <w:rPr>
                <w:sz w:val="20"/>
              </w:rPr>
              <w:t>Zorg altijd voor voldoende ventilatie. Geen opslag in afgesloten, onventilatie ruimtes.</w:t>
            </w:r>
          </w:p>
        </w:tc>
      </w:tr>
      <w:tr>
        <w:tc>
          <w:tcPr>
            <w:tcW w:type="dxa" w:w="4703"/>
            <w:shd w:val="clear" w:color="auto" w:fill="F2F2F2"/>
          </w:tcPr>
          <w:p>
            <w:pPr>
              <w:spacing w:after="40" w:before="40"/>
            </w:pPr>
            <w:r>
              <w:rPr>
                <w:sz w:val="20"/>
              </w:rPr>
              <w:t>Etikettering</w:t>
            </w:r>
          </w:p>
        </w:tc>
        <w:tc>
          <w:tcPr>
            <w:tcW w:type="dxa" w:w="4703"/>
            <w:shd w:val="clear" w:color="auto" w:fill="F2F2F2"/>
          </w:tcPr>
          <w:p>
            <w:pPr>
              <w:spacing w:after="40" w:before="40"/>
            </w:pPr>
            <w:r>
              <w:rPr>
                <w:sz w:val="20"/>
              </w:rPr>
              <w:t>Elke verpakking heeft een leesbaar etiket. Geen etiket = niet gebruiken. Melden!</w:t>
            </w:r>
          </w:p>
        </w:tc>
      </w:tr>
      <w:tr>
        <w:tc>
          <w:tcPr>
            <w:tcW w:type="dxa" w:w="4703"/>
          </w:tcPr>
          <w:p>
            <w:pPr>
              <w:spacing w:after="40" w:before="40"/>
            </w:pPr>
            <w:r>
              <w:rPr>
                <w:sz w:val="20"/>
              </w:rPr>
              <w:t>Beperkte voorraad</w:t>
            </w:r>
          </w:p>
        </w:tc>
        <w:tc>
          <w:tcPr>
            <w:tcW w:type="dxa" w:w="4703"/>
          </w:tcPr>
          <w:p>
            <w:pPr>
              <w:spacing w:after="40" w:before="40"/>
            </w:pPr>
            <w:r>
              <w:rPr>
                <w:sz w:val="20"/>
              </w:rPr>
              <w:t>Alleen wat je nodig hebt op voorraad. Grote voorraden horen in het magazijn.</w:t>
            </w:r>
          </w:p>
        </w:tc>
      </w:tr>
      <w:tr>
        <w:tc>
          <w:tcPr>
            <w:tcW w:type="dxa" w:w="4703"/>
            <w:shd w:val="clear" w:color="auto" w:fill="F2F2F2"/>
          </w:tcPr>
          <w:p>
            <w:pPr>
              <w:spacing w:after="40" w:before="40"/>
            </w:pPr>
            <w:r>
              <w:rPr>
                <w:sz w:val="20"/>
              </w:rPr>
              <w:t>Toegangsbeperking</w:t>
            </w:r>
          </w:p>
        </w:tc>
        <w:tc>
          <w:tcPr>
            <w:tcW w:type="dxa" w:w="4703"/>
            <w:shd w:val="clear" w:color="auto" w:fill="F2F2F2"/>
          </w:tcPr>
          <w:p>
            <w:pPr>
              <w:spacing w:after="40" w:before="40"/>
            </w:pPr>
            <w:r>
              <w:rPr>
                <w:sz w:val="20"/>
              </w:rPr>
              <w:t>Alleen geautoriseerd personeel komt in de opslagruimte.</w:t>
            </w:r>
          </w:p>
        </w:tc>
      </w:tr>
    </w:tbl>
    <w:p>
      <w:pPr>
        <w:pStyle w:val="Heading2"/>
      </w:pPr>
      <w:r>
        <w:t>Scheidingsregels — welke stoffen MOETEN gescheiden?</w:t>
      </w:r>
    </w:p>
    <w:p>
      <w:pPr>
        <w:spacing w:before="120" w:after="120"/>
        <w:shd w:val="clear" w:color="auto" w:fill="FDEDED"/>
      </w:pPr>
      <w:r>
        <w:rPr>
          <w:color w:val="1B3A5C"/>
          <w:sz w:val="20"/>
        </w:rPr>
        <w:t>⚠️ CRUCIALE REGEL: Zuren (H₂SO₄) en basen (NaOH) MOETEN strikt gescheiden opgeslagen worden. Menging veroorzaakt een heftige exotherme reactie met spatten en hitte-ontwikkeling.</w:t>
      </w:r>
    </w:p>
    <w:p/>
    <w:tbl>
      <w:tblPr>
        <w:tblStyle w:val="TableGrid"/>
        <w:tblW w:type="auto" w:w="0"/>
        <w:jc w:val="center"/>
        <w:tblLook w:firstColumn="1" w:firstRow="1" w:lastColumn="0" w:lastRow="0" w:noHBand="0" w:noVBand="1" w:val="04A0"/>
      </w:tblPr>
      <w:tblGrid>
        <w:gridCol w:w="3135"/>
        <w:gridCol w:w="3135"/>
        <w:gridCol w:w="3135"/>
      </w:tblGrid>
      <w:tr>
        <w:tc>
          <w:tcPr>
            <w:tcW w:type="dxa" w:w="3135"/>
            <w:shd w:val="clear" w:color="auto" w:fill="1B3A5C"/>
          </w:tcPr>
          <w:p>
            <w:pPr>
              <w:spacing w:after="40" w:before="40"/>
            </w:pPr>
            <w:r>
              <w:rPr>
                <w:b/>
                <w:color w:val="FFFFFF"/>
                <w:sz w:val="20"/>
              </w:rPr>
              <w:t>Stof A</w:t>
            </w:r>
          </w:p>
        </w:tc>
        <w:tc>
          <w:tcPr>
            <w:tcW w:type="dxa" w:w="3135"/>
            <w:shd w:val="clear" w:color="auto" w:fill="1B3A5C"/>
          </w:tcPr>
          <w:p>
            <w:pPr>
              <w:spacing w:after="40" w:before="40"/>
            </w:pPr>
            <w:r>
              <w:rPr>
                <w:b/>
                <w:color w:val="FFFFFF"/>
                <w:sz w:val="20"/>
              </w:rPr>
              <w:t>Stof B</w:t>
            </w:r>
          </w:p>
        </w:tc>
        <w:tc>
          <w:tcPr>
            <w:tcW w:type="dxa" w:w="3135"/>
            <w:shd w:val="clear" w:color="auto" w:fill="1B3A5C"/>
          </w:tcPr>
          <w:p>
            <w:pPr>
              <w:spacing w:after="40" w:before="40"/>
            </w:pPr>
            <w:r>
              <w:rPr>
                <w:b/>
                <w:color w:val="FFFFFF"/>
                <w:sz w:val="20"/>
              </w:rPr>
              <w:t>Waarom gescheiden?</w:t>
            </w:r>
          </w:p>
        </w:tc>
      </w:tr>
      <w:tr>
        <w:tc>
          <w:tcPr>
            <w:tcW w:type="dxa" w:w="3135"/>
          </w:tcPr>
          <w:p>
            <w:pPr>
              <w:spacing w:after="40" w:before="40"/>
            </w:pPr>
            <w:r>
              <w:rPr>
                <w:sz w:val="20"/>
              </w:rPr>
              <w:t>H₂SO₄ (zuren)</w:t>
            </w:r>
          </w:p>
        </w:tc>
        <w:tc>
          <w:tcPr>
            <w:tcW w:type="dxa" w:w="3135"/>
          </w:tcPr>
          <w:p>
            <w:pPr>
              <w:spacing w:after="40" w:before="40"/>
            </w:pPr>
            <w:r>
              <w:rPr>
                <w:sz w:val="20"/>
              </w:rPr>
              <w:t>NaOH (basen)</w:t>
            </w:r>
          </w:p>
        </w:tc>
        <w:tc>
          <w:tcPr>
            <w:tcW w:type="dxa" w:w="3135"/>
          </w:tcPr>
          <w:p>
            <w:pPr>
              <w:spacing w:after="40" w:before="40"/>
            </w:pPr>
            <w:r>
              <w:rPr>
                <w:sz w:val="20"/>
              </w:rPr>
              <w:t>Exotherme reactie — spatten, hitte, brandgevaar</w:t>
            </w:r>
          </w:p>
        </w:tc>
      </w:tr>
      <w:tr>
        <w:tc>
          <w:tcPr>
            <w:tcW w:type="dxa" w:w="3135"/>
            <w:shd w:val="clear" w:color="auto" w:fill="F2F2F2"/>
          </w:tcPr>
          <w:p>
            <w:pPr>
              <w:spacing w:after="40" w:before="40"/>
            </w:pPr>
            <w:r>
              <w:rPr>
                <w:sz w:val="20"/>
              </w:rPr>
              <w:t>H₂SO₄</w:t>
            </w:r>
          </w:p>
        </w:tc>
        <w:tc>
          <w:tcPr>
            <w:tcW w:type="dxa" w:w="3135"/>
            <w:shd w:val="clear" w:color="auto" w:fill="F2F2F2"/>
          </w:tcPr>
          <w:p>
            <w:pPr>
              <w:spacing w:after="40" w:before="40"/>
            </w:pPr>
            <w:r>
              <w:rPr>
                <w:sz w:val="20"/>
              </w:rPr>
              <w:t>Metaalpoeders</w:t>
            </w:r>
          </w:p>
        </w:tc>
        <w:tc>
          <w:tcPr>
            <w:tcW w:type="dxa" w:w="3135"/>
            <w:shd w:val="clear" w:color="auto" w:fill="F2F2F2"/>
          </w:tcPr>
          <w:p>
            <w:pPr>
              <w:spacing w:after="40" w:before="40"/>
            </w:pPr>
            <w:r>
              <w:rPr>
                <w:sz w:val="20"/>
              </w:rPr>
              <w:t>Waterstofontwikkeling — explosiegevaar</w:t>
            </w:r>
          </w:p>
        </w:tc>
      </w:tr>
      <w:tr>
        <w:tc>
          <w:tcPr>
            <w:tcW w:type="dxa" w:w="3135"/>
          </w:tcPr>
          <w:p>
            <w:pPr>
              <w:spacing w:after="40" w:before="40"/>
            </w:pPr>
            <w:r>
              <w:rPr>
                <w:sz w:val="20"/>
              </w:rPr>
              <w:t>Oxiderende stoffen</w:t>
            </w:r>
          </w:p>
        </w:tc>
        <w:tc>
          <w:tcPr>
            <w:tcW w:type="dxa" w:w="3135"/>
          </w:tcPr>
          <w:p>
            <w:pPr>
              <w:spacing w:after="40" w:before="40"/>
            </w:pPr>
            <w:r>
              <w:rPr>
                <w:sz w:val="20"/>
              </w:rPr>
              <w:t>Brandbare stoffen</w:t>
            </w:r>
          </w:p>
        </w:tc>
        <w:tc>
          <w:tcPr>
            <w:tcW w:type="dxa" w:w="3135"/>
          </w:tcPr>
          <w:p>
            <w:pPr>
              <w:spacing w:after="40" w:before="40"/>
            </w:pPr>
            <w:r>
              <w:rPr>
                <w:sz w:val="20"/>
              </w:rPr>
              <w:t>Brandversterking — brandgevaar</w:t>
            </w:r>
          </w:p>
        </w:tc>
      </w:tr>
    </w:tbl>
    <w:p>
      <w:pPr>
        <w:pStyle w:val="Heading2"/>
      </w:pPr>
      <w:r>
        <w:t>Etiketten en borden begrijpen</w:t>
      </w:r>
    </w:p>
    <w:p>
      <w:r>
        <w:t>Op elke verpakking en op de opslaglocatie vind je etiketten en borden. Wat betekenen ze?</w:t>
      </w:r>
    </w:p>
    <w:p>
      <w:pPr>
        <w:pStyle w:val="ListBullet"/>
      </w:pPr>
      <w:r>
        <w:t>Oranje ADR-bord met getal: geeft de ADR-gevarenklasse aan (bijv. '8' = bijtend)</w:t>
      </w:r>
    </w:p>
    <w:p>
      <w:pPr>
        <w:pStyle w:val="ListBullet"/>
      </w:pPr>
      <w:r>
        <w:t>GHS-pictogram (diamant vorm): geeft het type gevaar aan (zie hoofdstuk 3)</w:t>
      </w:r>
    </w:p>
    <w:p>
      <w:pPr>
        <w:pStyle w:val="ListBullet"/>
      </w:pPr>
      <w:r>
        <w:t>H-zinnen: beschrijven de specifieke gevaren (bijv. H314 = veroorzaakt ernstige huidverbrandingen)</w:t>
      </w:r>
    </w:p>
    <w:p>
      <w:pPr>
        <w:pStyle w:val="ListBullet"/>
      </w:pPr>
      <w:r>
        <w:t>P-zinnen: geven veiligheidsmaatregelen (bijv. P280 = beschermende handschoenen dragen)</w:t>
      </w:r>
    </w:p>
    <w:p>
      <w:pPr>
        <w:spacing w:before="120" w:after="120"/>
        <w:shd w:val="clear" w:color="auto" w:fill="E8F8E8"/>
      </w:pPr>
      <w:r>
        <w:rPr>
          <w:color w:val="1B3A5C"/>
          <w:sz w:val="20"/>
        </w:rPr>
        <w:t>💡 Kun je een etiket niet lezen of ontbreekt het? Gebruik de stof NIET. Meld het direct aan je leidinggevende.</w:t>
      </w:r>
    </w:p>
    <w:p>
      <w:r>
        <w:br w:type="page"/>
      </w:r>
    </w:p>
    <w:p>
      <w:pPr>
        <w:pStyle w:val="Heading1"/>
      </w:pPr>
      <w:r>
        <w:t>Veilig werken</w:t>
      </w:r>
    </w:p>
    <w:p>
      <w:pPr>
        <w:pStyle w:val="Heading2"/>
      </w:pPr>
      <w:r>
        <w:t>Persoonlijke beschermingsmiddelen (PBM's)</w:t>
      </w:r>
    </w:p>
    <w:p>
      <w:r>
        <w:t>Persoonlijke beschermingsmiddelen zijn je laatste verdedigingslinie. Ze beschermen je als andere maatregelen falen. Draag ze altijd — geen uitzonderingen.</w:t>
      </w:r>
    </w:p>
    <w:p>
      <w:pPr>
        <w:pStyle w:val="Heading2"/>
      </w:pPr>
      <w:r>
        <w:t>Wat dragen bij welke taak?</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val="clear" w:color="auto" w:fill="1B3A5C"/>
          </w:tcPr>
          <w:p>
            <w:pPr>
              <w:spacing w:after="40" w:before="40"/>
            </w:pPr>
            <w:r>
              <w:rPr>
                <w:b/>
                <w:color w:val="FFFFFF"/>
                <w:sz w:val="20"/>
              </w:rPr>
              <w:t>Werkzaamheid</w:t>
            </w:r>
          </w:p>
        </w:tc>
        <w:tc>
          <w:tcPr>
            <w:tcW w:type="dxa" w:w="2351"/>
            <w:shd w:val="clear" w:color="auto" w:fill="1B3A5C"/>
          </w:tcPr>
          <w:p>
            <w:pPr>
              <w:spacing w:after="40" w:before="40"/>
            </w:pPr>
            <w:r>
              <w:rPr>
                <w:b/>
                <w:color w:val="FFFFFF"/>
                <w:sz w:val="20"/>
              </w:rPr>
              <w:t>Handen</w:t>
            </w:r>
          </w:p>
        </w:tc>
        <w:tc>
          <w:tcPr>
            <w:tcW w:type="dxa" w:w="2351"/>
            <w:shd w:val="clear" w:color="auto" w:fill="1B3A5C"/>
          </w:tcPr>
          <w:p>
            <w:pPr>
              <w:spacing w:after="40" w:before="40"/>
            </w:pPr>
            <w:r>
              <w:rPr>
                <w:b/>
                <w:color w:val="FFFFFF"/>
                <w:sz w:val="20"/>
              </w:rPr>
              <w:t>Ogen/Gezicht</w:t>
            </w:r>
          </w:p>
        </w:tc>
        <w:tc>
          <w:tcPr>
            <w:tcW w:type="dxa" w:w="2351"/>
            <w:shd w:val="clear" w:color="auto" w:fill="1B3A5C"/>
          </w:tcPr>
          <w:p>
            <w:pPr>
              <w:spacing w:after="40" w:before="40"/>
            </w:pPr>
            <w:r>
              <w:rPr>
                <w:b/>
                <w:color w:val="FFFFFF"/>
                <w:sz w:val="20"/>
              </w:rPr>
              <w:t>Overig</w:t>
            </w:r>
          </w:p>
        </w:tc>
      </w:tr>
      <w:tr>
        <w:tc>
          <w:tcPr>
            <w:tcW w:type="dxa" w:w="2351"/>
          </w:tcPr>
          <w:p>
            <w:pPr>
              <w:spacing w:after="40" w:before="40"/>
            </w:pPr>
            <w:r>
              <w:rPr>
                <w:sz w:val="20"/>
              </w:rPr>
              <w:t>H₂SO₄ hanteren</w:t>
            </w:r>
          </w:p>
        </w:tc>
        <w:tc>
          <w:tcPr>
            <w:tcW w:type="dxa" w:w="2351"/>
          </w:tcPr>
          <w:p>
            <w:pPr>
              <w:spacing w:after="40" w:before="40"/>
            </w:pPr>
            <w:r>
              <w:rPr>
                <w:sz w:val="20"/>
              </w:rPr>
              <w:t>PVC/nitril zuurbestendig</w:t>
            </w:r>
          </w:p>
        </w:tc>
        <w:tc>
          <w:tcPr>
            <w:tcW w:type="dxa" w:w="2351"/>
          </w:tcPr>
          <w:p>
            <w:pPr>
              <w:spacing w:after="40" w:before="40"/>
            </w:pPr>
            <w:r>
              <w:rPr>
                <w:sz w:val="20"/>
              </w:rPr>
              <w:t>Veiligheidsbril + gezichtsmasker</w:t>
            </w:r>
          </w:p>
        </w:tc>
        <w:tc>
          <w:tcPr>
            <w:tcW w:type="dxa" w:w="2351"/>
          </w:tcPr>
          <w:p>
            <w:pPr>
              <w:spacing w:after="40" w:before="40"/>
            </w:pPr>
            <w:r>
              <w:rPr>
                <w:sz w:val="20"/>
              </w:rPr>
              <w:t>Zuurbestendig pak, laarzen</w:t>
            </w:r>
          </w:p>
        </w:tc>
      </w:tr>
      <w:tr>
        <w:tc>
          <w:tcPr>
            <w:tcW w:type="dxa" w:w="2351"/>
            <w:shd w:val="clear" w:color="auto" w:fill="F2F2F2"/>
          </w:tcPr>
          <w:p>
            <w:pPr>
              <w:spacing w:after="40" w:before="40"/>
            </w:pPr>
            <w:r>
              <w:rPr>
                <w:sz w:val="20"/>
              </w:rPr>
              <w:t>NaOH hanteren</w:t>
            </w:r>
          </w:p>
        </w:tc>
        <w:tc>
          <w:tcPr>
            <w:tcW w:type="dxa" w:w="2351"/>
            <w:shd w:val="clear" w:color="auto" w:fill="F2F2F2"/>
          </w:tcPr>
          <w:p>
            <w:pPr>
              <w:spacing w:after="40" w:before="40"/>
            </w:pPr>
            <w:r>
              <w:rPr>
                <w:sz w:val="20"/>
              </w:rPr>
              <w:t>Nitril/neopreen bijtwerend</w:t>
            </w:r>
          </w:p>
        </w:tc>
        <w:tc>
          <w:tcPr>
            <w:tcW w:type="dxa" w:w="2351"/>
            <w:shd w:val="clear" w:color="auto" w:fill="F2F2F2"/>
          </w:tcPr>
          <w:p>
            <w:pPr>
              <w:spacing w:after="40" w:before="40"/>
            </w:pPr>
            <w:r>
              <w:rPr>
                <w:sz w:val="20"/>
              </w:rPr>
              <w:t>Veiligheidsbril + gezichtsmasker</w:t>
            </w:r>
          </w:p>
        </w:tc>
        <w:tc>
          <w:tcPr>
            <w:tcW w:type="dxa" w:w="2351"/>
            <w:shd w:val="clear" w:color="auto" w:fill="F2F2F2"/>
          </w:tcPr>
          <w:p>
            <w:pPr>
              <w:spacing w:after="40" w:before="40"/>
            </w:pPr>
            <w:r>
              <w:rPr>
                <w:sz w:val="20"/>
              </w:rPr>
              <w:t>Beschermkleding, laarzen</w:t>
            </w:r>
          </w:p>
        </w:tc>
      </w:tr>
      <w:tr>
        <w:tc>
          <w:tcPr>
            <w:tcW w:type="dxa" w:w="2351"/>
          </w:tcPr>
          <w:p>
            <w:pPr>
              <w:spacing w:after="40" w:before="40"/>
            </w:pPr>
            <w:r>
              <w:rPr>
                <w:sz w:val="20"/>
              </w:rPr>
              <w:t>SARU ash hanteren</w:t>
            </w:r>
          </w:p>
        </w:tc>
        <w:tc>
          <w:tcPr>
            <w:tcW w:type="dxa" w:w="2351"/>
          </w:tcPr>
          <w:p>
            <w:pPr>
              <w:spacing w:after="40" w:before="40"/>
            </w:pPr>
            <w:r>
              <w:rPr>
                <w:sz w:val="20"/>
              </w:rPr>
              <w:t>Handschoenen (nitril)</w:t>
            </w:r>
          </w:p>
        </w:tc>
        <w:tc>
          <w:tcPr>
            <w:tcW w:type="dxa" w:w="2351"/>
          </w:tcPr>
          <w:p>
            <w:pPr>
              <w:spacing w:after="40" w:before="40"/>
            </w:pPr>
            <w:r>
              <w:rPr>
                <w:sz w:val="20"/>
              </w:rPr>
              <w:t>Veiligheidsbril</w:t>
            </w:r>
          </w:p>
        </w:tc>
        <w:tc>
          <w:tcPr>
            <w:tcW w:type="dxa" w:w="2351"/>
          </w:tcPr>
          <w:p>
            <w:pPr>
              <w:spacing w:after="40" w:before="40"/>
            </w:pPr>
            <w:r>
              <w:rPr>
                <w:sz w:val="20"/>
              </w:rPr>
              <w:t>FFP3-masker, overall</w:t>
            </w:r>
          </w:p>
        </w:tc>
      </w:tr>
      <w:tr>
        <w:tc>
          <w:tcPr>
            <w:tcW w:type="dxa" w:w="2351"/>
            <w:shd w:val="clear" w:color="auto" w:fill="F2F2F2"/>
          </w:tcPr>
          <w:p>
            <w:pPr>
              <w:spacing w:after="40" w:before="40"/>
            </w:pPr>
            <w:r>
              <w:rPr>
                <w:sz w:val="20"/>
              </w:rPr>
              <w:t>Aluminiumsulfaat</w:t>
            </w:r>
          </w:p>
        </w:tc>
        <w:tc>
          <w:tcPr>
            <w:tcW w:type="dxa" w:w="2351"/>
            <w:shd w:val="clear" w:color="auto" w:fill="F2F2F2"/>
          </w:tcPr>
          <w:p>
            <w:pPr>
              <w:spacing w:after="40" w:before="40"/>
            </w:pPr>
            <w:r>
              <w:rPr>
                <w:sz w:val="20"/>
              </w:rPr>
              <w:t>Handschoenen</w:t>
            </w:r>
          </w:p>
        </w:tc>
        <w:tc>
          <w:tcPr>
            <w:tcW w:type="dxa" w:w="2351"/>
            <w:shd w:val="clear" w:color="auto" w:fill="F2F2F2"/>
          </w:tcPr>
          <w:p>
            <w:pPr>
              <w:spacing w:after="40" w:before="40"/>
            </w:pPr>
            <w:r>
              <w:rPr>
                <w:sz w:val="20"/>
              </w:rPr>
              <w:t>Veiligheidsbril</w:t>
            </w:r>
          </w:p>
        </w:tc>
        <w:tc>
          <w:tcPr>
            <w:tcW w:type="dxa" w:w="2351"/>
            <w:shd w:val="clear" w:color="auto" w:fill="F2F2F2"/>
          </w:tcPr>
          <w:p>
            <w:pPr>
              <w:spacing w:after="40" w:before="40"/>
            </w:pPr>
            <w:r>
              <w:rPr>
                <w:sz w:val="20"/>
              </w:rPr>
              <w:t>Stofmasker bij stofvorming</w:t>
            </w:r>
          </w:p>
        </w:tc>
      </w:tr>
      <w:tr>
        <w:tc>
          <w:tcPr>
            <w:tcW w:type="dxa" w:w="2351"/>
          </w:tcPr>
          <w:p>
            <w:pPr>
              <w:spacing w:after="40" w:before="40"/>
            </w:pPr>
            <w:r>
              <w:rPr>
                <w:sz w:val="20"/>
              </w:rPr>
              <w:t>Calciumoxide</w:t>
            </w:r>
          </w:p>
        </w:tc>
        <w:tc>
          <w:tcPr>
            <w:tcW w:type="dxa" w:w="2351"/>
          </w:tcPr>
          <w:p>
            <w:pPr>
              <w:spacing w:after="40" w:before="40"/>
            </w:pPr>
            <w:r>
              <w:rPr>
                <w:sz w:val="20"/>
              </w:rPr>
              <w:t>Handschoenen</w:t>
            </w:r>
          </w:p>
        </w:tc>
        <w:tc>
          <w:tcPr>
            <w:tcW w:type="dxa" w:w="2351"/>
          </w:tcPr>
          <w:p>
            <w:pPr>
              <w:spacing w:after="40" w:before="40"/>
            </w:pPr>
            <w:r>
              <w:rPr>
                <w:sz w:val="20"/>
              </w:rPr>
              <w:t>Veiligheidsbril</w:t>
            </w:r>
          </w:p>
        </w:tc>
        <w:tc>
          <w:tcPr>
            <w:tcW w:type="dxa" w:w="2351"/>
          </w:tcPr>
          <w:p>
            <w:pPr>
              <w:spacing w:after="40" w:before="40"/>
            </w:pPr>
            <w:r>
              <w:rPr>
                <w:sz w:val="20"/>
              </w:rPr>
              <w:t>Stofmasker, droge kleding</w:t>
            </w:r>
          </w:p>
        </w:tc>
      </w:tr>
      <w:tr>
        <w:tc>
          <w:tcPr>
            <w:tcW w:type="dxa" w:w="2351"/>
            <w:shd w:val="clear" w:color="auto" w:fill="F2F2F2"/>
          </w:tcPr>
          <w:p>
            <w:pPr>
              <w:spacing w:after="40" w:before="40"/>
            </w:pPr>
            <w:r>
              <w:rPr>
                <w:sz w:val="20"/>
              </w:rPr>
              <w:t>Labwerk (algemeen)</w:t>
            </w:r>
          </w:p>
        </w:tc>
        <w:tc>
          <w:tcPr>
            <w:tcW w:type="dxa" w:w="2351"/>
            <w:shd w:val="clear" w:color="auto" w:fill="F2F2F2"/>
          </w:tcPr>
          <w:p>
            <w:pPr>
              <w:spacing w:after="40" w:before="40"/>
            </w:pPr>
            <w:r>
              <w:rPr>
                <w:sz w:val="20"/>
              </w:rPr>
              <w:t>Nitril handschoenen</w:t>
            </w:r>
          </w:p>
        </w:tc>
        <w:tc>
          <w:tcPr>
            <w:tcW w:type="dxa" w:w="2351"/>
            <w:shd w:val="clear" w:color="auto" w:fill="F2F2F2"/>
          </w:tcPr>
          <w:p>
            <w:pPr>
              <w:spacing w:after="40" w:before="40"/>
            </w:pPr>
            <w:r>
              <w:rPr>
                <w:sz w:val="20"/>
              </w:rPr>
              <w:t>Veiligheidsbril</w:t>
            </w:r>
          </w:p>
        </w:tc>
        <w:tc>
          <w:tcPr>
            <w:tcW w:type="dxa" w:w="2351"/>
            <w:shd w:val="clear" w:color="auto" w:fill="F2F2F2"/>
          </w:tcPr>
          <w:p>
            <w:pPr>
              <w:spacing w:after="40" w:before="40"/>
            </w:pPr>
            <w:r>
              <w:rPr>
                <w:sz w:val="20"/>
              </w:rPr>
              <w:t>Labjas</w:t>
            </w:r>
          </w:p>
        </w:tc>
      </w:tr>
    </w:tbl>
    <w:p>
      <w:pPr>
        <w:pStyle w:val="Heading2"/>
      </w:pPr>
      <w:r>
        <w:t>Flow cabinet gebruik</w:t>
      </w:r>
    </w:p>
    <w:p>
      <w:r>
        <w:t>Het flow cabinet (afzuigkap) gebruik je bij:</w:t>
      </w:r>
    </w:p>
    <w:p>
      <w:pPr>
        <w:pStyle w:val="ListBullet"/>
      </w:pPr>
      <w:r>
        <w:t>Overgieten en mengen van vloeistoffen</w:t>
      </w:r>
    </w:p>
    <w:p>
      <w:pPr>
        <w:pStyle w:val="ListBullet"/>
      </w:pPr>
      <w:r>
        <w:t>Hanteren van SARU ash en andere poeders</w:t>
      </w:r>
    </w:p>
    <w:p>
      <w:pPr>
        <w:pStyle w:val="ListBullet"/>
      </w:pPr>
      <w:r>
        <w:t>Alle handelingen waarbij dampen of stof vrij kunnen komen</w:t>
      </w:r>
    </w:p>
    <w:p>
      <w:pPr>
        <w:spacing w:before="120" w:after="120"/>
        <w:shd w:val="clear" w:color="auto" w:fill="FFF3CD"/>
      </w:pPr>
      <w:r>
        <w:rPr>
          <w:color w:val="1B3A5C"/>
          <w:sz w:val="20"/>
        </w:rPr>
        <w:t>Controleer voor gebruik of de afzuiging werkt (controleer indicatie ordeel). Werkt het niet? Niet gebruiken — meld het direct.</w:t>
      </w:r>
    </w:p>
    <w:p>
      <w:pPr>
        <w:pStyle w:val="Heading2"/>
      </w:pPr>
      <w:r>
        <w:t>Verboden acties</w:t>
      </w:r>
    </w:p>
    <w:p>
      <w:r>
        <w:t>De volgende acties zijn TEN ALLEN TIJDE VERBODEN in de buurt van gevaarlijke stoffen:</w:t>
      </w:r>
    </w:p>
    <w:tbl>
      <w:tblPr>
        <w:tblStyle w:val="TableGrid"/>
        <w:tblW w:type="auto" w:w="0"/>
        <w:jc w:val="center"/>
        <w:tblLook w:firstColumn="1" w:firstRow="1" w:lastColumn="0" w:lastRow="0" w:noHBand="0" w:noVBand="1" w:val="04A0"/>
      </w:tblPr>
      <w:tblGrid>
        <w:gridCol w:w="4703"/>
        <w:gridCol w:w="4703"/>
      </w:tblGrid>
      <w:tr>
        <w:tc>
          <w:tcPr>
            <w:tcW w:type="dxa" w:w="4703"/>
            <w:shd w:val="clear" w:color="auto" w:fill="1B3A5C"/>
          </w:tcPr>
          <w:p>
            <w:pPr>
              <w:spacing w:after="40" w:before="40"/>
            </w:pPr>
            <w:r>
              <w:rPr>
                <w:b/>
                <w:color w:val="FFFFFF"/>
                <w:sz w:val="20"/>
              </w:rPr>
              <w:t>Verboden actie</w:t>
            </w:r>
          </w:p>
        </w:tc>
        <w:tc>
          <w:tcPr>
            <w:tcW w:type="dxa" w:w="4703"/>
            <w:shd w:val="clear" w:color="auto" w:fill="1B3A5C"/>
          </w:tcPr>
          <w:p>
            <w:pPr>
              <w:spacing w:after="40" w:before="40"/>
            </w:pPr>
            <w:r>
              <w:rPr>
                <w:b/>
                <w:color w:val="FFFFFF"/>
                <w:sz w:val="20"/>
              </w:rPr>
              <w:t>Waarom</w:t>
            </w:r>
          </w:p>
        </w:tc>
      </w:tr>
      <w:tr>
        <w:tc>
          <w:tcPr>
            <w:tcW w:type="dxa" w:w="4703"/>
          </w:tcPr>
          <w:p>
            <w:pPr>
              <w:spacing w:after="40" w:before="40"/>
            </w:pPr>
            <w:r>
              <w:rPr>
                <w:sz w:val="20"/>
              </w:rPr>
              <w:t>Eten, drinken of roken</w:t>
            </w:r>
          </w:p>
        </w:tc>
        <w:tc>
          <w:tcPr>
            <w:tcW w:type="dxa" w:w="4703"/>
          </w:tcPr>
          <w:p>
            <w:pPr>
              <w:spacing w:after="40" w:before="40"/>
            </w:pPr>
            <w:r>
              <w:rPr>
                <w:sz w:val="20"/>
              </w:rPr>
              <w:t>Inname van gevaarlijke stoffen via mond of longen</w:t>
            </w:r>
          </w:p>
        </w:tc>
      </w:tr>
      <w:tr>
        <w:tc>
          <w:tcPr>
            <w:tcW w:type="dxa" w:w="4703"/>
            <w:shd w:val="clear" w:color="auto" w:fill="F2F2F2"/>
          </w:tcPr>
          <w:p>
            <w:pPr>
              <w:spacing w:after="40" w:before="40"/>
            </w:pPr>
            <w:r>
              <w:rPr>
                <w:sz w:val="20"/>
              </w:rPr>
              <w:t>Lenzen dragen bij chemisch werk</w:t>
            </w:r>
          </w:p>
        </w:tc>
        <w:tc>
          <w:tcPr>
            <w:tcW w:type="dxa" w:w="4703"/>
            <w:shd w:val="clear" w:color="auto" w:fill="F2F2F2"/>
          </w:tcPr>
          <w:p>
            <w:pPr>
              <w:spacing w:after="40" w:before="40"/>
            </w:pPr>
            <w:r>
              <w:rPr>
                <w:sz w:val="20"/>
              </w:rPr>
              <w:t>Chemicaliën kunnen onder lenzen komen en oog beschadigen</w:t>
            </w:r>
          </w:p>
        </w:tc>
      </w:tr>
      <w:tr>
        <w:tc>
          <w:tcPr>
            <w:tcW w:type="dxa" w:w="4703"/>
          </w:tcPr>
          <w:p>
            <w:pPr>
              <w:spacing w:after="40" w:before="40"/>
            </w:pPr>
            <w:r>
              <w:rPr>
                <w:sz w:val="20"/>
              </w:rPr>
              <w:t>Natte handen, chemische stoffen aanraken</w:t>
            </w:r>
          </w:p>
        </w:tc>
        <w:tc>
          <w:tcPr>
            <w:tcW w:type="dxa" w:w="4703"/>
          </w:tcPr>
          <w:p>
            <w:pPr>
              <w:spacing w:after="40" w:before="40"/>
            </w:pPr>
            <w:r>
              <w:rPr>
                <w:sz w:val="20"/>
              </w:rPr>
              <w:t>Sommige stoffen reageren met vocht</w:t>
            </w:r>
          </w:p>
        </w:tc>
      </w:tr>
      <w:tr>
        <w:tc>
          <w:tcPr>
            <w:tcW w:type="dxa" w:w="4703"/>
            <w:shd w:val="clear" w:color="auto" w:fill="F2F2F2"/>
          </w:tcPr>
          <w:p>
            <w:pPr>
              <w:spacing w:after="40" w:before="40"/>
            </w:pPr>
            <w:r>
              <w:rPr>
                <w:sz w:val="20"/>
              </w:rPr>
              <w:t>Zelf mengen zonder toestemming</w:t>
            </w:r>
          </w:p>
        </w:tc>
        <w:tc>
          <w:tcPr>
            <w:tcW w:type="dxa" w:w="4703"/>
            <w:shd w:val="clear" w:color="auto" w:fill="F2F2F2"/>
          </w:tcPr>
          <w:p>
            <w:pPr>
              <w:spacing w:after="40" w:before="40"/>
            </w:pPr>
            <w:r>
              <w:rPr>
                <w:sz w:val="20"/>
              </w:rPr>
              <w:t>Onverwachte reacties kunnen optreden</w:t>
            </w:r>
          </w:p>
        </w:tc>
      </w:tr>
      <w:tr>
        <w:tc>
          <w:tcPr>
            <w:tcW w:type="dxa" w:w="4703"/>
          </w:tcPr>
          <w:p>
            <w:pPr>
              <w:spacing w:after="40" w:before="40"/>
            </w:pPr>
            <w:r>
              <w:rPr>
                <w:sz w:val="20"/>
              </w:rPr>
              <w:t>Werkzaamheden alleen (isa-werken)</w:t>
            </w:r>
          </w:p>
        </w:tc>
        <w:tc>
          <w:tcPr>
            <w:tcW w:type="dxa" w:w="4703"/>
          </w:tcPr>
          <w:p>
            <w:pPr>
              <w:spacing w:after="40" w:before="40"/>
            </w:pPr>
            <w:r>
              <w:rPr>
                <w:sz w:val="20"/>
              </w:rPr>
              <w:t>Bij calamiteiten is directe hulp nodig</w:t>
            </w:r>
          </w:p>
        </w:tc>
      </w:tr>
      <w:tr>
        <w:tc>
          <w:tcPr>
            <w:tcW w:type="dxa" w:w="4703"/>
            <w:shd w:val="clear" w:color="auto" w:fill="F2F2F2"/>
          </w:tcPr>
          <w:p>
            <w:pPr>
              <w:spacing w:after="40" w:before="40"/>
            </w:pPr>
            <w:r>
              <w:rPr>
                <w:sz w:val="20"/>
              </w:rPr>
              <w:t>Stoffen overhevelen naar ongelabeld fles</w:t>
            </w:r>
          </w:p>
        </w:tc>
        <w:tc>
          <w:tcPr>
            <w:tcW w:type="dxa" w:w="4703"/>
            <w:shd w:val="clear" w:color="auto" w:fill="F2F2F2"/>
          </w:tcPr>
          <w:p>
            <w:pPr>
              <w:spacing w:after="40" w:before="40"/>
            </w:pPr>
            <w:r>
              <w:rPr>
                <w:sz w:val="20"/>
              </w:rPr>
              <w:t>Verwarring en verkeerd gebruik risico</w:t>
            </w:r>
          </w:p>
        </w:tc>
      </w:tr>
      <w:tr>
        <w:tc>
          <w:tcPr>
            <w:tcW w:type="dxa" w:w="4703"/>
          </w:tcPr>
          <w:p>
            <w:pPr>
              <w:spacing w:after="40" w:before="40"/>
            </w:pPr>
            <w:r>
              <w:rPr>
                <w:sz w:val="20"/>
              </w:rPr>
              <w:t>PBM's achterwege laten 'voor even'</w:t>
            </w:r>
          </w:p>
        </w:tc>
        <w:tc>
          <w:tcPr>
            <w:tcW w:type="dxa" w:w="4703"/>
          </w:tcPr>
          <w:p>
            <w:pPr>
              <w:spacing w:after="40" w:before="40"/>
            </w:pPr>
            <w:r>
              <w:rPr>
                <w:sz w:val="20"/>
              </w:rPr>
              <w:t>Ook een korte blootstelling kan ernstig letsel veroorzaken</w:t>
            </w:r>
          </w:p>
        </w:tc>
      </w:tr>
    </w:tbl>
    <w:p>
      <w:r>
        <w:br w:type="page"/>
      </w:r>
    </w:p>
    <w:p>
      <w:pPr>
        <w:pStyle w:val="Heading1"/>
      </w:pPr>
      <w:r>
        <w:t>Wat te doen bij calamiteiten</w:t>
      </w:r>
    </w:p>
    <w:p>
      <w:r>
        <w:t xml:space="preserve">Bij een calamiteit geldt één regel boven alles: </w:t>
      </w:r>
    </w:p>
    <w:p>
      <w:pPr>
        <w:jc w:val="center"/>
      </w:pPr>
      <w:r>
        <w:rPr>
          <w:b/>
          <w:color w:val="C0392B"/>
          <w:sz w:val="28"/>
        </w:rPr>
        <w:t>DENK AAN JE EIGEN VEILIGHEID EERST.</w:t>
      </w:r>
    </w:p>
    <w:p>
      <w:r>
        <w:t>Je kunt niemand helpen als je zelf gewond raakt. Probeer nooit een held te zijn — alarmeer, bescherm jezelf en wacht op professionele hulp.</w:t>
      </w:r>
    </w:p>
    <w:p>
      <w:pPr>
        <w:pStyle w:val="Heading2"/>
      </w:pPr>
      <w:r>
        <w:t>Lekkage — wat nu?</w:t>
      </w:r>
    </w:p>
    <w:tbl>
      <w:tblPr>
        <w:tblStyle w:val="TableGrid"/>
        <w:tblW w:type="auto" w:w="0"/>
        <w:jc w:val="center"/>
        <w:tblLook w:firstColumn="1" w:firstRow="1" w:lastColumn="0" w:lastRow="0" w:noHBand="0" w:noVBand="1" w:val="04A0"/>
      </w:tblPr>
      <w:tblGrid>
        <w:gridCol w:w="4703"/>
        <w:gridCol w:w="4703"/>
      </w:tblGrid>
      <w:tr>
        <w:tc>
          <w:tcPr>
            <w:tcW w:type="dxa" w:w="4703"/>
            <w:shd w:val="clear" w:color="auto" w:fill="1B3A5C"/>
          </w:tcPr>
          <w:p>
            <w:pPr>
              <w:spacing w:after="40" w:before="40"/>
            </w:pPr>
            <w:r>
              <w:rPr>
                <w:b/>
                <w:color w:val="FFFFFF"/>
                <w:sz w:val="20"/>
              </w:rPr>
              <w:t>Stap</w:t>
            </w:r>
          </w:p>
        </w:tc>
        <w:tc>
          <w:tcPr>
            <w:tcW w:type="dxa" w:w="4703"/>
            <w:shd w:val="clear" w:color="auto" w:fill="1B3A5C"/>
          </w:tcPr>
          <w:p>
            <w:pPr>
              <w:spacing w:after="40" w:before="40"/>
            </w:pPr>
            <w:r>
              <w:rPr>
                <w:b/>
                <w:color w:val="FFFFFF"/>
                <w:sz w:val="20"/>
              </w:rPr>
              <w:t>Actie</w:t>
            </w:r>
          </w:p>
        </w:tc>
      </w:tr>
      <w:tr>
        <w:tc>
          <w:tcPr>
            <w:tcW w:type="dxa" w:w="4703"/>
          </w:tcPr>
          <w:p>
            <w:pPr>
              <w:spacing w:after="40" w:before="40"/>
            </w:pPr>
            <w:r>
              <w:rPr>
                <w:sz w:val="20"/>
              </w:rPr>
              <w:t>1</w:t>
            </w:r>
          </w:p>
        </w:tc>
        <w:tc>
          <w:tcPr>
            <w:tcW w:type="dxa" w:w="4703"/>
          </w:tcPr>
          <w:p>
            <w:pPr>
              <w:spacing w:after="40" w:before="40"/>
            </w:pPr>
            <w:r>
              <w:rPr>
                <w:sz w:val="20"/>
              </w:rPr>
              <w:t>Verwijder jezelf en anderen uit de directe omgeving</w:t>
            </w:r>
          </w:p>
        </w:tc>
      </w:tr>
      <w:tr>
        <w:tc>
          <w:tcPr>
            <w:tcW w:type="dxa" w:w="4703"/>
            <w:shd w:val="clear" w:color="auto" w:fill="F2F2F2"/>
          </w:tcPr>
          <w:p>
            <w:pPr>
              <w:spacing w:after="40" w:before="40"/>
            </w:pPr>
            <w:r>
              <w:rPr>
                <w:sz w:val="20"/>
              </w:rPr>
              <w:t>2</w:t>
            </w:r>
          </w:p>
        </w:tc>
        <w:tc>
          <w:tcPr>
            <w:tcW w:type="dxa" w:w="4703"/>
            <w:shd w:val="clear" w:color="auto" w:fill="F2F2F2"/>
          </w:tcPr>
          <w:p>
            <w:pPr>
              <w:spacing w:after="40" w:before="40"/>
            </w:pPr>
            <w:r>
              <w:rPr>
                <w:sz w:val="20"/>
              </w:rPr>
              <w:t>Draag PBM's als je in de buurt moet komen</w:t>
            </w:r>
          </w:p>
        </w:tc>
      </w:tr>
      <w:tr>
        <w:tc>
          <w:tcPr>
            <w:tcW w:type="dxa" w:w="4703"/>
          </w:tcPr>
          <w:p>
            <w:pPr>
              <w:spacing w:after="40" w:before="40"/>
            </w:pPr>
            <w:r>
              <w:rPr>
                <w:sz w:val="20"/>
              </w:rPr>
              <w:t>3</w:t>
            </w:r>
          </w:p>
        </w:tc>
        <w:tc>
          <w:tcPr>
            <w:tcW w:type="dxa" w:w="4703"/>
          </w:tcPr>
          <w:p>
            <w:pPr>
              <w:spacing w:after="40" w:before="40"/>
            </w:pPr>
            <w:r>
              <w:rPr>
                <w:sz w:val="20"/>
              </w:rPr>
              <w:t>Voorkom dat de stof in riolering of bodem terechtkomt</w:t>
            </w:r>
          </w:p>
        </w:tc>
      </w:tr>
      <w:tr>
        <w:tc>
          <w:tcPr>
            <w:tcW w:type="dxa" w:w="4703"/>
            <w:shd w:val="clear" w:color="auto" w:fill="F2F2F2"/>
          </w:tcPr>
          <w:p>
            <w:pPr>
              <w:spacing w:after="40" w:before="40"/>
            </w:pPr>
            <w:r>
              <w:rPr>
                <w:sz w:val="20"/>
              </w:rPr>
              <w:t>4</w:t>
            </w:r>
          </w:p>
        </w:tc>
        <w:tc>
          <w:tcPr>
            <w:tcW w:type="dxa" w:w="4703"/>
            <w:shd w:val="clear" w:color="auto" w:fill="F2F2F2"/>
          </w:tcPr>
          <w:p>
            <w:pPr>
              <w:spacing w:after="40" w:before="40"/>
            </w:pPr>
            <w:r>
              <w:rPr>
                <w:sz w:val="20"/>
              </w:rPr>
              <w:t>Absorbeer met geschikt materiaal (absorptiekorrels, doeken)</w:t>
            </w:r>
          </w:p>
        </w:tc>
      </w:tr>
      <w:tr>
        <w:tc>
          <w:tcPr>
            <w:tcW w:type="dxa" w:w="4703"/>
          </w:tcPr>
          <w:p>
            <w:pPr>
              <w:spacing w:after="40" w:before="40"/>
            </w:pPr>
            <w:r>
              <w:rPr>
                <w:sz w:val="20"/>
              </w:rPr>
              <w:t>5</w:t>
            </w:r>
          </w:p>
        </w:tc>
        <w:tc>
          <w:tcPr>
            <w:tcW w:type="dxa" w:w="4703"/>
          </w:tcPr>
          <w:p>
            <w:pPr>
              <w:spacing w:after="40" w:before="40"/>
            </w:pPr>
            <w:r>
              <w:rPr>
                <w:sz w:val="20"/>
              </w:rPr>
              <w:t>Ventileer de ruimte en alarmeer je leidinggevende</w:t>
            </w:r>
          </w:p>
        </w:tc>
      </w:tr>
    </w:tbl>
    <w:p>
      <w:pPr>
        <w:pStyle w:val="Heading2"/>
      </w:pPr>
      <w:r>
        <w:t>Brand — wat nu?</w:t>
      </w:r>
    </w:p>
    <w:tbl>
      <w:tblPr>
        <w:tblStyle w:val="TableGrid"/>
        <w:tblW w:type="auto" w:w="0"/>
        <w:jc w:val="center"/>
        <w:tblLook w:firstColumn="1" w:firstRow="1" w:lastColumn="0" w:lastRow="0" w:noHBand="0" w:noVBand="1" w:val="04A0"/>
      </w:tblPr>
      <w:tblGrid>
        <w:gridCol w:w="4703"/>
        <w:gridCol w:w="4703"/>
      </w:tblGrid>
      <w:tr>
        <w:tc>
          <w:tcPr>
            <w:tcW w:type="dxa" w:w="4703"/>
            <w:shd w:val="clear" w:color="auto" w:fill="1B3A5C"/>
          </w:tcPr>
          <w:p>
            <w:pPr>
              <w:spacing w:after="40" w:before="40"/>
            </w:pPr>
            <w:r>
              <w:rPr>
                <w:b/>
                <w:color w:val="FFFFFF"/>
                <w:sz w:val="20"/>
              </w:rPr>
              <w:t>Stap</w:t>
            </w:r>
          </w:p>
        </w:tc>
        <w:tc>
          <w:tcPr>
            <w:tcW w:type="dxa" w:w="4703"/>
            <w:shd w:val="clear" w:color="auto" w:fill="1B3A5C"/>
          </w:tcPr>
          <w:p>
            <w:pPr>
              <w:spacing w:after="40" w:before="40"/>
            </w:pPr>
            <w:r>
              <w:rPr>
                <w:b/>
                <w:color w:val="FFFFFF"/>
                <w:sz w:val="20"/>
              </w:rPr>
              <w:t>Actie</w:t>
            </w:r>
          </w:p>
        </w:tc>
      </w:tr>
      <w:tr>
        <w:tc>
          <w:tcPr>
            <w:tcW w:type="dxa" w:w="4703"/>
          </w:tcPr>
          <w:p>
            <w:pPr>
              <w:spacing w:after="40" w:before="40"/>
            </w:pPr>
            <w:r>
              <w:rPr>
                <w:sz w:val="20"/>
              </w:rPr>
              <w:t>1</w:t>
            </w:r>
          </w:p>
        </w:tc>
        <w:tc>
          <w:tcPr>
            <w:tcW w:type="dxa" w:w="4703"/>
          </w:tcPr>
          <w:p>
            <w:pPr>
              <w:spacing w:after="40" w:before="40"/>
            </w:pPr>
            <w:r>
              <w:rPr>
                <w:sz w:val="20"/>
              </w:rPr>
              <w:t>Alarmeer iedereen in de omgeving — schreeuw 'BRAND!'</w:t>
            </w:r>
          </w:p>
        </w:tc>
      </w:tr>
      <w:tr>
        <w:tc>
          <w:tcPr>
            <w:tcW w:type="dxa" w:w="4703"/>
            <w:shd w:val="clear" w:color="auto" w:fill="F2F2F2"/>
          </w:tcPr>
          <w:p>
            <w:pPr>
              <w:spacing w:after="40" w:before="40"/>
            </w:pPr>
            <w:r>
              <w:rPr>
                <w:sz w:val="20"/>
              </w:rPr>
              <w:t>2</w:t>
            </w:r>
          </w:p>
        </w:tc>
        <w:tc>
          <w:tcPr>
            <w:tcW w:type="dxa" w:w="4703"/>
            <w:shd w:val="clear" w:color="auto" w:fill="F2F2F2"/>
          </w:tcPr>
          <w:p>
            <w:pPr>
              <w:spacing w:after="40" w:before="40"/>
            </w:pPr>
            <w:r>
              <w:rPr>
                <w:sz w:val="20"/>
              </w:rPr>
              <w:t>Bel 112 als de brand groter is dan een prullenbak</w:t>
            </w:r>
          </w:p>
        </w:tc>
      </w:tr>
      <w:tr>
        <w:tc>
          <w:tcPr>
            <w:tcW w:type="dxa" w:w="4703"/>
          </w:tcPr>
          <w:p>
            <w:pPr>
              <w:spacing w:after="40" w:before="40"/>
            </w:pPr>
            <w:r>
              <w:rPr>
                <w:sz w:val="20"/>
              </w:rPr>
              <w:t>3</w:t>
            </w:r>
          </w:p>
        </w:tc>
        <w:tc>
          <w:tcPr>
            <w:tcW w:type="dxa" w:w="4703"/>
          </w:tcPr>
          <w:p>
            <w:pPr>
              <w:spacing w:after="40" w:before="40"/>
            </w:pPr>
            <w:r>
              <w:rPr>
                <w:sz w:val="20"/>
              </w:rPr>
              <w:t>Gebruik NOOIT water bij een chemische brand</w:t>
            </w:r>
          </w:p>
        </w:tc>
      </w:tr>
      <w:tr>
        <w:tc>
          <w:tcPr>
            <w:tcW w:type="dxa" w:w="4703"/>
            <w:shd w:val="clear" w:color="auto" w:fill="F2F2F2"/>
          </w:tcPr>
          <w:p>
            <w:pPr>
              <w:spacing w:after="40" w:before="40"/>
            </w:pPr>
            <w:r>
              <w:rPr>
                <w:sz w:val="20"/>
              </w:rPr>
              <w:t>4</w:t>
            </w:r>
          </w:p>
        </w:tc>
        <w:tc>
          <w:tcPr>
            <w:tcW w:type="dxa" w:w="4703"/>
            <w:shd w:val="clear" w:color="auto" w:fill="F2F2F2"/>
          </w:tcPr>
          <w:p>
            <w:pPr>
              <w:spacing w:after="40" w:before="40"/>
            </w:pPr>
            <w:r>
              <w:rPr>
                <w:sz w:val="20"/>
              </w:rPr>
              <w:t>Blus alleen met CO₂-blusser of poederblusser — als je dit veilig kunt doen</w:t>
            </w:r>
          </w:p>
        </w:tc>
      </w:tr>
    </w:tbl>
    <w:p>
      <w:pPr>
        <w:spacing w:before="120" w:after="120"/>
        <w:shd w:val="clear" w:color="auto" w:fill="FDEDED"/>
      </w:pPr>
      <w:r>
        <w:rPr>
          <w:color w:val="1B3A5C"/>
          <w:sz w:val="20"/>
        </w:rPr>
        <w:t>⚠️ NOOIT water op een chemische brand — zeker niet bij zuren of reactieve stoffen. Gebruik uitsluitend CO₂ of poeder.</w:t>
      </w:r>
    </w:p>
    <w:p>
      <w:pPr>
        <w:pStyle w:val="Heading2"/>
      </w:pPr>
      <w:r>
        <w:t>Blootstelling — wat nu?</w:t>
      </w:r>
    </w:p>
    <w:p>
      <w:pPr>
        <w:pStyle w:val="Heading3"/>
      </w:pPr>
      <w:r>
        <w:t>Huidcontact</w:t>
      </w:r>
    </w:p>
    <w:p>
      <w:pPr>
        <w:pStyle w:val="ListBullet"/>
      </w:pPr>
      <w:r>
        <w:t>Onmiddellijk spoelen met veel water — minimaal 15 minuten</w:t>
      </w:r>
    </w:p>
    <w:p>
      <w:pPr>
        <w:pStyle w:val="ListBullet"/>
      </w:pPr>
      <w:r>
        <w:t>Beschermende kleding uittrekken (voorzichtig, niet wrijven)</w:t>
      </w:r>
    </w:p>
    <w:p>
      <w:pPr>
        <w:pStyle w:val="ListBullet"/>
      </w:pPr>
      <w:r>
        <w:t>Nooddouche gebruiken als beschikbaar</w:t>
      </w:r>
    </w:p>
    <w:p>
      <w:pPr>
        <w:pStyle w:val="ListBullet"/>
      </w:pPr>
      <w:r>
        <w:t>Medische hulp inschakelen bij ernstige blootstelling</w:t>
      </w:r>
    </w:p>
    <w:p>
      <w:pPr>
        <w:pStyle w:val="Heading3"/>
      </w:pPr>
      <w:r>
        <w:t>Oogcontact</w:t>
      </w:r>
    </w:p>
    <w:p>
      <w:pPr>
        <w:pStyle w:val="ListBullet"/>
      </w:pPr>
      <w:r>
        <w:t>Onmiddellijk spoelen met water — minimaal 15 minuten</w:t>
      </w:r>
    </w:p>
    <w:p>
      <w:pPr>
        <w:pStyle w:val="ListBullet"/>
      </w:pPr>
      <w:r>
        <w:t>Oogdouche gebruiken</w:t>
      </w:r>
    </w:p>
    <w:p>
      <w:pPr>
        <w:pStyle w:val="ListBullet"/>
      </w:pPr>
      <w:r>
        <w:t>Oogleden openhouden tijdens spoelen</w:t>
      </w:r>
    </w:p>
    <w:p>
      <w:pPr>
        <w:pStyle w:val="ListBullet"/>
      </w:pPr>
      <w:r>
        <w:t>ALTIJD naar de dokter na oogcontact met chemicaliën</w:t>
      </w:r>
    </w:p>
    <w:p>
      <w:pPr>
        <w:pStyle w:val="Heading3"/>
      </w:pPr>
      <w:r>
        <w:t>Inademing</w:t>
      </w:r>
    </w:p>
    <w:p>
      <w:pPr>
        <w:pStyle w:val="ListBullet"/>
      </w:pPr>
      <w:r>
        <w:t>Direct naar de frisse lucht</w:t>
      </w:r>
    </w:p>
    <w:p>
      <w:pPr>
        <w:pStyle w:val="ListBullet"/>
      </w:pPr>
      <w:r>
        <w:t>Niet blijven in de ruimte met dampen</w:t>
      </w:r>
    </w:p>
    <w:p>
      <w:pPr>
        <w:pStyle w:val="ListBullet"/>
      </w:pPr>
      <w:r>
        <w:t>Bij aanhoudende klachten: 112 bellen</w:t>
      </w:r>
    </w:p>
    <w:p>
      <w:pPr>
        <w:pStyle w:val="Heading3"/>
      </w:pPr>
      <w:r>
        <w:t>Inslikking</w:t>
      </w:r>
    </w:p>
    <w:p>
      <w:pPr>
        <w:pStyle w:val="ListBullet"/>
      </w:pPr>
      <w:r>
        <w:t>NIET laten braken — bel direct 112</w:t>
      </w:r>
    </w:p>
    <w:p>
      <w:pPr>
        <w:pStyle w:val="ListBullet"/>
      </w:pPr>
      <w:r>
        <w:t>Mond spoelen met water (niet inslikken)</w:t>
      </w:r>
    </w:p>
    <w:p>
      <w:pPr>
        <w:pStyle w:val="Heading2"/>
      </w:pPr>
      <w:r>
        <w:t>Bel altijd bij calamiteiten</w:t>
      </w:r>
    </w:p>
    <w:tbl>
      <w:tblPr>
        <w:tblStyle w:val="TableGrid"/>
        <w:tblW w:type="auto" w:w="0"/>
        <w:jc w:val="center"/>
        <w:tblLook w:firstColumn="1" w:firstRow="1" w:lastColumn="0" w:lastRow="0" w:noHBand="0" w:noVBand="1" w:val="04A0"/>
      </w:tblPr>
      <w:tblGrid>
        <w:gridCol w:w="4703"/>
        <w:gridCol w:w="4703"/>
      </w:tblGrid>
      <w:tr>
        <w:tc>
          <w:tcPr>
            <w:tcW w:type="dxa" w:w="4703"/>
            <w:shd w:val="clear" w:color="auto" w:fill="1B3A5C"/>
          </w:tcPr>
          <w:p>
            <w:pPr>
              <w:spacing w:after="40" w:before="40"/>
            </w:pPr>
            <w:r>
              <w:rPr>
                <w:b/>
                <w:color w:val="FFFFFF"/>
                <w:sz w:val="20"/>
              </w:rPr>
              <w:t>Situe</w:t>
            </w:r>
          </w:p>
        </w:tc>
        <w:tc>
          <w:tcPr>
            <w:tcW w:type="dxa" w:w="4703"/>
            <w:shd w:val="clear" w:color="auto" w:fill="1B3A5C"/>
          </w:tcPr>
          <w:p>
            <w:pPr>
              <w:spacing w:after="40" w:before="40"/>
            </w:pPr>
            <w:r>
              <w:rPr>
                <w:b/>
                <w:color w:val="FFFFFF"/>
                <w:sz w:val="20"/>
              </w:rPr>
              <w:t>Nummer</w:t>
            </w:r>
          </w:p>
        </w:tc>
      </w:tr>
      <w:tr>
        <w:tc>
          <w:tcPr>
            <w:tcW w:type="dxa" w:w="4703"/>
          </w:tcPr>
          <w:p>
            <w:pPr>
              <w:spacing w:after="40" w:before="40"/>
            </w:pPr>
            <w:r>
              <w:rPr>
                <w:sz w:val="20"/>
              </w:rPr>
              <w:t>Levensbedreigende situatie</w:t>
            </w:r>
          </w:p>
        </w:tc>
        <w:tc>
          <w:tcPr>
            <w:tcW w:type="dxa" w:w="4703"/>
          </w:tcPr>
          <w:p>
            <w:pPr>
              <w:spacing w:after="40" w:before="40"/>
            </w:pPr>
            <w:r>
              <w:rPr>
                <w:sz w:val="20"/>
              </w:rPr>
              <w:t>112</w:t>
            </w:r>
          </w:p>
        </w:tc>
      </w:tr>
      <w:tr>
        <w:tc>
          <w:tcPr>
            <w:tcW w:type="dxa" w:w="4703"/>
            <w:shd w:val="clear" w:color="auto" w:fill="F2F2F2"/>
          </w:tcPr>
          <w:p>
            <w:pPr>
              <w:spacing w:after="40" w:before="40"/>
            </w:pPr>
            <w:r>
              <w:rPr>
                <w:sz w:val="20"/>
              </w:rPr>
              <w:t>Bedrijfsarts / arbodienst</w:t>
            </w:r>
          </w:p>
        </w:tc>
        <w:tc>
          <w:tcPr>
            <w:tcW w:type="dxa" w:w="4703"/>
            <w:shd w:val="clear" w:color="auto" w:fill="F2F2F2"/>
          </w:tcPr>
          <w:p>
            <w:pPr>
              <w:spacing w:after="40" w:before="40"/>
            </w:pPr>
            <w:r>
              <w:rPr>
                <w:sz w:val="20"/>
              </w:rPr>
              <w:t>[Invullen door Phoenix Metals]</w:t>
            </w:r>
          </w:p>
        </w:tc>
      </w:tr>
      <w:tr>
        <w:tc>
          <w:tcPr>
            <w:tcW w:type="dxa" w:w="4703"/>
          </w:tcPr>
          <w:p>
            <w:pPr>
              <w:spacing w:after="40" w:before="40"/>
            </w:pPr>
            <w:r>
              <w:rPr>
                <w:sz w:val="20"/>
              </w:rPr>
              <w:t>HSE-verantwoordelijke</w:t>
            </w:r>
          </w:p>
        </w:tc>
        <w:tc>
          <w:tcPr>
            <w:tcW w:type="dxa" w:w="4703"/>
          </w:tcPr>
          <w:p>
            <w:pPr>
              <w:spacing w:after="40" w:before="40"/>
            </w:pPr>
            <w:r>
              <w:rPr>
                <w:sz w:val="20"/>
              </w:rPr>
              <w:t>[Invullen door Phoenix Metals]</w:t>
            </w:r>
          </w:p>
        </w:tc>
      </w:tr>
    </w:tbl>
    <w:p>
      <w:pPr>
        <w:spacing w:before="120" w:after="120"/>
        <w:shd w:val="clear" w:color="auto" w:fill="FFF3CD"/>
      </w:pPr>
      <w:r>
        <w:rPr>
          <w:color w:val="1B3A5C"/>
          <w:sz w:val="20"/>
        </w:rPr>
        <w:t>📋 Vul hier de actuele contactgegevens in van je HSE-verantwoordelijke, bedrijfsarts en direct leidinggevende. Controleer jaarlijks of de nummers nog kloppen.</w:t>
      </w:r>
    </w:p>
    <w:p>
      <w:r>
        <w:br w:type="page"/>
      </w:r>
    </w:p>
    <w:p>
      <w:pPr>
        <w:pStyle w:val="Heading1"/>
      </w:pPr>
      <w:r>
        <w:t>Checklist voor dagelijks gebruik</w:t>
      </w:r>
    </w:p>
    <w:p>
      <w:r>
        <w:t>Gebruik deze checklist aan het begin van elke werkdag of shift. Vink aan wat gecontroleerd is. Als iets niet in orde is: niet werken en direct melden.</w:t>
      </w:r>
    </w:p>
    <w:p/>
    <w:tbl>
      <w:tblPr>
        <w:tblStyle w:val="TableGrid"/>
        <w:tblW w:type="auto" w:w="0"/>
        <w:jc w:val="center"/>
        <w:tblLook w:firstColumn="1" w:firstRow="1" w:lastColumn="0" w:lastRow="0" w:noHBand="0" w:noVBand="1" w:val="04A0"/>
      </w:tblPr>
      <w:tblGrid>
        <w:gridCol w:w="3135"/>
        <w:gridCol w:w="3135"/>
        <w:gridCol w:w="3135"/>
      </w:tblGrid>
      <w:tr>
        <w:tc>
          <w:tcPr>
            <w:tcW w:type="dxa" w:w="850"/>
            <w:shd w:val="clear" w:color="auto" w:fill="1B3A5C"/>
          </w:tcPr>
          <w:p>
            <w:pPr>
              <w:spacing w:after="40" w:before="40"/>
            </w:pPr>
            <w:r>
              <w:rPr>
                <w:b/>
                <w:color w:val="FFFFFF"/>
                <w:sz w:val="20"/>
              </w:rPr>
              <w:t>✓</w:t>
            </w:r>
          </w:p>
        </w:tc>
        <w:tc>
          <w:tcPr>
            <w:tcW w:type="dxa" w:w="6236"/>
            <w:shd w:val="clear" w:color="auto" w:fill="1B3A5C"/>
          </w:tcPr>
          <w:p>
            <w:pPr>
              <w:spacing w:after="40" w:before="40"/>
            </w:pPr>
            <w:r>
              <w:rPr>
                <w:b/>
                <w:color w:val="FFFFFF"/>
                <w:sz w:val="20"/>
              </w:rPr>
              <w:t>Controlepunt</w:t>
            </w:r>
          </w:p>
        </w:tc>
        <w:tc>
          <w:tcPr>
            <w:tcW w:type="dxa" w:w="2268"/>
            <w:shd w:val="clear" w:color="auto" w:fill="1B3A5C"/>
          </w:tcPr>
          <w:p>
            <w:pPr>
              <w:spacing w:after="40" w:before="40"/>
            </w:pPr>
            <w:r>
              <w:rPr>
                <w:b/>
                <w:color w:val="FFFFFF"/>
                <w:sz w:val="20"/>
              </w:rPr>
              <w:t>Opmerking</w:t>
            </w:r>
          </w:p>
        </w:tc>
      </w:tr>
      <w:tr>
        <w:tc>
          <w:tcPr>
            <w:tcW w:type="dxa" w:w="850"/>
          </w:tcPr>
          <w:p>
            <w:pPr>
              <w:spacing w:after="40" w:before="40"/>
            </w:pPr>
            <w:r>
              <w:rPr>
                <w:sz w:val="20"/>
              </w:rPr>
              <w:t>☐</w:t>
            </w:r>
          </w:p>
        </w:tc>
        <w:tc>
          <w:tcPr>
            <w:tcW w:type="dxa" w:w="6236"/>
          </w:tcPr>
          <w:p>
            <w:pPr>
              <w:spacing w:after="40" w:before="40"/>
            </w:pPr>
            <w:r>
              <w:rPr>
                <w:sz w:val="20"/>
              </w:rPr>
              <w:t>Alle verpakkingen hebben een leesbaar etiket</w:t>
            </w:r>
          </w:p>
        </w:tc>
        <w:tc>
          <w:tcPr>
            <w:tcW w:type="dxa" w:w="2268"/>
          </w:tcPr>
          <w:p>
            <w:pPr>
              <w:spacing w:after="40" w:before="40"/>
            </w:pPr>
            <w:r>
              <w:rPr>
                <w:sz w:val="20"/>
              </w:rPr>
            </w:r>
          </w:p>
        </w:tc>
      </w:tr>
      <w:tr>
        <w:tc>
          <w:tcPr>
            <w:tcW w:type="dxa" w:w="850"/>
            <w:shd w:val="clear" w:color="auto" w:fill="F2F2F2"/>
          </w:tcPr>
          <w:p>
            <w:pPr>
              <w:spacing w:after="40" w:before="40"/>
            </w:pPr>
            <w:r>
              <w:rPr>
                <w:sz w:val="20"/>
              </w:rPr>
              <w:t>☐</w:t>
            </w:r>
          </w:p>
        </w:tc>
        <w:tc>
          <w:tcPr>
            <w:tcW w:type="dxa" w:w="6236"/>
            <w:shd w:val="clear" w:color="auto" w:fill="F2F2F2"/>
          </w:tcPr>
          <w:p>
            <w:pPr>
              <w:spacing w:after="40" w:before="40"/>
            </w:pPr>
            <w:r>
              <w:rPr>
                <w:sz w:val="20"/>
              </w:rPr>
              <w:t>Geen zichtbare lekkage of schade aan verpakkingen</w:t>
            </w:r>
          </w:p>
        </w:tc>
        <w:tc>
          <w:tcPr>
            <w:tcW w:type="dxa" w:w="2268"/>
            <w:shd w:val="clear" w:color="auto" w:fill="F2F2F2"/>
          </w:tcPr>
          <w:p>
            <w:pPr>
              <w:spacing w:after="40" w:before="40"/>
            </w:pPr>
            <w:r>
              <w:rPr>
                <w:sz w:val="20"/>
              </w:rPr>
            </w:r>
          </w:p>
        </w:tc>
      </w:tr>
      <w:tr>
        <w:tc>
          <w:tcPr>
            <w:tcW w:type="dxa" w:w="850"/>
          </w:tcPr>
          <w:p>
            <w:pPr>
              <w:spacing w:after="40" w:before="40"/>
            </w:pPr>
            <w:r>
              <w:rPr>
                <w:sz w:val="20"/>
              </w:rPr>
              <w:t>☐</w:t>
            </w:r>
          </w:p>
        </w:tc>
        <w:tc>
          <w:tcPr>
            <w:tcW w:type="dxa" w:w="6236"/>
          </w:tcPr>
          <w:p>
            <w:pPr>
              <w:spacing w:after="40" w:before="40"/>
            </w:pPr>
            <w:r>
              <w:rPr>
                <w:sz w:val="20"/>
              </w:rPr>
              <w:t>Lekbakken / opvangbakken zijn schoon en intact</w:t>
            </w:r>
          </w:p>
        </w:tc>
        <w:tc>
          <w:tcPr>
            <w:tcW w:type="dxa" w:w="2268"/>
          </w:tcPr>
          <w:p>
            <w:pPr>
              <w:spacing w:after="40" w:before="40"/>
            </w:pPr>
            <w:r>
              <w:rPr>
                <w:sz w:val="20"/>
              </w:rPr>
            </w:r>
          </w:p>
        </w:tc>
      </w:tr>
      <w:tr>
        <w:tc>
          <w:tcPr>
            <w:tcW w:type="dxa" w:w="850"/>
            <w:shd w:val="clear" w:color="auto" w:fill="F2F2F2"/>
          </w:tcPr>
          <w:p>
            <w:pPr>
              <w:spacing w:after="40" w:before="40"/>
            </w:pPr>
            <w:r>
              <w:rPr>
                <w:sz w:val="20"/>
              </w:rPr>
              <w:t>☐</w:t>
            </w:r>
          </w:p>
        </w:tc>
        <w:tc>
          <w:tcPr>
            <w:tcW w:type="dxa" w:w="6236"/>
            <w:shd w:val="clear" w:color="auto" w:fill="F2F2F2"/>
          </w:tcPr>
          <w:p>
            <w:pPr>
              <w:spacing w:after="40" w:before="40"/>
            </w:pPr>
            <w:r>
              <w:rPr>
                <w:sz w:val="20"/>
              </w:rPr>
              <w:t>Zuren en basen zijn gescheiden opgeslagen</w:t>
            </w:r>
          </w:p>
        </w:tc>
        <w:tc>
          <w:tcPr>
            <w:tcW w:type="dxa" w:w="2268"/>
            <w:shd w:val="clear" w:color="auto" w:fill="F2F2F2"/>
          </w:tcPr>
          <w:p>
            <w:pPr>
              <w:spacing w:after="40" w:before="40"/>
            </w:pPr>
            <w:r>
              <w:rPr>
                <w:sz w:val="20"/>
              </w:rPr>
            </w:r>
          </w:p>
        </w:tc>
      </w:tr>
      <w:tr>
        <w:tc>
          <w:tcPr>
            <w:tcW w:type="dxa" w:w="850"/>
          </w:tcPr>
          <w:p>
            <w:pPr>
              <w:spacing w:after="40" w:before="40"/>
            </w:pPr>
            <w:r>
              <w:rPr>
                <w:sz w:val="20"/>
              </w:rPr>
              <w:t>☐</w:t>
            </w:r>
          </w:p>
        </w:tc>
        <w:tc>
          <w:tcPr>
            <w:tcW w:type="dxa" w:w="6236"/>
          </w:tcPr>
          <w:p>
            <w:pPr>
              <w:spacing w:after="40" w:before="40"/>
            </w:pPr>
            <w:r>
              <w:rPr>
                <w:sz w:val="20"/>
              </w:rPr>
              <w:t>Nooddouche en oogdouche zijn bereikbaar en werken</w:t>
            </w:r>
          </w:p>
        </w:tc>
        <w:tc>
          <w:tcPr>
            <w:tcW w:type="dxa" w:w="2268"/>
          </w:tcPr>
          <w:p>
            <w:pPr>
              <w:spacing w:after="40" w:before="40"/>
            </w:pPr>
            <w:r>
              <w:rPr>
                <w:sz w:val="20"/>
              </w:rPr>
            </w:r>
          </w:p>
        </w:tc>
      </w:tr>
      <w:tr>
        <w:tc>
          <w:tcPr>
            <w:tcW w:type="dxa" w:w="850"/>
            <w:shd w:val="clear" w:color="auto" w:fill="F2F2F2"/>
          </w:tcPr>
          <w:p>
            <w:pPr>
              <w:spacing w:after="40" w:before="40"/>
            </w:pPr>
            <w:r>
              <w:rPr>
                <w:sz w:val="20"/>
              </w:rPr>
              <w:t>☐</w:t>
            </w:r>
          </w:p>
        </w:tc>
        <w:tc>
          <w:tcPr>
            <w:tcW w:type="dxa" w:w="6236"/>
            <w:shd w:val="clear" w:color="auto" w:fill="F2F2F2"/>
          </w:tcPr>
          <w:p>
            <w:pPr>
              <w:spacing w:after="40" w:before="40"/>
            </w:pPr>
            <w:r>
              <w:rPr>
                <w:sz w:val="20"/>
              </w:rPr>
              <w:t>Ventilatie werkt (controleer indicatie)</w:t>
            </w:r>
          </w:p>
        </w:tc>
        <w:tc>
          <w:tcPr>
            <w:tcW w:type="dxa" w:w="2268"/>
            <w:shd w:val="clear" w:color="auto" w:fill="F2F2F2"/>
          </w:tcPr>
          <w:p>
            <w:pPr>
              <w:spacing w:after="40" w:before="40"/>
            </w:pPr>
            <w:r>
              <w:rPr>
                <w:sz w:val="20"/>
              </w:rPr>
            </w:r>
          </w:p>
        </w:tc>
      </w:tr>
      <w:tr>
        <w:tc>
          <w:tcPr>
            <w:tcW w:type="dxa" w:w="850"/>
          </w:tcPr>
          <w:p>
            <w:pPr>
              <w:spacing w:after="40" w:before="40"/>
            </w:pPr>
            <w:r>
              <w:rPr>
                <w:sz w:val="20"/>
              </w:rPr>
              <w:t>☐</w:t>
            </w:r>
          </w:p>
        </w:tc>
        <w:tc>
          <w:tcPr>
            <w:tcW w:type="dxa" w:w="6236"/>
          </w:tcPr>
          <w:p>
            <w:pPr>
              <w:spacing w:after="40" w:before="40"/>
            </w:pPr>
            <w:r>
              <w:rPr>
                <w:sz w:val="20"/>
              </w:rPr>
              <w:t>PBM's zijn beschikbaar en in goede staat</w:t>
            </w:r>
          </w:p>
        </w:tc>
        <w:tc>
          <w:tcPr>
            <w:tcW w:type="dxa" w:w="2268"/>
          </w:tcPr>
          <w:p>
            <w:pPr>
              <w:spacing w:after="40" w:before="40"/>
            </w:pPr>
            <w:r>
              <w:rPr>
                <w:sz w:val="20"/>
              </w:rPr>
            </w:r>
          </w:p>
        </w:tc>
      </w:tr>
      <w:tr>
        <w:tc>
          <w:tcPr>
            <w:tcW w:type="dxa" w:w="850"/>
            <w:shd w:val="clear" w:color="auto" w:fill="F2F2F2"/>
          </w:tcPr>
          <w:p>
            <w:pPr>
              <w:spacing w:after="40" w:before="40"/>
            </w:pPr>
            <w:r>
              <w:rPr>
                <w:sz w:val="20"/>
              </w:rPr>
              <w:t>☐</w:t>
            </w:r>
          </w:p>
        </w:tc>
        <w:tc>
          <w:tcPr>
            <w:tcW w:type="dxa" w:w="6236"/>
            <w:shd w:val="clear" w:color="auto" w:fill="F2F2F2"/>
          </w:tcPr>
          <w:p>
            <w:pPr>
              <w:spacing w:after="40" w:before="40"/>
            </w:pPr>
            <w:r>
              <w:rPr>
                <w:sz w:val="20"/>
              </w:rPr>
              <w:t>Flow cabinet / afzuiging functioneert correct</w:t>
            </w:r>
          </w:p>
        </w:tc>
        <w:tc>
          <w:tcPr>
            <w:tcW w:type="dxa" w:w="2268"/>
            <w:shd w:val="clear" w:color="auto" w:fill="F2F2F2"/>
          </w:tcPr>
          <w:p>
            <w:pPr>
              <w:spacing w:after="40" w:before="40"/>
            </w:pPr>
            <w:r>
              <w:rPr>
                <w:sz w:val="20"/>
              </w:rPr>
            </w:r>
          </w:p>
        </w:tc>
      </w:tr>
      <w:tr>
        <w:tc>
          <w:tcPr>
            <w:tcW w:type="dxa" w:w="850"/>
          </w:tcPr>
          <w:p>
            <w:pPr>
              <w:spacing w:after="40" w:before="40"/>
            </w:pPr>
            <w:r>
              <w:rPr>
                <w:sz w:val="20"/>
              </w:rPr>
              <w:t>☐</w:t>
            </w:r>
          </w:p>
        </w:tc>
        <w:tc>
          <w:tcPr>
            <w:tcW w:type="dxa" w:w="6236"/>
          </w:tcPr>
          <w:p>
            <w:pPr>
              <w:spacing w:after="40" w:before="40"/>
            </w:pPr>
            <w:r>
              <w:rPr>
                <w:sz w:val="20"/>
              </w:rPr>
              <w:t>Brandblusmiddelen zijn bereikbaar en niet verlopen</w:t>
            </w:r>
          </w:p>
        </w:tc>
        <w:tc>
          <w:tcPr>
            <w:tcW w:type="dxa" w:w="2268"/>
          </w:tcPr>
          <w:p>
            <w:pPr>
              <w:spacing w:after="40" w:before="40"/>
            </w:pPr>
            <w:r>
              <w:rPr>
                <w:sz w:val="20"/>
              </w:rPr>
            </w:r>
          </w:p>
        </w:tc>
      </w:tr>
      <w:tr>
        <w:tc>
          <w:tcPr>
            <w:tcW w:type="dxa" w:w="850"/>
            <w:shd w:val="clear" w:color="auto" w:fill="F2F2F2"/>
          </w:tcPr>
          <w:p>
            <w:pPr>
              <w:spacing w:after="40" w:before="40"/>
            </w:pPr>
            <w:r>
              <w:rPr>
                <w:sz w:val="20"/>
              </w:rPr>
              <w:t>☐</w:t>
            </w:r>
          </w:p>
        </w:tc>
        <w:tc>
          <w:tcPr>
            <w:tcW w:type="dxa" w:w="6236"/>
            <w:shd w:val="clear" w:color="auto" w:fill="F2F2F2"/>
          </w:tcPr>
          <w:p>
            <w:pPr>
              <w:spacing w:after="40" w:before="40"/>
            </w:pPr>
            <w:r>
              <w:rPr>
                <w:sz w:val="20"/>
              </w:rPr>
              <w:t>Werkruimte is schoon en vrij van losse spullen</w:t>
            </w:r>
          </w:p>
        </w:tc>
        <w:tc>
          <w:tcPr>
            <w:tcW w:type="dxa" w:w="2268"/>
            <w:shd w:val="clear" w:color="auto" w:fill="F2F2F2"/>
          </w:tcPr>
          <w:p>
            <w:pPr>
              <w:spacing w:after="40" w:before="40"/>
            </w:pPr>
            <w:r>
              <w:rPr>
                <w:sz w:val="20"/>
              </w:rPr>
            </w:r>
          </w:p>
        </w:tc>
      </w:tr>
    </w:tbl>
    <w:p/>
    <w:p/>
    <w:p>
      <w:r>
        <w:t>Naam medewerker: _______________________________</w:t>
      </w:r>
    </w:p>
    <w:p>
      <w:r>
        <w:t>Datum: _________________    Handtekening: _______________________________</w:t>
      </w:r>
    </w:p>
    <w:p>
      <w:r>
        <w:br w:type="page"/>
      </w:r>
    </w:p>
    <w:p>
      <w:pPr>
        <w:pStyle w:val="Heading1"/>
      </w:pPr>
      <w:r>
        <w:t>Bronverwijzingen</w:t>
      </w:r>
    </w:p>
    <w:p>
      <w:pPr/>
      <w:r>
        <w:t>Deze handleiding is gebaseerd op de volgende bronnen:</w:t>
      </w:r>
    </w:p>
    <w:p/>
    <w:p>
      <w:pPr>
        <w:spacing w:after="80"/>
      </w:pPr>
      <w:r>
        <w:rPr>
          <w:b/>
        </w:rPr>
        <w:t xml:space="preserve">1. </w:t>
      </w:r>
      <w:r>
        <w:t>PGS 15:2025 — Opslag van verpakte gevaarlijke stoffen, versie 1.0 (januari 2025). Publicatiereeks Gevaarlijke Stoffen.</w:t>
      </w:r>
    </w:p>
    <w:p>
      <w:pPr>
        <w:spacing w:after="80"/>
      </w:pPr>
      <w:r>
        <w:rPr>
          <w:b/>
        </w:rPr>
        <w:t xml:space="preserve">2. </w:t>
      </w:r>
      <w:r>
        <w:t>Safety Data Sheet — Zwavelzuur 25-75% (Sulfuric acid, Carl Roth).</w:t>
      </w:r>
    </w:p>
    <w:p>
      <w:pPr>
        <w:spacing w:after="80"/>
      </w:pPr>
      <w:r>
        <w:rPr>
          <w:b/>
        </w:rPr>
        <w:t xml:space="preserve">3. </w:t>
      </w:r>
      <w:r>
        <w:t>Safety Data Sheet — Natriumhydroxide 50% (Sodium hydroxide 50%, Carl Roth).</w:t>
      </w:r>
    </w:p>
    <w:p>
      <w:pPr>
        <w:spacing w:after="80"/>
      </w:pPr>
      <w:r>
        <w:rPr>
          <w:b/>
        </w:rPr>
        <w:t xml:space="preserve">4. </w:t>
      </w:r>
      <w:r>
        <w:t>Factsheet SARU Ash — LM van Langen, v1.0, november 2024.</w:t>
      </w:r>
    </w:p>
    <w:p>
      <w:pPr>
        <w:spacing w:after="80"/>
      </w:pPr>
      <w:r>
        <w:rPr>
          <w:b/>
        </w:rPr>
        <w:t xml:space="preserve">5. </w:t>
      </w:r>
      <w:r>
        <w:t>Registration Chemicals Master — Phoenix Metals, versie 2.1.0 (29 november 2024).</w:t>
      </w:r>
    </w:p>
    <w:p>
      <w:pPr>
        <w:spacing w:after="80"/>
      </w:pPr>
      <w:r>
        <w:rPr>
          <w:b/>
        </w:rPr>
        <w:t xml:space="preserve">6. </w:t>
      </w:r>
      <w:r>
        <w:t>PBM Matrix Phoenix Metals — draft 1.</w:t>
      </w:r>
    </w:p>
    <w:p>
      <w:pPr>
        <w:spacing w:after="80"/>
      </w:pPr>
      <w:r>
        <w:rPr>
          <w:b/>
        </w:rPr>
        <w:t xml:space="preserve">7. </w:t>
      </w:r>
      <w:r>
        <w:t>Procedure PE-240-01 — Aanvraag, beoordeling en goedkeuring van gevaarlijke stoffen, V1.</w:t>
      </w:r>
    </w:p>
    <w:p>
      <w:pPr>
        <w:spacing w:after="80"/>
      </w:pPr>
      <w:r>
        <w:rPr>
          <w:b/>
        </w:rPr>
        <w:t xml:space="preserve">8. </w:t>
      </w:r>
      <w:r>
        <w:t>Besluit basisveiligheidsnormen stralingsbescherming (art. 2.2, 3.17, 3.20, 4.2, 7.1).</w:t>
      </w:r>
    </w:p>
    <w:p>
      <w:pPr>
        <w:spacing w:after="80"/>
      </w:pPr>
      <w:r>
        <w:rPr>
          <w:b/>
        </w:rPr>
        <w:t xml:space="preserve">9. </w:t>
      </w:r>
      <w:r>
        <w:t>ADR (Accord européen relatif au transport international des marchandises Dangereuses par Route) — 2025 editie.</w:t>
      </w:r>
    </w:p>
    <w:p>
      <w:pPr>
        <w:spacing w:after="80"/>
      </w:pPr>
      <w:r>
        <w:rPr>
          <w:b/>
        </w:rPr>
        <w:t xml:space="preserve">10. </w:t>
      </w:r>
      <w:r>
        <w:t>CLP-verordening (EC) 1272/2008 — Classification, Labelling and Packaging of substances and mixtures.</w:t>
      </w:r>
    </w:p>
    <w:p/>
    <w:p/>
    <w:p>
      <w:pPr>
        <w:jc w:val="center"/>
      </w:pPr>
      <w:r>
        <w:rPr>
          <w:color w:val="999999"/>
          <w:sz w:val="24"/>
        </w:rPr>
        <w:t>— EINDE DOCUMENT —</w:t>
      </w:r>
    </w:p>
    <w:p/>
    <w:p>
      <w:pPr>
        <w:jc w:val="center"/>
      </w:pPr>
      <w:r>
        <w:rPr>
          <w:color w:val="999999"/>
          <w:sz w:val="20"/>
        </w:rPr>
        <w:t>PGS15 Basishandleiding Phoenix Metals v4.0 — April 2026</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40"/>
      <w:outlineLvl w:val="0"/>
    </w:pPr>
    <w:rPr>
      <w:rFonts w:asciiTheme="majorHAnsi" w:eastAsiaTheme="majorEastAsia" w:hAnsiTheme="majorHAnsi" w:cstheme="majorBidi"/>
      <w:b/>
      <w:bCs/>
      <w:color w:val="1B3A5C"/>
      <w:sz w:val="44"/>
      <w:szCs w:val="28"/>
    </w:rPr>
  </w:style>
  <w:style w:type="paragraph" w:styleId="Heading2">
    <w:name w:val="heading 2"/>
    <w:basedOn w:val="Normal"/>
    <w:next w:val="Normal"/>
    <w:link w:val="Heading2Char"/>
    <w:uiPriority w:val="9"/>
    <w:unhideWhenUsed/>
    <w:qFormat/>
    <w:rsid w:val="00FC693F"/>
    <w:pPr>
      <w:keepNext/>
      <w:keepLines/>
      <w:spacing w:before="360" w:after="160"/>
      <w:outlineLvl w:val="1"/>
    </w:pPr>
    <w:rPr>
      <w:rFonts w:asciiTheme="majorHAnsi" w:eastAsiaTheme="majorEastAsia" w:hAnsiTheme="majorHAnsi" w:cstheme="majorBidi"/>
      <w:b/>
      <w:bCs/>
      <w:color w:val="1B3A5C"/>
      <w:sz w:val="32"/>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b/>
      <w:bCs/>
      <w:color w:val="E86C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