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4320"/>
        <w:gridCol w:w="4320"/>
      </w:tblGrid>
      <w:tr>
        <w:tc>
          <w:tcPr>
            <w:tcW w:type="dxa" w:w="4320"/>
          </w:tcPr>
          <w:p>
            <w:r>
              <w:rPr>
                <w:rFonts w:ascii="Calibri" w:hAnsi="Calibri"/>
                <w:b/>
                <w:sz w:val="20"/>
              </w:rPr>
              <w:t>Project</w:t>
            </w:r>
          </w:p>
        </w:tc>
        <w:tc>
          <w:tcPr>
            <w:tcW w:type="dxa" w:w="4320"/>
          </w:tcPr>
          <w:p>
            <w:r>
              <w:rPr>
                <w:rFonts w:ascii="Calibri" w:hAnsi="Calibri"/>
                <w:sz w:val="20"/>
              </w:rPr>
              <w:t>Phoenix Metals B.V. — Pilot Plant Slag Chemicals</w:t>
            </w:r>
          </w:p>
        </w:tc>
      </w:tr>
      <w:tr>
        <w:tc>
          <w:tcPr>
            <w:tcW w:type="dxa" w:w="4320"/>
          </w:tcPr>
          <w:p>
            <w:r>
              <w:rPr>
                <w:rFonts w:ascii="Calibri" w:hAnsi="Calibri"/>
                <w:b/>
                <w:sz w:val="20"/>
              </w:rPr>
              <w:t>Type</w:t>
            </w:r>
          </w:p>
        </w:tc>
        <w:tc>
          <w:tcPr>
            <w:tcW w:type="dxa" w:w="4320"/>
          </w:tcPr>
          <w:p>
            <w:r>
              <w:rPr>
                <w:rFonts w:ascii="Calibri" w:hAnsi="Calibri"/>
                <w:sz w:val="20"/>
              </w:rPr>
              <w:t>PGS 15:2025 Audit Findings Report — v5.0 vs v6.0</w:t>
            </w:r>
          </w:p>
        </w:tc>
      </w:tr>
      <w:tr>
        <w:tc>
          <w:tcPr>
            <w:tcW w:type="dxa" w:w="4320"/>
          </w:tcPr>
          <w:p>
            <w:r>
              <w:rPr>
                <w:rFonts w:ascii="Calibri" w:hAnsi="Calibri"/>
                <w:b/>
                <w:sz w:val="20"/>
              </w:rPr>
              <w:t>Auteur</w:t>
            </w:r>
          </w:p>
        </w:tc>
        <w:tc>
          <w:tcPr>
            <w:tcW w:type="dxa" w:w="4320"/>
          </w:tcPr>
          <w:p>
            <w:r>
              <w:rPr>
                <w:rFonts w:ascii="Calibri" w:hAnsi="Calibri"/>
                <w:sz w:val="20"/>
              </w:rPr>
              <w:t>JvG Consultancy — Lead Auditor</w:t>
            </w:r>
          </w:p>
        </w:tc>
      </w:tr>
      <w:tr>
        <w:tc>
          <w:tcPr>
            <w:tcW w:type="dxa" w:w="4320"/>
          </w:tcPr>
          <w:p>
            <w:r>
              <w:rPr>
                <w:rFonts w:ascii="Calibri" w:hAnsi="Calibri"/>
                <w:b/>
                <w:sz w:val="20"/>
              </w:rPr>
              <w:t>Versie</w:t>
            </w:r>
          </w:p>
        </w:tc>
        <w:tc>
          <w:tcPr>
            <w:tcW w:type="dxa" w:w="4320"/>
          </w:tcPr>
          <w:p>
            <w:r>
              <w:rPr>
                <w:rFonts w:ascii="Calibri" w:hAnsi="Calibri"/>
                <w:sz w:val="20"/>
              </w:rPr>
              <w:t>1.0</w:t>
            </w:r>
          </w:p>
        </w:tc>
      </w:tr>
      <w:tr>
        <w:tc>
          <w:tcPr>
            <w:tcW w:type="dxa" w:w="4320"/>
          </w:tcPr>
          <w:p>
            <w:r>
              <w:rPr>
                <w:rFonts w:ascii="Calibri" w:hAnsi="Calibri"/>
                <w:b/>
                <w:sz w:val="20"/>
              </w:rPr>
              <w:t>Datum</w:t>
            </w:r>
          </w:p>
        </w:tc>
        <w:tc>
          <w:tcPr>
            <w:tcW w:type="dxa" w:w="4320"/>
          </w:tcPr>
          <w:p>
            <w:r>
              <w:rPr>
                <w:rFonts w:ascii="Calibri" w:hAnsi="Calibri"/>
                <w:sz w:val="20"/>
              </w:rPr>
              <w:t>7 mei 2026</w:t>
            </w:r>
          </w:p>
        </w:tc>
      </w:tr>
      <w:tr>
        <w:tc>
          <w:tcPr>
            <w:tcW w:type="dxa" w:w="4320"/>
          </w:tcPr>
          <w:p>
            <w:r>
              <w:rPr>
                <w:rFonts w:ascii="Calibri" w:hAnsi="Calibri"/>
                <w:b/>
                <w:sz w:val="20"/>
              </w:rPr>
              <w:t>Status</w:t>
            </w:r>
          </w:p>
        </w:tc>
        <w:tc>
          <w:tcPr>
            <w:tcW w:type="dxa" w:w="4320"/>
          </w:tcPr>
          <w:p>
            <w:r>
              <w:rPr>
                <w:rFonts w:ascii="Calibri" w:hAnsi="Calibri"/>
                <w:sz w:val="20"/>
              </w:rPr>
              <w:t>Definitief</w:t>
            </w:r>
          </w:p>
        </w:tc>
      </w:tr>
    </w:tbl>
    <w:p/>
    <w:p>
      <w:pPr>
        <w:pStyle w:val="Heading1"/>
      </w:pPr>
      <w:r>
        <w:t>1. Executive Summary</w:t>
      </w:r>
    </w:p>
    <w:p>
      <w:r>
        <w:rPr>
          <w:rFonts w:ascii="Calibri" w:hAnsi="Calibri"/>
          <w:b w:val="0"/>
          <w:sz w:val="22"/>
        </w:rPr>
        <w:t>Deze audit vergelijkt twee versies van het PGS 15:2025 Compliance Toetsing document voor Phoenix Metals B.V. — Pilot Plant Slag Chemicals:</w:t>
      </w:r>
    </w:p>
    <w:p>
      <w:r>
        <w:rPr>
          <w:rFonts w:ascii="Calibri" w:hAnsi="Calibri"/>
          <w:b w:val="0"/>
          <w:sz w:val="22"/>
        </w:rPr>
        <w:t>• v5.0 (6 mei 2026) — Handmatig opgesteld door Kas/HSEQ Division, 20 stoffen, geschatte hoeveelheden</w:t>
      </w:r>
    </w:p>
    <w:p>
      <w:r>
        <w:rPr>
          <w:rFonts w:ascii="Calibri" w:hAnsi="Calibri"/>
          <w:b w:val="0"/>
          <w:sz w:val="22"/>
        </w:rPr>
        <w:t>• v6.0 (7 mei 2026) — Gegenereerd door PGS-15 Scanner Engine, 18 stoffen, exact 150 kg per product</w:t>
      </w:r>
    </w:p>
    <w:p/>
    <w:p>
      <w:r>
        <w:rPr>
          <w:rFonts w:ascii="Calibri" w:hAnsi="Calibri"/>
          <w:b/>
          <w:sz w:val="22"/>
        </w:rPr>
        <w:t>Belangrijkste bevindingen:</w:t>
      </w:r>
    </w:p>
    <w:p>
      <w:r>
        <w:rPr>
          <w:rFonts w:ascii="Calibri" w:hAnsi="Calibri"/>
          <w:b w:val="0"/>
          <w:sz w:val="22"/>
        </w:rPr>
        <w:t>1. KRITIEKE VERSCHILLEN (4 stuks): Niveaubepaling voor 4 stoffen wijkt af tussen v5.0 en v6.0.</w:t>
      </w:r>
    </w:p>
    <w:p>
      <w:r>
        <w:rPr>
          <w:rFonts w:ascii="Calibri" w:hAnsi="Calibri"/>
          <w:b w:val="0"/>
          <w:sz w:val="22"/>
        </w:rPr>
        <w:t>2. Vanadium electrolyte: v5.0 = Niveau C, v6.0 = "Niveau Basis" in header maar "Niveau C" in CMR-toetsing — CONTRADICTIE in v6.0.</w:t>
      </w:r>
    </w:p>
    <w:p>
      <w:r>
        <w:rPr>
          <w:rFonts w:ascii="Calibri" w:hAnsi="Calibri"/>
          <w:b w:val="0"/>
          <w:sz w:val="22"/>
        </w:rPr>
        <w:t>3. Drie ADR 8 stoffen (Sulfuric acid, Hydrochloric acid, Sodium aluminate) zijn "Buiten scope" in v6.0 maar Niveau B in v5.0.</w:t>
      </w:r>
    </w:p>
    <w:p>
      <w:r>
        <w:rPr>
          <w:rFonts w:ascii="Calibri" w:hAnsi="Calibri"/>
          <w:b w:val="0"/>
          <w:sz w:val="22"/>
        </w:rPr>
        <w:t>4. Sodium aluminate: PG II (v5.0) vs PG III (v6.0) — classificatieverschil.</w:t>
      </w:r>
    </w:p>
    <w:p>
      <w:r>
        <w:rPr>
          <w:rFonts w:ascii="Calibri" w:hAnsi="Calibri"/>
          <w:b w:val="0"/>
          <w:sz w:val="22"/>
        </w:rPr>
        <w:t>5. Geaggregeerd niveau: v5.0 = C (expliciet), v6.0 = "A" in samenvatting maar "C" in hoofdstuk 8 — CONTRADICTIE in v6.0.</w:t>
      </w:r>
    </w:p>
    <w:p>
      <w:r>
        <w:rPr>
          <w:rFonts w:ascii="Calibri" w:hAnsi="Calibri"/>
          <w:b w:val="0"/>
          <w:sz w:val="22"/>
        </w:rPr>
        <w:t>6. v5.0 bevat uitgebreide opslagindeling (3 vakken), v6.0 niet.</w:t>
      </w:r>
    </w:p>
    <w:p/>
    <w:p>
      <w:r>
        <w:rPr>
          <w:rFonts w:ascii="Calibri" w:hAnsi="Calibri"/>
          <w:b/>
          <w:sz w:val="24"/>
        </w:rPr>
        <w:t>CONCLUSIE</w:t>
      </w:r>
    </w:p>
    <w:p>
      <w:r>
        <w:rPr>
          <w:rFonts w:ascii="Calibri" w:hAnsi="Calibri"/>
          <w:b w:val="0"/>
          <w:sz w:val="22"/>
        </w:rPr>
        <w:t>v5.0 is betrouwbaarder als referentiedocument voor de praktische uitvoering. v6.0 bevat minstens twee interne contradicties (Vanadium electrolyte niveau, geaggregeerd niveau) die duiden op een logische fout in de Scanner Engine. De Scanner Engine vereist correctie op minimaal 3 punten voordat v6.0 productief kan worden ingezet.</w:t>
      </w:r>
    </w:p>
    <w:p>
      <w:pPr>
        <w:pStyle w:val="Heading1"/>
      </w:pPr>
      <w:r>
        <w:t>2. Methodologie</w:t>
      </w:r>
    </w:p>
    <w:p>
      <w:r>
        <w:rPr>
          <w:rFonts w:ascii="Calibri" w:hAnsi="Calibri"/>
          <w:b w:val="0"/>
          <w:sz w:val="22"/>
        </w:rPr>
        <w:t>De audit is uitgevoerd door gestructureerde vergelijking van beide documentversies:</w:t>
      </w:r>
    </w:p>
    <w:p>
      <w:r>
        <w:rPr>
          <w:rFonts w:ascii="Calibri" w:hAnsi="Calibri"/>
          <w:b w:val="0"/>
          <w:sz w:val="22"/>
        </w:rPr>
        <w:t>• Bron 1: PGS 15 Compliance Toetsing v5.0 (Kas handmatig) — 320 alinea's, 11 tabellen</w:t>
      </w:r>
    </w:p>
    <w:p>
      <w:r>
        <w:rPr>
          <w:rFonts w:ascii="Calibri" w:hAnsi="Calibri"/>
          <w:b w:val="0"/>
          <w:sz w:val="22"/>
        </w:rPr>
        <w:t>• Bron 2: PGS 15 Compliance Toetsing Scanner Validatie v6.0 — 171 alinea's, 17 tabellen</w:t>
      </w:r>
    </w:p>
    <w:p>
      <w:r>
        <w:rPr>
          <w:rFonts w:ascii="Calibri" w:hAnsi="Calibri"/>
          <w:b w:val="0"/>
          <w:sz w:val="22"/>
        </w:rPr>
        <w:t>• Referentienorm: PGS 15:2025 (Publicatie 565, maart 2025)</w:t>
      </w:r>
    </w:p>
    <w:p>
      <w:r>
        <w:rPr>
          <w:rFonts w:ascii="Calibri" w:hAnsi="Calibri"/>
          <w:b w:val="0"/>
          <w:sz w:val="22"/>
        </w:rPr>
      </w:r>
    </w:p>
    <w:p>
      <w:r>
        <w:rPr>
          <w:rFonts w:ascii="Calibri" w:hAnsi="Calibri"/>
          <w:b w:val="0"/>
          <w:sz w:val="22"/>
        </w:rPr>
        <w:t>Werkwijze:</w:t>
      </w:r>
    </w:p>
    <w:p>
      <w:r>
        <w:rPr>
          <w:rFonts w:ascii="Calibri" w:hAnsi="Calibri"/>
          <w:b w:val="0"/>
          <w:sz w:val="22"/>
        </w:rPr>
        <w:t>1. Per-stof vergelijking van H-codes, ADR-klasse, PG, CMR-status en vastgesteld niveau</w:t>
      </w:r>
    </w:p>
    <w:p>
      <w:r>
        <w:rPr>
          <w:rFonts w:ascii="Calibri" w:hAnsi="Calibri"/>
          <w:b w:val="0"/>
          <w:sz w:val="22"/>
        </w:rPr>
        <w:t>2. Vergelijking aggregatieanalyses (ADR 8, ADR 5.1, brandlading)</w:t>
      </w:r>
    </w:p>
    <w:p>
      <w:r>
        <w:rPr>
          <w:rFonts w:ascii="Calibri" w:hAnsi="Calibri"/>
          <w:b w:val="0"/>
          <w:sz w:val="22"/>
        </w:rPr>
        <w:t>3. Structurele vergelijking (aan-/afwezigheid van secties)</w:t>
      </w:r>
    </w:p>
    <w:p>
      <w:r>
        <w:rPr>
          <w:rFonts w:ascii="Calibri" w:hAnsi="Calibri"/>
          <w:b w:val="0"/>
          <w:sz w:val="22"/>
        </w:rPr>
        <w:t>4. Oorzaakanalyse per verschil</w:t>
      </w:r>
    </w:p>
    <w:p>
      <w:r>
        <w:rPr>
          <w:rFonts w:ascii="Calibri" w:hAnsi="Calibri"/>
          <w:b w:val="0"/>
          <w:sz w:val="22"/>
        </w:rPr>
        <w:t>5. Impact assessment (kritiek vs cosmetisch vs onacceptabel)</w:t>
      </w:r>
    </w:p>
    <w:p>
      <w:pPr>
        <w:pStyle w:val="Heading1"/>
      </w:pPr>
      <w:r>
        <w:t>3. Per-Stof Vergelijking</w:t>
      </w:r>
    </w:p>
    <w:p>
      <w:pPr>
        <w:pStyle w:val="Heading2"/>
      </w:pPr>
      <w:r>
        <w:t>3.1 Sulfuric acid 25% (IC-02)</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003366" w:val="clear"/>
          </w:tcPr>
          <w:p>
            <w:r>
              <w:rPr>
                <w:rFonts w:ascii="Calibri" w:hAnsi="Calibri"/>
                <w:b/>
                <w:color w:val="FFFFFF"/>
                <w:sz w:val="18"/>
              </w:rPr>
              <w:t>Veld</w:t>
            </w:r>
          </w:p>
        </w:tc>
        <w:tc>
          <w:tcPr>
            <w:tcW w:type="dxa" w:w="1728"/>
            <w:shd w:fill="003366" w:val="clear"/>
          </w:tcPr>
          <w:p>
            <w:r>
              <w:rPr>
                <w:rFonts w:ascii="Calibri" w:hAnsi="Calibri"/>
                <w:b/>
                <w:color w:val="FFFFFF"/>
                <w:sz w:val="18"/>
              </w:rPr>
              <w:t>v5.0 Waarde</w:t>
            </w:r>
          </w:p>
        </w:tc>
        <w:tc>
          <w:tcPr>
            <w:tcW w:type="dxa" w:w="1728"/>
            <w:shd w:fill="003366" w:val="clear"/>
          </w:tcPr>
          <w:p>
            <w:r>
              <w:rPr>
                <w:rFonts w:ascii="Calibri" w:hAnsi="Calibri"/>
                <w:b/>
                <w:color w:val="FFFFFF"/>
                <w:sz w:val="18"/>
              </w:rPr>
              <w:t>v6.0 Waarde</w:t>
            </w:r>
          </w:p>
        </w:tc>
        <w:tc>
          <w:tcPr>
            <w:tcW w:type="dxa" w:w="1728"/>
            <w:shd w:fill="003366" w:val="clear"/>
          </w:tcPr>
          <w:p>
            <w:r>
              <w:rPr>
                <w:rFonts w:ascii="Calibri" w:hAnsi="Calibri"/>
                <w:b/>
                <w:color w:val="FFFFFF"/>
                <w:sz w:val="18"/>
              </w:rPr>
              <w:t>Verschil?</w:t>
            </w:r>
          </w:p>
        </w:tc>
        <w:tc>
          <w:tcPr>
            <w:tcW w:type="dxa" w:w="1728"/>
            <w:shd w:fill="003366" w:val="clear"/>
          </w:tcPr>
          <w:p>
            <w:r>
              <w:rPr>
                <w:rFonts w:ascii="Calibri" w:hAnsi="Calibri"/>
                <w:b/>
                <w:color w:val="FFFFFF"/>
                <w:sz w:val="18"/>
              </w:rPr>
              <w:t>Oorzaak</w:t>
            </w:r>
          </w:p>
        </w:tc>
      </w:tr>
      <w:tr>
        <w:tc>
          <w:tcPr>
            <w:tcW w:type="dxa" w:w="1728"/>
          </w:tcPr>
          <w:p>
            <w:r>
              <w:rPr>
                <w:rFonts w:ascii="Calibri" w:hAnsi="Calibri"/>
                <w:sz w:val="18"/>
              </w:rPr>
              <w:t>H-codes</w:t>
            </w:r>
          </w:p>
        </w:tc>
        <w:tc>
          <w:tcPr>
            <w:tcW w:type="dxa" w:w="1728"/>
          </w:tcPr>
          <w:p>
            <w:r>
              <w:rPr>
                <w:rFonts w:ascii="Calibri" w:hAnsi="Calibri"/>
                <w:sz w:val="18"/>
              </w:rPr>
              <w:t>H290, H314, H318</w:t>
            </w:r>
          </w:p>
        </w:tc>
        <w:tc>
          <w:tcPr>
            <w:tcW w:type="dxa" w:w="1728"/>
          </w:tcPr>
          <w:p>
            <w:r>
              <w:rPr>
                <w:rFonts w:ascii="Calibri" w:hAnsi="Calibri"/>
                <w:sz w:val="18"/>
              </w:rPr>
              <w:t>H290, H314, H318</w:t>
            </w:r>
          </w:p>
        </w:tc>
        <w:tc>
          <w:tcPr>
            <w:tcW w:type="dxa" w:w="1728"/>
          </w:tcPr>
          <w:p>
            <w:r>
              <w:rPr>
                <w:rFonts w:ascii="Calibri" w:hAnsi="Calibri"/>
                <w:sz w:val="18"/>
              </w:rPr>
              <w:t>Nee</w:t>
            </w:r>
          </w:p>
        </w:tc>
        <w:tc>
          <w:tcPr>
            <w:tcW w:type="dxa" w:w="1728"/>
          </w:tcPr>
          <w:p>
            <w:r>
              <w:rPr>
                <w:rFonts w:ascii="Calibri" w:hAnsi="Calibri"/>
                <w:sz w:val="18"/>
              </w:rPr>
              <w:t>—</w:t>
            </w:r>
          </w:p>
        </w:tc>
      </w:tr>
      <w:tr>
        <w:tc>
          <w:tcPr>
            <w:tcW w:type="dxa" w:w="1728"/>
          </w:tcPr>
          <w:p>
            <w:r>
              <w:rPr>
                <w:rFonts w:ascii="Calibri" w:hAnsi="Calibri"/>
                <w:sz w:val="18"/>
              </w:rPr>
              <w:t>ADR Klasse</w:t>
            </w:r>
          </w:p>
        </w:tc>
        <w:tc>
          <w:tcPr>
            <w:tcW w:type="dxa" w:w="1728"/>
          </w:tcPr>
          <w:p>
            <w:r>
              <w:rPr>
                <w:rFonts w:ascii="Calibri" w:hAnsi="Calibri"/>
                <w:sz w:val="18"/>
              </w:rPr>
              <w:t>8 / UN 2796</w:t>
            </w:r>
          </w:p>
        </w:tc>
        <w:tc>
          <w:tcPr>
            <w:tcW w:type="dxa" w:w="1728"/>
          </w:tcPr>
          <w:p>
            <w:r>
              <w:rPr>
                <w:rFonts w:ascii="Calibri" w:hAnsi="Calibri"/>
                <w:sz w:val="18"/>
              </w:rPr>
              <w:t>8 (geen UN)</w:t>
            </w:r>
          </w:p>
        </w:tc>
        <w:tc>
          <w:tcPr>
            <w:tcW w:type="dxa" w:w="1728"/>
          </w:tcPr>
          <w:p>
            <w:r>
              <w:rPr>
                <w:rFonts w:ascii="Calibri" w:hAnsi="Calibri"/>
                <w:sz w:val="18"/>
              </w:rPr>
              <w:t>Cosmetisch</w:t>
            </w:r>
          </w:p>
        </w:tc>
        <w:tc>
          <w:tcPr>
            <w:tcW w:type="dxa" w:w="1728"/>
          </w:tcPr>
          <w:p>
            <w:r>
              <w:rPr>
                <w:rFonts w:ascii="Calibri" w:hAnsi="Calibri"/>
                <w:sz w:val="18"/>
              </w:rPr>
              <w:t>v6.0 vermeldt geen UN-nummer</w:t>
            </w:r>
          </w:p>
        </w:tc>
      </w:tr>
      <w:tr>
        <w:tc>
          <w:tcPr>
            <w:tcW w:type="dxa" w:w="1728"/>
          </w:tcPr>
          <w:p>
            <w:r>
              <w:rPr>
                <w:rFonts w:ascii="Calibri" w:hAnsi="Calibri"/>
                <w:sz w:val="18"/>
              </w:rPr>
              <w:t>PG</w:t>
            </w:r>
          </w:p>
        </w:tc>
        <w:tc>
          <w:tcPr>
            <w:tcW w:type="dxa" w:w="1728"/>
          </w:tcPr>
          <w:p>
            <w:r>
              <w:rPr>
                <w:rFonts w:ascii="Calibri" w:hAnsi="Calibri"/>
                <w:sz w:val="18"/>
              </w:rPr>
              <w:t>II</w:t>
            </w:r>
          </w:p>
        </w:tc>
        <w:tc>
          <w:tcPr>
            <w:tcW w:type="dxa" w:w="1728"/>
          </w:tcPr>
          <w:p>
            <w:r>
              <w:rPr>
                <w:rFonts w:ascii="Calibri" w:hAnsi="Calibri"/>
                <w:sz w:val="18"/>
              </w:rPr>
              <w:t>II</w:t>
            </w:r>
          </w:p>
        </w:tc>
        <w:tc>
          <w:tcPr>
            <w:tcW w:type="dxa" w:w="1728"/>
          </w:tcPr>
          <w:p>
            <w:r>
              <w:rPr>
                <w:rFonts w:ascii="Calibri" w:hAnsi="Calibri"/>
                <w:sz w:val="18"/>
              </w:rPr>
              <w:t>Nee</w:t>
            </w:r>
          </w:p>
        </w:tc>
        <w:tc>
          <w:tcPr>
            <w:tcW w:type="dxa" w:w="1728"/>
          </w:tcPr>
          <w:p>
            <w:r>
              <w:rPr>
                <w:rFonts w:ascii="Calibri" w:hAnsi="Calibri"/>
                <w:sz w:val="18"/>
              </w:rPr>
              <w:t>—</w:t>
            </w:r>
          </w:p>
        </w:tc>
      </w:tr>
      <w:tr>
        <w:tc>
          <w:tcPr>
            <w:tcW w:type="dxa" w:w="1728"/>
          </w:tcPr>
          <w:p>
            <w:r>
              <w:rPr>
                <w:rFonts w:ascii="Calibri" w:hAnsi="Calibri"/>
                <w:sz w:val="18"/>
              </w:rPr>
              <w:t>CMR-status</w:t>
            </w:r>
          </w:p>
        </w:tc>
        <w:tc>
          <w:tcPr>
            <w:tcW w:type="dxa" w:w="1728"/>
          </w:tcPr>
          <w:p>
            <w:r>
              <w:rPr>
                <w:rFonts w:ascii="Calibri" w:hAnsi="Calibri"/>
                <w:sz w:val="18"/>
              </w:rPr>
              <w:t>Nee</w:t>
            </w:r>
          </w:p>
        </w:tc>
        <w:tc>
          <w:tcPr>
            <w:tcW w:type="dxa" w:w="1728"/>
          </w:tcPr>
          <w:p>
            <w:r>
              <w:rPr>
                <w:rFonts w:ascii="Calibri" w:hAnsi="Calibri"/>
                <w:sz w:val="18"/>
              </w:rPr>
              <w:t>Nee</w:t>
            </w:r>
          </w:p>
        </w:tc>
        <w:tc>
          <w:tcPr>
            <w:tcW w:type="dxa" w:w="1728"/>
          </w:tcPr>
          <w:p>
            <w:r>
              <w:rPr>
                <w:rFonts w:ascii="Calibri" w:hAnsi="Calibri"/>
                <w:sz w:val="18"/>
              </w:rPr>
              <w:t>Nee</w:t>
            </w:r>
          </w:p>
        </w:tc>
        <w:tc>
          <w:tcPr>
            <w:tcW w:type="dxa" w:w="1728"/>
          </w:tcPr>
          <w:p>
            <w:r>
              <w:rPr>
                <w:rFonts w:ascii="Calibri" w:hAnsi="Calibri"/>
                <w:sz w:val="18"/>
              </w:rPr>
              <w:t>—</w:t>
            </w:r>
          </w:p>
        </w:tc>
      </w:tr>
      <w:tr>
        <w:tc>
          <w:tcPr>
            <w:tcW w:type="dxa" w:w="1728"/>
          </w:tcPr>
          <w:p>
            <w:r>
              <w:rPr>
                <w:rFonts w:ascii="Calibri" w:hAnsi="Calibri"/>
                <w:sz w:val="18"/>
              </w:rPr>
              <w:t>Niveau</w:t>
            </w:r>
          </w:p>
        </w:tc>
        <w:tc>
          <w:tcPr>
            <w:tcW w:type="dxa" w:w="1728"/>
          </w:tcPr>
          <w:p>
            <w:r>
              <w:rPr>
                <w:rFonts w:ascii="Calibri" w:hAnsi="Calibri"/>
                <w:sz w:val="18"/>
              </w:rPr>
              <w:t>B</w:t>
            </w:r>
          </w:p>
        </w:tc>
        <w:tc>
          <w:tcPr>
            <w:tcW w:type="dxa" w:w="1728"/>
          </w:tcPr>
          <w:p>
            <w:r>
              <w:rPr>
                <w:rFonts w:ascii="Calibri" w:hAnsi="Calibri"/>
                <w:sz w:val="18"/>
              </w:rPr>
              <w:t>Buiten scope</w:t>
            </w:r>
          </w:p>
        </w:tc>
        <w:tc>
          <w:tcPr>
            <w:tcW w:type="dxa" w:w="1728"/>
          </w:tcPr>
          <w:p>
            <w:r>
              <w:rPr>
                <w:rFonts w:ascii="Calibri" w:hAnsi="Calibri"/>
                <w:sz w:val="18"/>
              </w:rPr>
              <w:t>JA ⚠️</w:t>
            </w:r>
          </w:p>
        </w:tc>
        <w:tc>
          <w:tcPr>
            <w:tcW w:type="dxa" w:w="1728"/>
          </w:tcPr>
          <w:p>
            <w:r>
              <w:rPr>
                <w:rFonts w:ascii="Calibri" w:hAnsi="Calibri"/>
                <w:sz w:val="18"/>
              </w:rPr>
              <w:t>B — Scanner classificeert 150 kg ADR 8 PG II als buiten scope</w:t>
            </w:r>
          </w:p>
        </w:tc>
      </w:tr>
      <w:tr>
        <w:tc>
          <w:tcPr>
            <w:tcW w:type="dxa" w:w="1728"/>
          </w:tcPr>
          <w:p>
            <w:r>
              <w:rPr>
                <w:rFonts w:ascii="Calibri" w:hAnsi="Calibri"/>
                <w:sz w:val="18"/>
              </w:rPr>
              <w:t>Hoeveelheid</w:t>
            </w:r>
          </w:p>
        </w:tc>
        <w:tc>
          <w:tcPr>
            <w:tcW w:type="dxa" w:w="1728"/>
          </w:tcPr>
          <w:p>
            <w:r>
              <w:rPr>
                <w:rFonts w:ascii="Calibri" w:hAnsi="Calibri"/>
                <w:sz w:val="18"/>
              </w:rPr>
              <w:t>Geschat (onbekend)</w:t>
            </w:r>
          </w:p>
        </w:tc>
        <w:tc>
          <w:tcPr>
            <w:tcW w:type="dxa" w:w="1728"/>
          </w:tcPr>
          <w:p>
            <w:r>
              <w:rPr>
                <w:rFonts w:ascii="Calibri" w:hAnsi="Calibri"/>
                <w:sz w:val="18"/>
              </w:rPr>
              <w:t>150 kg</w:t>
            </w:r>
          </w:p>
        </w:tc>
        <w:tc>
          <w:tcPr>
            <w:tcW w:type="dxa" w:w="1728"/>
          </w:tcPr>
          <w:p>
            <w:r>
              <w:rPr>
                <w:rFonts w:ascii="Calibri" w:hAnsi="Calibri"/>
                <w:sz w:val="18"/>
              </w:rPr>
              <w:t>JA</w:t>
            </w:r>
          </w:p>
        </w:tc>
        <w:tc>
          <w:tcPr>
            <w:tcW w:type="dxa" w:w="1728"/>
          </w:tcPr>
          <w:p>
            <w:r>
              <w:rPr>
                <w:rFonts w:ascii="Calibri" w:hAnsi="Calibri"/>
                <w:sz w:val="18"/>
              </w:rPr>
              <w:t>A — v5.0 gebruikt schatting</w:t>
            </w:r>
          </w:p>
        </w:tc>
      </w:tr>
      <w:tr>
        <w:tc>
          <w:tcPr>
            <w:tcW w:type="dxa" w:w="1728"/>
          </w:tcPr>
          <w:p>
            <w:r>
              <w:rPr>
                <w:rFonts w:ascii="Calibri" w:hAnsi="Calibri"/>
                <w:sz w:val="18"/>
              </w:rPr>
              <w:t>Rationale</w:t>
            </w:r>
          </w:p>
        </w:tc>
        <w:tc>
          <w:tcPr>
            <w:tcW w:type="dxa" w:w="1728"/>
          </w:tcPr>
          <w:p>
            <w:r>
              <w:rPr>
                <w:rFonts w:ascii="Calibri" w:hAnsi="Calibri"/>
                <w:sz w:val="18"/>
              </w:rPr>
              <w:t>Bij &lt;250 kg: Niveau B</w:t>
            </w:r>
          </w:p>
        </w:tc>
        <w:tc>
          <w:tcPr>
            <w:tcW w:type="dxa" w:w="1728"/>
          </w:tcPr>
          <w:p>
            <w:r>
              <w:rPr>
                <w:rFonts w:ascii="Calibri" w:hAnsi="Calibri"/>
                <w:sz w:val="18"/>
              </w:rPr>
              <w:t>Geen rationale</w:t>
            </w:r>
          </w:p>
        </w:tc>
        <w:tc>
          <w:tcPr>
            <w:tcW w:type="dxa" w:w="1728"/>
          </w:tcPr>
          <w:p>
            <w:r>
              <w:rPr>
                <w:rFonts w:ascii="Calibri" w:hAnsi="Calibri"/>
                <w:sz w:val="18"/>
              </w:rPr>
              <w:t>JA</w:t>
            </w:r>
          </w:p>
        </w:tc>
        <w:tc>
          <w:tcPr>
            <w:tcW w:type="dxa" w:w="1728"/>
          </w:tcPr>
          <w:p>
            <w:r>
              <w:rPr>
                <w:rFonts w:ascii="Calibri" w:hAnsi="Calibri"/>
                <w:sz w:val="18"/>
              </w:rPr>
              <w:t>E — v6.0 geeft geen toelichting</w:t>
            </w:r>
          </w:p>
        </w:tc>
      </w:tr>
    </w:tbl>
    <w:p/>
    <w:p>
      <w:pPr>
        <w:pStyle w:val="Heading2"/>
      </w:pPr>
      <w:r>
        <w:t>3.2 Hydrogen peroxide 30% (IC-03)</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003366" w:val="clear"/>
          </w:tcPr>
          <w:p>
            <w:r>
              <w:rPr>
                <w:rFonts w:ascii="Calibri" w:hAnsi="Calibri"/>
                <w:b/>
                <w:color w:val="FFFFFF"/>
                <w:sz w:val="18"/>
              </w:rPr>
              <w:t>Veld</w:t>
            </w:r>
          </w:p>
        </w:tc>
        <w:tc>
          <w:tcPr>
            <w:tcW w:type="dxa" w:w="1728"/>
            <w:shd w:fill="003366" w:val="clear"/>
          </w:tcPr>
          <w:p>
            <w:r>
              <w:rPr>
                <w:rFonts w:ascii="Calibri" w:hAnsi="Calibri"/>
                <w:b/>
                <w:color w:val="FFFFFF"/>
                <w:sz w:val="18"/>
              </w:rPr>
              <w:t>v5.0 Waarde</w:t>
            </w:r>
          </w:p>
        </w:tc>
        <w:tc>
          <w:tcPr>
            <w:tcW w:type="dxa" w:w="1728"/>
            <w:shd w:fill="003366" w:val="clear"/>
          </w:tcPr>
          <w:p>
            <w:r>
              <w:rPr>
                <w:rFonts w:ascii="Calibri" w:hAnsi="Calibri"/>
                <w:b/>
                <w:color w:val="FFFFFF"/>
                <w:sz w:val="18"/>
              </w:rPr>
              <w:t>v6.0 Waarde</w:t>
            </w:r>
          </w:p>
        </w:tc>
        <w:tc>
          <w:tcPr>
            <w:tcW w:type="dxa" w:w="1728"/>
            <w:shd w:fill="003366" w:val="clear"/>
          </w:tcPr>
          <w:p>
            <w:r>
              <w:rPr>
                <w:rFonts w:ascii="Calibri" w:hAnsi="Calibri"/>
                <w:b/>
                <w:color w:val="FFFFFF"/>
                <w:sz w:val="18"/>
              </w:rPr>
              <w:t>Verschil?</w:t>
            </w:r>
          </w:p>
        </w:tc>
        <w:tc>
          <w:tcPr>
            <w:tcW w:type="dxa" w:w="1728"/>
            <w:shd w:fill="003366" w:val="clear"/>
          </w:tcPr>
          <w:p>
            <w:r>
              <w:rPr>
                <w:rFonts w:ascii="Calibri" w:hAnsi="Calibri"/>
                <w:b/>
                <w:color w:val="FFFFFF"/>
                <w:sz w:val="18"/>
              </w:rPr>
              <w:t>Oorzaak</w:t>
            </w:r>
          </w:p>
        </w:tc>
      </w:tr>
      <w:tr>
        <w:tc>
          <w:tcPr>
            <w:tcW w:type="dxa" w:w="1728"/>
          </w:tcPr>
          <w:p>
            <w:r>
              <w:rPr>
                <w:rFonts w:ascii="Calibri" w:hAnsi="Calibri"/>
                <w:sz w:val="18"/>
              </w:rPr>
              <w:t>H-codes</w:t>
            </w:r>
          </w:p>
        </w:tc>
        <w:tc>
          <w:tcPr>
            <w:tcW w:type="dxa" w:w="1728"/>
          </w:tcPr>
          <w:p>
            <w:r>
              <w:rPr>
                <w:rFonts w:ascii="Calibri" w:hAnsi="Calibri"/>
                <w:sz w:val="18"/>
              </w:rPr>
              <w:t>H302, H318, H332</w:t>
            </w:r>
          </w:p>
        </w:tc>
        <w:tc>
          <w:tcPr>
            <w:tcW w:type="dxa" w:w="1728"/>
          </w:tcPr>
          <w:p>
            <w:r>
              <w:rPr>
                <w:rFonts w:ascii="Calibri" w:hAnsi="Calibri"/>
                <w:sz w:val="18"/>
              </w:rPr>
              <w:t>H302, H332, H318</w:t>
            </w:r>
          </w:p>
        </w:tc>
        <w:tc>
          <w:tcPr>
            <w:tcW w:type="dxa" w:w="1728"/>
          </w:tcPr>
          <w:p>
            <w:r>
              <w:rPr>
                <w:rFonts w:ascii="Calibri" w:hAnsi="Calibri"/>
                <w:sz w:val="18"/>
              </w:rPr>
              <w:t>Nee (volgorde)</w:t>
            </w:r>
          </w:p>
        </w:tc>
        <w:tc>
          <w:tcPr>
            <w:tcW w:type="dxa" w:w="1728"/>
          </w:tcPr>
          <w:p>
            <w:r>
              <w:rPr>
                <w:rFonts w:ascii="Calibri" w:hAnsi="Calibri"/>
                <w:sz w:val="18"/>
              </w:rPr>
              <w:t>—</w:t>
            </w:r>
          </w:p>
        </w:tc>
      </w:tr>
      <w:tr>
        <w:tc>
          <w:tcPr>
            <w:tcW w:type="dxa" w:w="1728"/>
          </w:tcPr>
          <w:p>
            <w:r>
              <w:rPr>
                <w:rFonts w:ascii="Calibri" w:hAnsi="Calibri"/>
                <w:sz w:val="18"/>
              </w:rPr>
              <w:t>ADR Klasse</w:t>
            </w:r>
          </w:p>
        </w:tc>
        <w:tc>
          <w:tcPr>
            <w:tcW w:type="dxa" w:w="1728"/>
          </w:tcPr>
          <w:p>
            <w:r>
              <w:rPr>
                <w:rFonts w:ascii="Calibri" w:hAnsi="Calibri"/>
                <w:sz w:val="18"/>
              </w:rPr>
              <w:t>5.1(8) / UN 2014</w:t>
            </w:r>
          </w:p>
        </w:tc>
        <w:tc>
          <w:tcPr>
            <w:tcW w:type="dxa" w:w="1728"/>
          </w:tcPr>
          <w:p>
            <w:r>
              <w:rPr>
                <w:rFonts w:ascii="Calibri" w:hAnsi="Calibri"/>
                <w:sz w:val="18"/>
              </w:rPr>
              <w:t>5.1 (geen UN)</w:t>
            </w:r>
          </w:p>
        </w:tc>
        <w:tc>
          <w:tcPr>
            <w:tcW w:type="dxa" w:w="1728"/>
          </w:tcPr>
          <w:p>
            <w:r>
              <w:rPr>
                <w:rFonts w:ascii="Calibri" w:hAnsi="Calibri"/>
                <w:sz w:val="18"/>
              </w:rPr>
              <w:t>Cosmetisch</w:t>
            </w:r>
          </w:p>
        </w:tc>
        <w:tc>
          <w:tcPr>
            <w:tcW w:type="dxa" w:w="1728"/>
          </w:tcPr>
          <w:p>
            <w:r>
              <w:rPr>
                <w:rFonts w:ascii="Calibri" w:hAnsi="Calibri"/>
                <w:sz w:val="18"/>
              </w:rPr>
              <w:t>v6.0 vermeldt geen UN, geen bijkomstig klasse 8</w:t>
            </w:r>
          </w:p>
        </w:tc>
      </w:tr>
      <w:tr>
        <w:tc>
          <w:tcPr>
            <w:tcW w:type="dxa" w:w="1728"/>
          </w:tcPr>
          <w:p>
            <w:r>
              <w:rPr>
                <w:rFonts w:ascii="Calibri" w:hAnsi="Calibri"/>
                <w:sz w:val="18"/>
              </w:rPr>
              <w:t>PG</w:t>
            </w:r>
          </w:p>
        </w:tc>
        <w:tc>
          <w:tcPr>
            <w:tcW w:type="dxa" w:w="1728"/>
          </w:tcPr>
          <w:p>
            <w:r>
              <w:rPr>
                <w:rFonts w:ascii="Calibri" w:hAnsi="Calibri"/>
                <w:sz w:val="18"/>
              </w:rPr>
              <w:t>II</w:t>
            </w:r>
          </w:p>
        </w:tc>
        <w:tc>
          <w:tcPr>
            <w:tcW w:type="dxa" w:w="1728"/>
          </w:tcPr>
          <w:p>
            <w:r>
              <w:rPr>
                <w:rFonts w:ascii="Calibri" w:hAnsi="Calibri"/>
                <w:sz w:val="18"/>
              </w:rPr>
              <w:t>II</w:t>
            </w:r>
          </w:p>
        </w:tc>
        <w:tc>
          <w:tcPr>
            <w:tcW w:type="dxa" w:w="1728"/>
          </w:tcPr>
          <w:p>
            <w:r>
              <w:rPr>
                <w:rFonts w:ascii="Calibri" w:hAnsi="Calibri"/>
                <w:sz w:val="18"/>
              </w:rPr>
              <w:t>Nee</w:t>
            </w:r>
          </w:p>
        </w:tc>
        <w:tc>
          <w:tcPr>
            <w:tcW w:type="dxa" w:w="1728"/>
          </w:tcPr>
          <w:p>
            <w:r>
              <w:rPr>
                <w:rFonts w:ascii="Calibri" w:hAnsi="Calibri"/>
                <w:sz w:val="18"/>
              </w:rPr>
              <w:t>—</w:t>
            </w:r>
          </w:p>
        </w:tc>
      </w:tr>
      <w:tr>
        <w:tc>
          <w:tcPr>
            <w:tcW w:type="dxa" w:w="1728"/>
          </w:tcPr>
          <w:p>
            <w:r>
              <w:rPr>
                <w:rFonts w:ascii="Calibri" w:hAnsi="Calibri"/>
                <w:sz w:val="18"/>
              </w:rPr>
              <w:t>CMR-status</w:t>
            </w:r>
          </w:p>
        </w:tc>
        <w:tc>
          <w:tcPr>
            <w:tcW w:type="dxa" w:w="1728"/>
          </w:tcPr>
          <w:p>
            <w:r>
              <w:rPr>
                <w:rFonts w:ascii="Calibri" w:hAnsi="Calibri"/>
                <w:sz w:val="18"/>
              </w:rPr>
              <w:t>Nee</w:t>
            </w:r>
          </w:p>
        </w:tc>
        <w:tc>
          <w:tcPr>
            <w:tcW w:type="dxa" w:w="1728"/>
          </w:tcPr>
          <w:p>
            <w:r>
              <w:rPr>
                <w:rFonts w:ascii="Calibri" w:hAnsi="Calibri"/>
                <w:sz w:val="18"/>
              </w:rPr>
              <w:t>Nee</w:t>
            </w:r>
          </w:p>
        </w:tc>
        <w:tc>
          <w:tcPr>
            <w:tcW w:type="dxa" w:w="1728"/>
          </w:tcPr>
          <w:p>
            <w:r>
              <w:rPr>
                <w:rFonts w:ascii="Calibri" w:hAnsi="Calibri"/>
                <w:sz w:val="18"/>
              </w:rPr>
              <w:t>Nee</w:t>
            </w:r>
          </w:p>
        </w:tc>
        <w:tc>
          <w:tcPr>
            <w:tcW w:type="dxa" w:w="1728"/>
          </w:tcPr>
          <w:p>
            <w:r>
              <w:rPr>
                <w:rFonts w:ascii="Calibri" w:hAnsi="Calibri"/>
                <w:sz w:val="18"/>
              </w:rPr>
              <w:t>—</w:t>
            </w:r>
          </w:p>
        </w:tc>
      </w:tr>
      <w:tr>
        <w:tc>
          <w:tcPr>
            <w:tcW w:type="dxa" w:w="1728"/>
          </w:tcPr>
          <w:p>
            <w:r>
              <w:rPr>
                <w:rFonts w:ascii="Calibri" w:hAnsi="Calibri"/>
                <w:sz w:val="18"/>
              </w:rPr>
              <w:t>Niveau</w:t>
            </w:r>
          </w:p>
        </w:tc>
        <w:tc>
          <w:tcPr>
            <w:tcW w:type="dxa" w:w="1728"/>
          </w:tcPr>
          <w:p>
            <w:r>
              <w:rPr>
                <w:rFonts w:ascii="Calibri" w:hAnsi="Calibri"/>
                <w:sz w:val="18"/>
              </w:rPr>
              <w:t>B</w:t>
            </w:r>
          </w:p>
        </w:tc>
        <w:tc>
          <w:tcPr>
            <w:tcW w:type="dxa" w:w="1728"/>
          </w:tcPr>
          <w:p>
            <w:r>
              <w:rPr>
                <w:rFonts w:ascii="Calibri" w:hAnsi="Calibri"/>
                <w:sz w:val="18"/>
              </w:rPr>
              <w:t>C</w:t>
            </w:r>
          </w:p>
        </w:tc>
        <w:tc>
          <w:tcPr>
            <w:tcW w:type="dxa" w:w="1728"/>
          </w:tcPr>
          <w:p>
            <w:r>
              <w:rPr>
                <w:rFonts w:ascii="Calibri" w:hAnsi="Calibri"/>
                <w:sz w:val="18"/>
              </w:rPr>
              <w:t>JA ⚠️ KRITIEK</w:t>
            </w:r>
          </w:p>
        </w:tc>
        <w:tc>
          <w:tcPr>
            <w:tcW w:type="dxa" w:w="1728"/>
          </w:tcPr>
          <w:p>
            <w:r>
              <w:rPr>
                <w:rFonts w:ascii="Calibri" w:hAnsi="Calibri"/>
                <w:sz w:val="18"/>
              </w:rPr>
              <w:t>B — v6.0 promoot naar C ivm "acute toxiciteit cat. 3"</w:t>
            </w:r>
          </w:p>
        </w:tc>
      </w:tr>
      <w:tr>
        <w:tc>
          <w:tcPr>
            <w:tcW w:type="dxa" w:w="1728"/>
          </w:tcPr>
          <w:p>
            <w:r>
              <w:rPr>
                <w:rFonts w:ascii="Calibri" w:hAnsi="Calibri"/>
                <w:sz w:val="18"/>
              </w:rPr>
              <w:t>Hoeveelheid</w:t>
            </w:r>
          </w:p>
        </w:tc>
        <w:tc>
          <w:tcPr>
            <w:tcW w:type="dxa" w:w="1728"/>
          </w:tcPr>
          <w:p>
            <w:r>
              <w:rPr>
                <w:rFonts w:ascii="Calibri" w:hAnsi="Calibri"/>
                <w:sz w:val="18"/>
              </w:rPr>
              <w:t>Geschat</w:t>
            </w:r>
          </w:p>
        </w:tc>
        <w:tc>
          <w:tcPr>
            <w:tcW w:type="dxa" w:w="1728"/>
          </w:tcPr>
          <w:p>
            <w:r>
              <w:rPr>
                <w:rFonts w:ascii="Calibri" w:hAnsi="Calibri"/>
                <w:sz w:val="18"/>
              </w:rPr>
              <w:t>150 kg</w:t>
            </w:r>
          </w:p>
        </w:tc>
        <w:tc>
          <w:tcPr>
            <w:tcW w:type="dxa" w:w="1728"/>
          </w:tcPr>
          <w:p>
            <w:r>
              <w:rPr>
                <w:rFonts w:ascii="Calibri" w:hAnsi="Calibri"/>
                <w:sz w:val="18"/>
              </w:rPr>
              <w:t>JA</w:t>
            </w:r>
          </w:p>
        </w:tc>
        <w:tc>
          <w:tcPr>
            <w:tcW w:type="dxa" w:w="1728"/>
          </w:tcPr>
          <w:p>
            <w:r>
              <w:rPr>
                <w:rFonts w:ascii="Calibri" w:hAnsi="Calibri"/>
                <w:sz w:val="18"/>
              </w:rPr>
              <w:t>A</w:t>
            </w:r>
          </w:p>
        </w:tc>
      </w:tr>
      <w:tr>
        <w:tc>
          <w:tcPr>
            <w:tcW w:type="dxa" w:w="1728"/>
          </w:tcPr>
          <w:p>
            <w:r>
              <w:rPr>
                <w:rFonts w:ascii="Calibri" w:hAnsi="Calibri"/>
                <w:sz w:val="18"/>
              </w:rPr>
              <w:t>Rationale</w:t>
            </w:r>
          </w:p>
        </w:tc>
        <w:tc>
          <w:tcPr>
            <w:tcW w:type="dxa" w:w="1728"/>
          </w:tcPr>
          <w:p>
            <w:r>
              <w:rPr>
                <w:rFonts w:ascii="Calibri" w:hAnsi="Calibri"/>
                <w:sz w:val="18"/>
              </w:rPr>
              <w:t>Oxiderend PG II, individueel B</w:t>
            </w:r>
          </w:p>
        </w:tc>
        <w:tc>
          <w:tcPr>
            <w:tcW w:type="dxa" w:w="1728"/>
          </w:tcPr>
          <w:p>
            <w:r>
              <w:rPr>
                <w:rFonts w:ascii="Calibri" w:hAnsi="Calibri"/>
                <w:sz w:val="18"/>
              </w:rPr>
              <w:t>Acute toxiciteit cat. 3 → C</w:t>
            </w:r>
          </w:p>
        </w:tc>
        <w:tc>
          <w:tcPr>
            <w:tcW w:type="dxa" w:w="1728"/>
          </w:tcPr>
          <w:p>
            <w:r>
              <w:rPr>
                <w:rFonts w:ascii="Calibri" w:hAnsi="Calibri"/>
                <w:sz w:val="18"/>
              </w:rPr>
              <w:t>JA</w:t>
            </w:r>
          </w:p>
        </w:tc>
        <w:tc>
          <w:tcPr>
            <w:tcW w:type="dxa" w:w="1728"/>
          </w:tcPr>
          <w:p>
            <w:r>
              <w:rPr>
                <w:rFonts w:ascii="Calibri" w:hAnsi="Calibri"/>
                <w:sz w:val="18"/>
              </w:rPr>
              <w:t>B — H302/H332 (Acute Tox. 4) levert normaal geen Niveau C</w:t>
            </w:r>
          </w:p>
        </w:tc>
      </w:tr>
    </w:tbl>
    <w:p/>
    <w:p>
      <w:pPr>
        <w:pStyle w:val="Heading2"/>
      </w:pPr>
      <w:r>
        <w:t>3.3 Sodium persulfate (IC-04)</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003366" w:val="clear"/>
          </w:tcPr>
          <w:p>
            <w:r>
              <w:rPr>
                <w:rFonts w:ascii="Calibri" w:hAnsi="Calibri"/>
                <w:b/>
                <w:color w:val="FFFFFF"/>
                <w:sz w:val="18"/>
              </w:rPr>
              <w:t>Veld</w:t>
            </w:r>
          </w:p>
        </w:tc>
        <w:tc>
          <w:tcPr>
            <w:tcW w:type="dxa" w:w="1728"/>
            <w:shd w:fill="003366" w:val="clear"/>
          </w:tcPr>
          <w:p>
            <w:r>
              <w:rPr>
                <w:rFonts w:ascii="Calibri" w:hAnsi="Calibri"/>
                <w:b/>
                <w:color w:val="FFFFFF"/>
                <w:sz w:val="18"/>
              </w:rPr>
              <w:t>v5.0 Waarde</w:t>
            </w:r>
          </w:p>
        </w:tc>
        <w:tc>
          <w:tcPr>
            <w:tcW w:type="dxa" w:w="1728"/>
            <w:shd w:fill="003366" w:val="clear"/>
          </w:tcPr>
          <w:p>
            <w:r>
              <w:rPr>
                <w:rFonts w:ascii="Calibri" w:hAnsi="Calibri"/>
                <w:b/>
                <w:color w:val="FFFFFF"/>
                <w:sz w:val="18"/>
              </w:rPr>
              <w:t>v6.0 Waarde</w:t>
            </w:r>
          </w:p>
        </w:tc>
        <w:tc>
          <w:tcPr>
            <w:tcW w:type="dxa" w:w="1728"/>
            <w:shd w:fill="003366" w:val="clear"/>
          </w:tcPr>
          <w:p>
            <w:r>
              <w:rPr>
                <w:rFonts w:ascii="Calibri" w:hAnsi="Calibri"/>
                <w:b/>
                <w:color w:val="FFFFFF"/>
                <w:sz w:val="18"/>
              </w:rPr>
              <w:t>Verschil?</w:t>
            </w:r>
          </w:p>
        </w:tc>
        <w:tc>
          <w:tcPr>
            <w:tcW w:type="dxa" w:w="1728"/>
            <w:shd w:fill="003366" w:val="clear"/>
          </w:tcPr>
          <w:p>
            <w:r>
              <w:rPr>
                <w:rFonts w:ascii="Calibri" w:hAnsi="Calibri"/>
                <w:b/>
                <w:color w:val="FFFFFF"/>
                <w:sz w:val="18"/>
              </w:rPr>
              <w:t>Oorzaak</w:t>
            </w:r>
          </w:p>
        </w:tc>
      </w:tr>
      <w:tr>
        <w:tc>
          <w:tcPr>
            <w:tcW w:type="dxa" w:w="1728"/>
          </w:tcPr>
          <w:p>
            <w:r>
              <w:rPr>
                <w:rFonts w:ascii="Calibri" w:hAnsi="Calibri"/>
                <w:sz w:val="18"/>
              </w:rPr>
              <w:t>H-codes</w:t>
            </w:r>
          </w:p>
        </w:tc>
        <w:tc>
          <w:tcPr>
            <w:tcW w:type="dxa" w:w="1728"/>
          </w:tcPr>
          <w:p>
            <w:r>
              <w:rPr>
                <w:rFonts w:ascii="Calibri" w:hAnsi="Calibri"/>
                <w:sz w:val="18"/>
              </w:rPr>
              <w:t>H272, H302, H315, H317, H319, H334, H335</w:t>
            </w:r>
          </w:p>
        </w:tc>
        <w:tc>
          <w:tcPr>
            <w:tcW w:type="dxa" w:w="1728"/>
          </w:tcPr>
          <w:p>
            <w:r>
              <w:rPr>
                <w:rFonts w:ascii="Calibri" w:hAnsi="Calibri"/>
                <w:sz w:val="18"/>
              </w:rPr>
              <w:t>H272, H302, H315, H317, H319, H334, H335</w:t>
            </w:r>
          </w:p>
        </w:tc>
        <w:tc>
          <w:tcPr>
            <w:tcW w:type="dxa" w:w="1728"/>
          </w:tcPr>
          <w:p>
            <w:r>
              <w:rPr>
                <w:rFonts w:ascii="Calibri" w:hAnsi="Calibri"/>
                <w:sz w:val="18"/>
              </w:rPr>
              <w:t>Nee</w:t>
            </w:r>
          </w:p>
        </w:tc>
        <w:tc>
          <w:tcPr>
            <w:tcW w:type="dxa" w:w="1728"/>
          </w:tcPr>
          <w:p>
            <w:r>
              <w:rPr>
                <w:rFonts w:ascii="Calibri" w:hAnsi="Calibri"/>
                <w:sz w:val="18"/>
              </w:rPr>
              <w:t>—</w:t>
            </w:r>
          </w:p>
        </w:tc>
      </w:tr>
      <w:tr>
        <w:tc>
          <w:tcPr>
            <w:tcW w:type="dxa" w:w="1728"/>
          </w:tcPr>
          <w:p>
            <w:r>
              <w:rPr>
                <w:rFonts w:ascii="Calibri" w:hAnsi="Calibri"/>
                <w:sz w:val="18"/>
              </w:rPr>
              <w:t>ADR Klasse</w:t>
            </w:r>
          </w:p>
        </w:tc>
        <w:tc>
          <w:tcPr>
            <w:tcW w:type="dxa" w:w="1728"/>
          </w:tcPr>
          <w:p>
            <w:r>
              <w:rPr>
                <w:rFonts w:ascii="Calibri" w:hAnsi="Calibri"/>
                <w:sz w:val="18"/>
              </w:rPr>
              <w:t>5.1 / UN 1505</w:t>
            </w:r>
          </w:p>
        </w:tc>
        <w:tc>
          <w:tcPr>
            <w:tcW w:type="dxa" w:w="1728"/>
          </w:tcPr>
          <w:p>
            <w:r>
              <w:rPr>
                <w:rFonts w:ascii="Calibri" w:hAnsi="Calibri"/>
                <w:sz w:val="18"/>
              </w:rPr>
              <w:t>5.1 (geen UN)</w:t>
            </w:r>
          </w:p>
        </w:tc>
        <w:tc>
          <w:tcPr>
            <w:tcW w:type="dxa" w:w="1728"/>
          </w:tcPr>
          <w:p>
            <w:r>
              <w:rPr>
                <w:rFonts w:ascii="Calibri" w:hAnsi="Calibri"/>
                <w:sz w:val="18"/>
              </w:rPr>
              <w:t>Cosmetisch</w:t>
            </w:r>
          </w:p>
        </w:tc>
        <w:tc>
          <w:tcPr>
            <w:tcW w:type="dxa" w:w="1728"/>
          </w:tcPr>
          <w:p>
            <w:r>
              <w:rPr>
                <w:rFonts w:ascii="Calibri" w:hAnsi="Calibri"/>
                <w:sz w:val="18"/>
              </w:rPr>
              <w:t>v6.0 geen UN</w:t>
            </w:r>
          </w:p>
        </w:tc>
      </w:tr>
      <w:tr>
        <w:tc>
          <w:tcPr>
            <w:tcW w:type="dxa" w:w="1728"/>
          </w:tcPr>
          <w:p>
            <w:r>
              <w:rPr>
                <w:rFonts w:ascii="Calibri" w:hAnsi="Calibri"/>
                <w:sz w:val="18"/>
              </w:rPr>
              <w:t>PG</w:t>
            </w:r>
          </w:p>
        </w:tc>
        <w:tc>
          <w:tcPr>
            <w:tcW w:type="dxa" w:w="1728"/>
          </w:tcPr>
          <w:p>
            <w:r>
              <w:rPr>
                <w:rFonts w:ascii="Calibri" w:hAnsi="Calibri"/>
                <w:sz w:val="18"/>
              </w:rPr>
              <w:t>III</w:t>
            </w:r>
          </w:p>
        </w:tc>
        <w:tc>
          <w:tcPr>
            <w:tcW w:type="dxa" w:w="1728"/>
          </w:tcPr>
          <w:p>
            <w:r>
              <w:rPr>
                <w:rFonts w:ascii="Calibri" w:hAnsi="Calibri"/>
                <w:sz w:val="18"/>
              </w:rPr>
              <w:t>III</w:t>
            </w:r>
          </w:p>
        </w:tc>
        <w:tc>
          <w:tcPr>
            <w:tcW w:type="dxa" w:w="1728"/>
          </w:tcPr>
          <w:p>
            <w:r>
              <w:rPr>
                <w:rFonts w:ascii="Calibri" w:hAnsi="Calibri"/>
                <w:sz w:val="18"/>
              </w:rPr>
              <w:t>Nee</w:t>
            </w:r>
          </w:p>
        </w:tc>
        <w:tc>
          <w:tcPr>
            <w:tcW w:type="dxa" w:w="1728"/>
          </w:tcPr>
          <w:p>
            <w:r>
              <w:rPr>
                <w:rFonts w:ascii="Calibri" w:hAnsi="Calibri"/>
                <w:sz w:val="18"/>
              </w:rPr>
              <w:t>—</w:t>
            </w:r>
          </w:p>
        </w:tc>
      </w:tr>
      <w:tr>
        <w:tc>
          <w:tcPr>
            <w:tcW w:type="dxa" w:w="1728"/>
          </w:tcPr>
          <w:p>
            <w:r>
              <w:rPr>
                <w:rFonts w:ascii="Calibri" w:hAnsi="Calibri"/>
                <w:sz w:val="18"/>
              </w:rPr>
              <w:t>CMR-status</w:t>
            </w:r>
          </w:p>
        </w:tc>
        <w:tc>
          <w:tcPr>
            <w:tcW w:type="dxa" w:w="1728"/>
          </w:tcPr>
          <w:p>
            <w:r>
              <w:rPr>
                <w:rFonts w:ascii="Calibri" w:hAnsi="Calibri"/>
                <w:sz w:val="18"/>
              </w:rPr>
              <w:t>Nee</w:t>
            </w:r>
          </w:p>
        </w:tc>
        <w:tc>
          <w:tcPr>
            <w:tcW w:type="dxa" w:w="1728"/>
          </w:tcPr>
          <w:p>
            <w:r>
              <w:rPr>
                <w:rFonts w:ascii="Calibri" w:hAnsi="Calibri"/>
                <w:sz w:val="18"/>
              </w:rPr>
              <w:t>Nee</w:t>
            </w:r>
          </w:p>
        </w:tc>
        <w:tc>
          <w:tcPr>
            <w:tcW w:type="dxa" w:w="1728"/>
          </w:tcPr>
          <w:p>
            <w:r>
              <w:rPr>
                <w:rFonts w:ascii="Calibri" w:hAnsi="Calibri"/>
                <w:sz w:val="18"/>
              </w:rPr>
              <w:t>Nee</w:t>
            </w:r>
          </w:p>
        </w:tc>
        <w:tc>
          <w:tcPr>
            <w:tcW w:type="dxa" w:w="1728"/>
          </w:tcPr>
          <w:p>
            <w:r>
              <w:rPr>
                <w:rFonts w:ascii="Calibri" w:hAnsi="Calibri"/>
                <w:sz w:val="18"/>
              </w:rPr>
              <w:t>—</w:t>
            </w:r>
          </w:p>
        </w:tc>
      </w:tr>
      <w:tr>
        <w:tc>
          <w:tcPr>
            <w:tcW w:type="dxa" w:w="1728"/>
          </w:tcPr>
          <w:p>
            <w:r>
              <w:rPr>
                <w:rFonts w:ascii="Calibri" w:hAnsi="Calibri"/>
                <w:sz w:val="18"/>
              </w:rPr>
              <w:t>Niveau</w:t>
            </w:r>
          </w:p>
        </w:tc>
        <w:tc>
          <w:tcPr>
            <w:tcW w:type="dxa" w:w="1728"/>
          </w:tcPr>
          <w:p>
            <w:r>
              <w:rPr>
                <w:rFonts w:ascii="Calibri" w:hAnsi="Calibri"/>
                <w:sz w:val="18"/>
              </w:rPr>
              <w:t>B</w:t>
            </w:r>
          </w:p>
        </w:tc>
        <w:tc>
          <w:tcPr>
            <w:tcW w:type="dxa" w:w="1728"/>
          </w:tcPr>
          <w:p>
            <w:r>
              <w:rPr>
                <w:rFonts w:ascii="Calibri" w:hAnsi="Calibri"/>
                <w:sz w:val="18"/>
              </w:rPr>
              <w:t>C</w:t>
            </w:r>
          </w:p>
        </w:tc>
        <w:tc>
          <w:tcPr>
            <w:tcW w:type="dxa" w:w="1728"/>
          </w:tcPr>
          <w:p>
            <w:r>
              <w:rPr>
                <w:rFonts w:ascii="Calibri" w:hAnsi="Calibri"/>
                <w:sz w:val="18"/>
              </w:rPr>
              <w:t>JA ⚠️ KRITIEK</w:t>
            </w:r>
          </w:p>
        </w:tc>
        <w:tc>
          <w:tcPr>
            <w:tcW w:type="dxa" w:w="1728"/>
          </w:tcPr>
          <w:p>
            <w:r>
              <w:rPr>
                <w:rFonts w:ascii="Calibri" w:hAnsi="Calibri"/>
                <w:sz w:val="18"/>
              </w:rPr>
              <w:t>B — v6.0 promoot naar C ivm "acute toxiciteit cat. 3"</w:t>
            </w:r>
          </w:p>
        </w:tc>
      </w:tr>
      <w:tr>
        <w:tc>
          <w:tcPr>
            <w:tcW w:type="dxa" w:w="1728"/>
          </w:tcPr>
          <w:p>
            <w:r>
              <w:rPr>
                <w:rFonts w:ascii="Calibri" w:hAnsi="Calibri"/>
                <w:sz w:val="18"/>
              </w:rPr>
              <w:t>Hoeveelheid</w:t>
            </w:r>
          </w:p>
        </w:tc>
        <w:tc>
          <w:tcPr>
            <w:tcW w:type="dxa" w:w="1728"/>
          </w:tcPr>
          <w:p>
            <w:r>
              <w:rPr>
                <w:rFonts w:ascii="Calibri" w:hAnsi="Calibri"/>
                <w:sz w:val="18"/>
              </w:rPr>
              <w:t>Geschat</w:t>
            </w:r>
          </w:p>
        </w:tc>
        <w:tc>
          <w:tcPr>
            <w:tcW w:type="dxa" w:w="1728"/>
          </w:tcPr>
          <w:p>
            <w:r>
              <w:rPr>
                <w:rFonts w:ascii="Calibri" w:hAnsi="Calibri"/>
                <w:sz w:val="18"/>
              </w:rPr>
              <w:t>150 kg</w:t>
            </w:r>
          </w:p>
        </w:tc>
        <w:tc>
          <w:tcPr>
            <w:tcW w:type="dxa" w:w="1728"/>
          </w:tcPr>
          <w:p>
            <w:r>
              <w:rPr>
                <w:rFonts w:ascii="Calibri" w:hAnsi="Calibri"/>
                <w:sz w:val="18"/>
              </w:rPr>
              <w:t>JA</w:t>
            </w:r>
          </w:p>
        </w:tc>
        <w:tc>
          <w:tcPr>
            <w:tcW w:type="dxa" w:w="1728"/>
          </w:tcPr>
          <w:p>
            <w:r>
              <w:rPr>
                <w:rFonts w:ascii="Calibri" w:hAnsi="Calibri"/>
                <w:sz w:val="18"/>
              </w:rPr>
              <w:t>A</w:t>
            </w:r>
          </w:p>
        </w:tc>
      </w:tr>
      <w:tr>
        <w:tc>
          <w:tcPr>
            <w:tcW w:type="dxa" w:w="1728"/>
          </w:tcPr>
          <w:p>
            <w:r>
              <w:rPr>
                <w:rFonts w:ascii="Calibri" w:hAnsi="Calibri"/>
                <w:sz w:val="18"/>
              </w:rPr>
              <w:t>Rationale</w:t>
            </w:r>
          </w:p>
        </w:tc>
        <w:tc>
          <w:tcPr>
            <w:tcW w:type="dxa" w:w="1728"/>
          </w:tcPr>
          <w:p>
            <w:r>
              <w:rPr>
                <w:rFonts w:ascii="Calibri" w:hAnsi="Calibri"/>
                <w:sz w:val="18"/>
              </w:rPr>
              <w:t>Oxiderend PG III → B</w:t>
            </w:r>
          </w:p>
        </w:tc>
        <w:tc>
          <w:tcPr>
            <w:tcW w:type="dxa" w:w="1728"/>
          </w:tcPr>
          <w:p>
            <w:r>
              <w:rPr>
                <w:rFonts w:ascii="Calibri" w:hAnsi="Calibri"/>
                <w:sz w:val="18"/>
              </w:rPr>
              <w:t>Acute toxiciteit cat. 3 → C</w:t>
            </w:r>
          </w:p>
        </w:tc>
        <w:tc>
          <w:tcPr>
            <w:tcW w:type="dxa" w:w="1728"/>
          </w:tcPr>
          <w:p>
            <w:r>
              <w:rPr>
                <w:rFonts w:ascii="Calibri" w:hAnsi="Calibri"/>
                <w:sz w:val="18"/>
              </w:rPr>
              <w:t>JA</w:t>
            </w:r>
          </w:p>
        </w:tc>
        <w:tc>
          <w:tcPr>
            <w:tcW w:type="dxa" w:w="1728"/>
          </w:tcPr>
          <w:p>
            <w:r>
              <w:rPr>
                <w:rFonts w:ascii="Calibri" w:hAnsi="Calibri"/>
                <w:sz w:val="18"/>
              </w:rPr>
              <w:t>B — H302 (Acute Tox. 4) is géén cat. 3</w:t>
            </w:r>
          </w:p>
        </w:tc>
      </w:tr>
    </w:tbl>
    <w:p/>
    <w:p>
      <w:pPr>
        <w:pStyle w:val="Heading2"/>
      </w:pPr>
      <w:r>
        <w:t>3.4 Hydrochloric acid 20% (IC-05)</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003366" w:val="clear"/>
          </w:tcPr>
          <w:p>
            <w:r>
              <w:rPr>
                <w:rFonts w:ascii="Calibri" w:hAnsi="Calibri"/>
                <w:b/>
                <w:color w:val="FFFFFF"/>
                <w:sz w:val="18"/>
              </w:rPr>
              <w:t>Veld</w:t>
            </w:r>
          </w:p>
        </w:tc>
        <w:tc>
          <w:tcPr>
            <w:tcW w:type="dxa" w:w="1728"/>
            <w:shd w:fill="003366" w:val="clear"/>
          </w:tcPr>
          <w:p>
            <w:r>
              <w:rPr>
                <w:rFonts w:ascii="Calibri" w:hAnsi="Calibri"/>
                <w:b/>
                <w:color w:val="FFFFFF"/>
                <w:sz w:val="18"/>
              </w:rPr>
              <w:t>v5.0 Waarde</w:t>
            </w:r>
          </w:p>
        </w:tc>
        <w:tc>
          <w:tcPr>
            <w:tcW w:type="dxa" w:w="1728"/>
            <w:shd w:fill="003366" w:val="clear"/>
          </w:tcPr>
          <w:p>
            <w:r>
              <w:rPr>
                <w:rFonts w:ascii="Calibri" w:hAnsi="Calibri"/>
                <w:b/>
                <w:color w:val="FFFFFF"/>
                <w:sz w:val="18"/>
              </w:rPr>
              <w:t>v6.0 Waarde</w:t>
            </w:r>
          </w:p>
        </w:tc>
        <w:tc>
          <w:tcPr>
            <w:tcW w:type="dxa" w:w="1728"/>
            <w:shd w:fill="003366" w:val="clear"/>
          </w:tcPr>
          <w:p>
            <w:r>
              <w:rPr>
                <w:rFonts w:ascii="Calibri" w:hAnsi="Calibri"/>
                <w:b/>
                <w:color w:val="FFFFFF"/>
                <w:sz w:val="18"/>
              </w:rPr>
              <w:t>Verschil?</w:t>
            </w:r>
          </w:p>
        </w:tc>
        <w:tc>
          <w:tcPr>
            <w:tcW w:type="dxa" w:w="1728"/>
            <w:shd w:fill="003366" w:val="clear"/>
          </w:tcPr>
          <w:p>
            <w:r>
              <w:rPr>
                <w:rFonts w:ascii="Calibri" w:hAnsi="Calibri"/>
                <w:b/>
                <w:color w:val="FFFFFF"/>
                <w:sz w:val="18"/>
              </w:rPr>
              <w:t>Oorzaak</w:t>
            </w:r>
          </w:p>
        </w:tc>
      </w:tr>
      <w:tr>
        <w:tc>
          <w:tcPr>
            <w:tcW w:type="dxa" w:w="1728"/>
          </w:tcPr>
          <w:p>
            <w:r>
              <w:rPr>
                <w:rFonts w:ascii="Calibri" w:hAnsi="Calibri"/>
                <w:sz w:val="18"/>
              </w:rPr>
              <w:t>H-codes</w:t>
            </w:r>
          </w:p>
        </w:tc>
        <w:tc>
          <w:tcPr>
            <w:tcW w:type="dxa" w:w="1728"/>
          </w:tcPr>
          <w:p>
            <w:r>
              <w:rPr>
                <w:rFonts w:ascii="Calibri" w:hAnsi="Calibri"/>
                <w:sz w:val="18"/>
              </w:rPr>
              <w:t>H290, H315, H319, H335</w:t>
            </w:r>
          </w:p>
        </w:tc>
        <w:tc>
          <w:tcPr>
            <w:tcW w:type="dxa" w:w="1728"/>
          </w:tcPr>
          <w:p>
            <w:r>
              <w:rPr>
                <w:rFonts w:ascii="Calibri" w:hAnsi="Calibri"/>
                <w:sz w:val="18"/>
              </w:rPr>
              <w:t>H290, H315, H319, H335</w:t>
            </w:r>
          </w:p>
        </w:tc>
        <w:tc>
          <w:tcPr>
            <w:tcW w:type="dxa" w:w="1728"/>
          </w:tcPr>
          <w:p>
            <w:r>
              <w:rPr>
                <w:rFonts w:ascii="Calibri" w:hAnsi="Calibri"/>
                <w:sz w:val="18"/>
              </w:rPr>
              <w:t>Nee</w:t>
            </w:r>
          </w:p>
        </w:tc>
        <w:tc>
          <w:tcPr>
            <w:tcW w:type="dxa" w:w="1728"/>
          </w:tcPr>
          <w:p>
            <w:r>
              <w:rPr>
                <w:rFonts w:ascii="Calibri" w:hAnsi="Calibri"/>
                <w:sz w:val="18"/>
              </w:rPr>
              <w:t>—</w:t>
            </w:r>
          </w:p>
        </w:tc>
      </w:tr>
      <w:tr>
        <w:tc>
          <w:tcPr>
            <w:tcW w:type="dxa" w:w="1728"/>
          </w:tcPr>
          <w:p>
            <w:r>
              <w:rPr>
                <w:rFonts w:ascii="Calibri" w:hAnsi="Calibri"/>
                <w:sz w:val="18"/>
              </w:rPr>
              <w:t>ADR Klasse</w:t>
            </w:r>
          </w:p>
        </w:tc>
        <w:tc>
          <w:tcPr>
            <w:tcW w:type="dxa" w:w="1728"/>
          </w:tcPr>
          <w:p>
            <w:r>
              <w:rPr>
                <w:rFonts w:ascii="Calibri" w:hAnsi="Calibri"/>
                <w:sz w:val="18"/>
              </w:rPr>
              <w:t>8 / UN 1789</w:t>
            </w:r>
          </w:p>
        </w:tc>
        <w:tc>
          <w:tcPr>
            <w:tcW w:type="dxa" w:w="1728"/>
          </w:tcPr>
          <w:p>
            <w:r>
              <w:rPr>
                <w:rFonts w:ascii="Calibri" w:hAnsi="Calibri"/>
                <w:sz w:val="18"/>
              </w:rPr>
              <w:t>8 (geen UN)</w:t>
            </w:r>
          </w:p>
        </w:tc>
        <w:tc>
          <w:tcPr>
            <w:tcW w:type="dxa" w:w="1728"/>
          </w:tcPr>
          <w:p>
            <w:r>
              <w:rPr>
                <w:rFonts w:ascii="Calibri" w:hAnsi="Calibri"/>
                <w:sz w:val="18"/>
              </w:rPr>
              <w:t>Cosmetisch</w:t>
            </w:r>
          </w:p>
        </w:tc>
        <w:tc>
          <w:tcPr>
            <w:tcW w:type="dxa" w:w="1728"/>
          </w:tcPr>
          <w:p>
            <w:r>
              <w:rPr>
                <w:rFonts w:ascii="Calibri" w:hAnsi="Calibri"/>
                <w:sz w:val="18"/>
              </w:rPr>
              <w:t>v6.0 geen UN</w:t>
            </w:r>
          </w:p>
        </w:tc>
      </w:tr>
      <w:tr>
        <w:tc>
          <w:tcPr>
            <w:tcW w:type="dxa" w:w="1728"/>
          </w:tcPr>
          <w:p>
            <w:r>
              <w:rPr>
                <w:rFonts w:ascii="Calibri" w:hAnsi="Calibri"/>
                <w:sz w:val="18"/>
              </w:rPr>
              <w:t>PG</w:t>
            </w:r>
          </w:p>
        </w:tc>
        <w:tc>
          <w:tcPr>
            <w:tcW w:type="dxa" w:w="1728"/>
          </w:tcPr>
          <w:p>
            <w:r>
              <w:rPr>
                <w:rFonts w:ascii="Calibri" w:hAnsi="Calibri"/>
                <w:sz w:val="18"/>
              </w:rPr>
              <w:t>II</w:t>
            </w:r>
          </w:p>
        </w:tc>
        <w:tc>
          <w:tcPr>
            <w:tcW w:type="dxa" w:w="1728"/>
          </w:tcPr>
          <w:p>
            <w:r>
              <w:rPr>
                <w:rFonts w:ascii="Calibri" w:hAnsi="Calibri"/>
                <w:sz w:val="18"/>
              </w:rPr>
              <w:t>II</w:t>
            </w:r>
          </w:p>
        </w:tc>
        <w:tc>
          <w:tcPr>
            <w:tcW w:type="dxa" w:w="1728"/>
          </w:tcPr>
          <w:p>
            <w:r>
              <w:rPr>
                <w:rFonts w:ascii="Calibri" w:hAnsi="Calibri"/>
                <w:sz w:val="18"/>
              </w:rPr>
              <w:t>Nee</w:t>
            </w:r>
          </w:p>
        </w:tc>
        <w:tc>
          <w:tcPr>
            <w:tcW w:type="dxa" w:w="1728"/>
          </w:tcPr>
          <w:p>
            <w:r>
              <w:rPr>
                <w:rFonts w:ascii="Calibri" w:hAnsi="Calibri"/>
                <w:sz w:val="18"/>
              </w:rPr>
              <w:t>—</w:t>
            </w:r>
          </w:p>
        </w:tc>
      </w:tr>
      <w:tr>
        <w:tc>
          <w:tcPr>
            <w:tcW w:type="dxa" w:w="1728"/>
          </w:tcPr>
          <w:p>
            <w:r>
              <w:rPr>
                <w:rFonts w:ascii="Calibri" w:hAnsi="Calibri"/>
                <w:sz w:val="18"/>
              </w:rPr>
              <w:t>CMR-status</w:t>
            </w:r>
          </w:p>
        </w:tc>
        <w:tc>
          <w:tcPr>
            <w:tcW w:type="dxa" w:w="1728"/>
          </w:tcPr>
          <w:p>
            <w:r>
              <w:rPr>
                <w:rFonts w:ascii="Calibri" w:hAnsi="Calibri"/>
                <w:sz w:val="18"/>
              </w:rPr>
              <w:t>Nee</w:t>
            </w:r>
          </w:p>
        </w:tc>
        <w:tc>
          <w:tcPr>
            <w:tcW w:type="dxa" w:w="1728"/>
          </w:tcPr>
          <w:p>
            <w:r>
              <w:rPr>
                <w:rFonts w:ascii="Calibri" w:hAnsi="Calibri"/>
                <w:sz w:val="18"/>
              </w:rPr>
              <w:t>Nee</w:t>
            </w:r>
          </w:p>
        </w:tc>
        <w:tc>
          <w:tcPr>
            <w:tcW w:type="dxa" w:w="1728"/>
          </w:tcPr>
          <w:p>
            <w:r>
              <w:rPr>
                <w:rFonts w:ascii="Calibri" w:hAnsi="Calibri"/>
                <w:sz w:val="18"/>
              </w:rPr>
              <w:t>Nee</w:t>
            </w:r>
          </w:p>
        </w:tc>
        <w:tc>
          <w:tcPr>
            <w:tcW w:type="dxa" w:w="1728"/>
          </w:tcPr>
          <w:p>
            <w:r>
              <w:rPr>
                <w:rFonts w:ascii="Calibri" w:hAnsi="Calibri"/>
                <w:sz w:val="18"/>
              </w:rPr>
              <w:t>—</w:t>
            </w:r>
          </w:p>
        </w:tc>
      </w:tr>
      <w:tr>
        <w:tc>
          <w:tcPr>
            <w:tcW w:type="dxa" w:w="1728"/>
          </w:tcPr>
          <w:p>
            <w:r>
              <w:rPr>
                <w:rFonts w:ascii="Calibri" w:hAnsi="Calibri"/>
                <w:sz w:val="18"/>
              </w:rPr>
              <w:t>Niveau</w:t>
            </w:r>
          </w:p>
        </w:tc>
        <w:tc>
          <w:tcPr>
            <w:tcW w:type="dxa" w:w="1728"/>
          </w:tcPr>
          <w:p>
            <w:r>
              <w:rPr>
                <w:rFonts w:ascii="Calibri" w:hAnsi="Calibri"/>
                <w:sz w:val="18"/>
              </w:rPr>
              <w:t>B</w:t>
            </w:r>
          </w:p>
        </w:tc>
        <w:tc>
          <w:tcPr>
            <w:tcW w:type="dxa" w:w="1728"/>
          </w:tcPr>
          <w:p>
            <w:r>
              <w:rPr>
                <w:rFonts w:ascii="Calibri" w:hAnsi="Calibri"/>
                <w:sz w:val="18"/>
              </w:rPr>
              <w:t>Buiten scope</w:t>
            </w:r>
          </w:p>
        </w:tc>
        <w:tc>
          <w:tcPr>
            <w:tcW w:type="dxa" w:w="1728"/>
          </w:tcPr>
          <w:p>
            <w:r>
              <w:rPr>
                <w:rFonts w:ascii="Calibri" w:hAnsi="Calibri"/>
                <w:sz w:val="18"/>
              </w:rPr>
              <w:t>JA ⚠️</w:t>
            </w:r>
          </w:p>
        </w:tc>
        <w:tc>
          <w:tcPr>
            <w:tcW w:type="dxa" w:w="1728"/>
          </w:tcPr>
          <w:p>
            <w:r>
              <w:rPr>
                <w:rFonts w:ascii="Calibri" w:hAnsi="Calibri"/>
                <w:sz w:val="18"/>
              </w:rPr>
              <w:t>B/C — v6.0 classificeert als buiten scope bij 150 kg</w:t>
            </w:r>
          </w:p>
        </w:tc>
      </w:tr>
      <w:tr>
        <w:tc>
          <w:tcPr>
            <w:tcW w:type="dxa" w:w="1728"/>
          </w:tcPr>
          <w:p>
            <w:r>
              <w:rPr>
                <w:rFonts w:ascii="Calibri" w:hAnsi="Calibri"/>
                <w:sz w:val="18"/>
              </w:rPr>
              <w:t>Hoeveelheid</w:t>
            </w:r>
          </w:p>
        </w:tc>
        <w:tc>
          <w:tcPr>
            <w:tcW w:type="dxa" w:w="1728"/>
          </w:tcPr>
          <w:p>
            <w:r>
              <w:rPr>
                <w:rFonts w:ascii="Calibri" w:hAnsi="Calibri"/>
                <w:sz w:val="18"/>
              </w:rPr>
              <w:t>Geschat</w:t>
            </w:r>
          </w:p>
        </w:tc>
        <w:tc>
          <w:tcPr>
            <w:tcW w:type="dxa" w:w="1728"/>
          </w:tcPr>
          <w:p>
            <w:r>
              <w:rPr>
                <w:rFonts w:ascii="Calibri" w:hAnsi="Calibri"/>
                <w:sz w:val="18"/>
              </w:rPr>
              <w:t>150 kg</w:t>
            </w:r>
          </w:p>
        </w:tc>
        <w:tc>
          <w:tcPr>
            <w:tcW w:type="dxa" w:w="1728"/>
          </w:tcPr>
          <w:p>
            <w:r>
              <w:rPr>
                <w:rFonts w:ascii="Calibri" w:hAnsi="Calibri"/>
                <w:sz w:val="18"/>
              </w:rPr>
              <w:t>JA</w:t>
            </w:r>
          </w:p>
        </w:tc>
        <w:tc>
          <w:tcPr>
            <w:tcW w:type="dxa" w:w="1728"/>
          </w:tcPr>
          <w:p>
            <w:r>
              <w:rPr>
                <w:rFonts w:ascii="Calibri" w:hAnsi="Calibri"/>
                <w:sz w:val="18"/>
              </w:rPr>
              <w:t>A</w:t>
            </w:r>
          </w:p>
        </w:tc>
      </w:tr>
      <w:tr>
        <w:tc>
          <w:tcPr>
            <w:tcW w:type="dxa" w:w="1728"/>
          </w:tcPr>
          <w:p>
            <w:r>
              <w:rPr>
                <w:rFonts w:ascii="Calibri" w:hAnsi="Calibri"/>
                <w:sz w:val="18"/>
              </w:rPr>
              <w:t>Rationale</w:t>
            </w:r>
          </w:p>
        </w:tc>
        <w:tc>
          <w:tcPr>
            <w:tcW w:type="dxa" w:w="1728"/>
          </w:tcPr>
          <w:p>
            <w:r>
              <w:rPr>
                <w:rFonts w:ascii="Calibri" w:hAnsi="Calibri"/>
                <w:sz w:val="18"/>
              </w:rPr>
              <w:t>Corrosief PG II → B</w:t>
            </w:r>
          </w:p>
        </w:tc>
        <w:tc>
          <w:tcPr>
            <w:tcW w:type="dxa" w:w="1728"/>
          </w:tcPr>
          <w:p>
            <w:r>
              <w:rPr>
                <w:rFonts w:ascii="Calibri" w:hAnsi="Calibri"/>
                <w:sz w:val="18"/>
              </w:rPr>
              <w:t>Geen rationale</w:t>
            </w:r>
          </w:p>
        </w:tc>
        <w:tc>
          <w:tcPr>
            <w:tcW w:type="dxa" w:w="1728"/>
          </w:tcPr>
          <w:p>
            <w:r>
              <w:rPr>
                <w:rFonts w:ascii="Calibri" w:hAnsi="Calibri"/>
                <w:sz w:val="18"/>
              </w:rPr>
              <w:t>JA</w:t>
            </w:r>
          </w:p>
        </w:tc>
        <w:tc>
          <w:tcPr>
            <w:tcW w:type="dxa" w:w="1728"/>
          </w:tcPr>
          <w:p>
            <w:r>
              <w:rPr>
                <w:rFonts w:ascii="Calibri" w:hAnsi="Calibri"/>
                <w:sz w:val="18"/>
              </w:rPr>
              <w:t>E — v6.0 geeft geen toelichting</w:t>
            </w:r>
          </w:p>
        </w:tc>
      </w:tr>
    </w:tbl>
    <w:p/>
    <w:p>
      <w:pPr>
        <w:pStyle w:val="Heading2"/>
      </w:pPr>
      <w:r>
        <w:t>3.5 Sodium metavanadate (IM-04)</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003366" w:val="clear"/>
          </w:tcPr>
          <w:p>
            <w:r>
              <w:rPr>
                <w:rFonts w:ascii="Calibri" w:hAnsi="Calibri"/>
                <w:b/>
                <w:color w:val="FFFFFF"/>
                <w:sz w:val="18"/>
              </w:rPr>
              <w:t>Veld</w:t>
            </w:r>
          </w:p>
        </w:tc>
        <w:tc>
          <w:tcPr>
            <w:tcW w:type="dxa" w:w="1728"/>
            <w:shd w:fill="003366" w:val="clear"/>
          </w:tcPr>
          <w:p>
            <w:r>
              <w:rPr>
                <w:rFonts w:ascii="Calibri" w:hAnsi="Calibri"/>
                <w:b/>
                <w:color w:val="FFFFFF"/>
                <w:sz w:val="18"/>
              </w:rPr>
              <w:t>v5.0 Waarde</w:t>
            </w:r>
          </w:p>
        </w:tc>
        <w:tc>
          <w:tcPr>
            <w:tcW w:type="dxa" w:w="1728"/>
            <w:shd w:fill="003366" w:val="clear"/>
          </w:tcPr>
          <w:p>
            <w:r>
              <w:rPr>
                <w:rFonts w:ascii="Calibri" w:hAnsi="Calibri"/>
                <w:b/>
                <w:color w:val="FFFFFF"/>
                <w:sz w:val="18"/>
              </w:rPr>
              <w:t>v6.0 Waarde</w:t>
            </w:r>
          </w:p>
        </w:tc>
        <w:tc>
          <w:tcPr>
            <w:tcW w:type="dxa" w:w="1728"/>
            <w:shd w:fill="003366" w:val="clear"/>
          </w:tcPr>
          <w:p>
            <w:r>
              <w:rPr>
                <w:rFonts w:ascii="Calibri" w:hAnsi="Calibri"/>
                <w:b/>
                <w:color w:val="FFFFFF"/>
                <w:sz w:val="18"/>
              </w:rPr>
              <w:t>Verschil?</w:t>
            </w:r>
          </w:p>
        </w:tc>
        <w:tc>
          <w:tcPr>
            <w:tcW w:type="dxa" w:w="1728"/>
            <w:shd w:fill="003366" w:val="clear"/>
          </w:tcPr>
          <w:p>
            <w:r>
              <w:rPr>
                <w:rFonts w:ascii="Calibri" w:hAnsi="Calibri"/>
                <w:b/>
                <w:color w:val="FFFFFF"/>
                <w:sz w:val="18"/>
              </w:rPr>
              <w:t>Oorzaak</w:t>
            </w:r>
          </w:p>
        </w:tc>
      </w:tr>
      <w:tr>
        <w:tc>
          <w:tcPr>
            <w:tcW w:type="dxa" w:w="1728"/>
          </w:tcPr>
          <w:p>
            <w:r>
              <w:rPr>
                <w:rFonts w:ascii="Calibri" w:hAnsi="Calibri"/>
                <w:sz w:val="18"/>
              </w:rPr>
              <w:t>H-codes</w:t>
            </w:r>
          </w:p>
        </w:tc>
        <w:tc>
          <w:tcPr>
            <w:tcW w:type="dxa" w:w="1728"/>
          </w:tcPr>
          <w:p>
            <w:r>
              <w:rPr>
                <w:rFonts w:ascii="Calibri" w:hAnsi="Calibri"/>
                <w:sz w:val="18"/>
              </w:rPr>
              <w:t>H301, H319, H332, H341, H361fd, H372, H411</w:t>
            </w:r>
          </w:p>
        </w:tc>
        <w:tc>
          <w:tcPr>
            <w:tcW w:type="dxa" w:w="1728"/>
          </w:tcPr>
          <w:p>
            <w:r>
              <w:rPr>
                <w:rFonts w:ascii="Calibri" w:hAnsi="Calibri"/>
                <w:sz w:val="18"/>
              </w:rPr>
              <w:t>H301, H332, H319, H361fd, H372, H411</w:t>
            </w:r>
          </w:p>
        </w:tc>
        <w:tc>
          <w:tcPr>
            <w:tcW w:type="dxa" w:w="1728"/>
          </w:tcPr>
          <w:p>
            <w:r>
              <w:rPr>
                <w:rFonts w:ascii="Calibri" w:hAnsi="Calibri"/>
                <w:sz w:val="18"/>
              </w:rPr>
              <w:t>JA</w:t>
            </w:r>
          </w:p>
        </w:tc>
        <w:tc>
          <w:tcPr>
            <w:tcW w:type="dxa" w:w="1728"/>
          </w:tcPr>
          <w:p>
            <w:r>
              <w:rPr>
                <w:rFonts w:ascii="Calibri" w:hAnsi="Calibri"/>
                <w:sz w:val="18"/>
              </w:rPr>
              <w:t>D — H341 (Muta. 2) ontbreekt in v6.0 tabel</w:t>
            </w:r>
          </w:p>
        </w:tc>
      </w:tr>
      <w:tr>
        <w:tc>
          <w:tcPr>
            <w:tcW w:type="dxa" w:w="1728"/>
          </w:tcPr>
          <w:p>
            <w:r>
              <w:rPr>
                <w:rFonts w:ascii="Calibri" w:hAnsi="Calibri"/>
                <w:sz w:val="18"/>
              </w:rPr>
              <w:t>ADR Klasse</w:t>
            </w:r>
          </w:p>
        </w:tc>
        <w:tc>
          <w:tcPr>
            <w:tcW w:type="dxa" w:w="1728"/>
          </w:tcPr>
          <w:p>
            <w:r>
              <w:rPr>
                <w:rFonts w:ascii="Calibri" w:hAnsi="Calibri"/>
                <w:sz w:val="18"/>
              </w:rPr>
              <w:t>6.1 / UN 3285</w:t>
            </w:r>
          </w:p>
        </w:tc>
        <w:tc>
          <w:tcPr>
            <w:tcW w:type="dxa" w:w="1728"/>
          </w:tcPr>
          <w:p>
            <w:r>
              <w:rPr>
                <w:rFonts w:ascii="Calibri" w:hAnsi="Calibri"/>
                <w:sz w:val="18"/>
              </w:rPr>
              <w:t>6.1 (geen UN)</w:t>
            </w:r>
          </w:p>
        </w:tc>
        <w:tc>
          <w:tcPr>
            <w:tcW w:type="dxa" w:w="1728"/>
          </w:tcPr>
          <w:p>
            <w:r>
              <w:rPr>
                <w:rFonts w:ascii="Calibri" w:hAnsi="Calibri"/>
                <w:sz w:val="18"/>
              </w:rPr>
              <w:t>Cosmetisch</w:t>
            </w:r>
          </w:p>
        </w:tc>
        <w:tc>
          <w:tcPr>
            <w:tcW w:type="dxa" w:w="1728"/>
          </w:tcPr>
          <w:p>
            <w:r>
              <w:rPr>
                <w:rFonts w:ascii="Calibri" w:hAnsi="Calibri"/>
                <w:sz w:val="18"/>
              </w:rPr>
              <w:t>—</w:t>
            </w:r>
          </w:p>
        </w:tc>
      </w:tr>
      <w:tr>
        <w:tc>
          <w:tcPr>
            <w:tcW w:type="dxa" w:w="1728"/>
          </w:tcPr>
          <w:p>
            <w:r>
              <w:rPr>
                <w:rFonts w:ascii="Calibri" w:hAnsi="Calibri"/>
                <w:sz w:val="18"/>
              </w:rPr>
              <w:t>PG</w:t>
            </w:r>
          </w:p>
        </w:tc>
        <w:tc>
          <w:tcPr>
            <w:tcW w:type="dxa" w:w="1728"/>
          </w:tcPr>
          <w:p>
            <w:r>
              <w:rPr>
                <w:rFonts w:ascii="Calibri" w:hAnsi="Calibri"/>
                <w:sz w:val="18"/>
              </w:rPr>
              <w:t>III</w:t>
            </w:r>
          </w:p>
        </w:tc>
        <w:tc>
          <w:tcPr>
            <w:tcW w:type="dxa" w:w="1728"/>
          </w:tcPr>
          <w:p>
            <w:r>
              <w:rPr>
                <w:rFonts w:ascii="Calibri" w:hAnsi="Calibri"/>
                <w:sz w:val="18"/>
              </w:rPr>
              <w:t>III</w:t>
            </w:r>
          </w:p>
        </w:tc>
        <w:tc>
          <w:tcPr>
            <w:tcW w:type="dxa" w:w="1728"/>
          </w:tcPr>
          <w:p>
            <w:r>
              <w:rPr>
                <w:rFonts w:ascii="Calibri" w:hAnsi="Calibri"/>
                <w:sz w:val="18"/>
              </w:rPr>
              <w:t>Nee</w:t>
            </w:r>
          </w:p>
        </w:tc>
        <w:tc>
          <w:tcPr>
            <w:tcW w:type="dxa" w:w="1728"/>
          </w:tcPr>
          <w:p>
            <w:r>
              <w:rPr>
                <w:rFonts w:ascii="Calibri" w:hAnsi="Calibri"/>
                <w:sz w:val="18"/>
              </w:rPr>
              <w:t>—</w:t>
            </w:r>
          </w:p>
        </w:tc>
      </w:tr>
      <w:tr>
        <w:tc>
          <w:tcPr>
            <w:tcW w:type="dxa" w:w="1728"/>
          </w:tcPr>
          <w:p>
            <w:r>
              <w:rPr>
                <w:rFonts w:ascii="Calibri" w:hAnsi="Calibri"/>
                <w:sz w:val="18"/>
              </w:rPr>
              <w:t>CMR-status</w:t>
            </w:r>
          </w:p>
        </w:tc>
        <w:tc>
          <w:tcPr>
            <w:tcW w:type="dxa" w:w="1728"/>
          </w:tcPr>
          <w:p>
            <w:r>
              <w:rPr>
                <w:rFonts w:ascii="Calibri" w:hAnsi="Calibri"/>
                <w:sz w:val="18"/>
              </w:rPr>
              <w:t>Muta. 2 + Repr. 2</w:t>
            </w:r>
          </w:p>
        </w:tc>
        <w:tc>
          <w:tcPr>
            <w:tcW w:type="dxa" w:w="1728"/>
          </w:tcPr>
          <w:p>
            <w:r>
              <w:rPr>
                <w:rFonts w:ascii="Calibri" w:hAnsi="Calibri"/>
                <w:sz w:val="18"/>
              </w:rPr>
              <w:t>Repr. 2 (H361fd)</w:t>
            </w:r>
          </w:p>
        </w:tc>
        <w:tc>
          <w:tcPr>
            <w:tcW w:type="dxa" w:w="1728"/>
          </w:tcPr>
          <w:p>
            <w:r>
              <w:rPr>
                <w:rFonts w:ascii="Calibri" w:hAnsi="Calibri"/>
                <w:sz w:val="18"/>
              </w:rPr>
              <w:t>JA</w:t>
            </w:r>
          </w:p>
        </w:tc>
        <w:tc>
          <w:tcPr>
            <w:tcW w:type="dxa" w:w="1728"/>
          </w:tcPr>
          <w:p>
            <w:r>
              <w:rPr>
                <w:rFonts w:ascii="Calibri" w:hAnsi="Calibri"/>
                <w:sz w:val="18"/>
              </w:rPr>
              <w:t>D — Muta. 2 (H341) ontbreekt in v6.0 CMR-classificatie</w:t>
            </w:r>
          </w:p>
        </w:tc>
      </w:tr>
      <w:tr>
        <w:tc>
          <w:tcPr>
            <w:tcW w:type="dxa" w:w="1728"/>
          </w:tcPr>
          <w:p>
            <w:r>
              <w:rPr>
                <w:rFonts w:ascii="Calibri" w:hAnsi="Calibri"/>
                <w:sz w:val="18"/>
              </w:rPr>
              <w:t>Niveau</w:t>
            </w:r>
          </w:p>
        </w:tc>
        <w:tc>
          <w:tcPr>
            <w:tcW w:type="dxa" w:w="1728"/>
          </w:tcPr>
          <w:p>
            <w:r>
              <w:rPr>
                <w:rFonts w:ascii="Calibri" w:hAnsi="Calibri"/>
                <w:sz w:val="18"/>
              </w:rPr>
              <w:t>C (CMR)</w:t>
            </w:r>
          </w:p>
        </w:tc>
        <w:tc>
          <w:tcPr>
            <w:tcW w:type="dxa" w:w="1728"/>
          </w:tcPr>
          <w:p>
            <w:r>
              <w:rPr>
                <w:rFonts w:ascii="Calibri" w:hAnsi="Calibri"/>
                <w:sz w:val="18"/>
              </w:rPr>
              <w:t>C (CMR)</w:t>
            </w:r>
          </w:p>
        </w:tc>
        <w:tc>
          <w:tcPr>
            <w:tcW w:type="dxa" w:w="1728"/>
          </w:tcPr>
          <w:p>
            <w:r>
              <w:rPr>
                <w:rFonts w:ascii="Calibri" w:hAnsi="Calibri"/>
                <w:sz w:val="18"/>
              </w:rPr>
              <w:t>Nee (conclusie gelijk)</w:t>
            </w:r>
          </w:p>
        </w:tc>
        <w:tc>
          <w:tcPr>
            <w:tcW w:type="dxa" w:w="1728"/>
          </w:tcPr>
          <w:p>
            <w:r>
              <w:rPr>
                <w:rFonts w:ascii="Calibri" w:hAnsi="Calibri"/>
                <w:sz w:val="18"/>
              </w:rPr>
              <w:t>—</w:t>
            </w:r>
          </w:p>
        </w:tc>
      </w:tr>
      <w:tr>
        <w:tc>
          <w:tcPr>
            <w:tcW w:type="dxa" w:w="1728"/>
          </w:tcPr>
          <w:p>
            <w:r>
              <w:rPr>
                <w:rFonts w:ascii="Calibri" w:hAnsi="Calibri"/>
                <w:sz w:val="18"/>
              </w:rPr>
              <w:t>Hoeveelheid</w:t>
            </w:r>
          </w:p>
        </w:tc>
        <w:tc>
          <w:tcPr>
            <w:tcW w:type="dxa" w:w="1728"/>
          </w:tcPr>
          <w:p>
            <w:r>
              <w:rPr>
                <w:rFonts w:ascii="Calibri" w:hAnsi="Calibri"/>
                <w:sz w:val="18"/>
              </w:rPr>
              <w:t>Geschat</w:t>
            </w:r>
          </w:p>
        </w:tc>
        <w:tc>
          <w:tcPr>
            <w:tcW w:type="dxa" w:w="1728"/>
          </w:tcPr>
          <w:p>
            <w:r>
              <w:rPr>
                <w:rFonts w:ascii="Calibri" w:hAnsi="Calibri"/>
                <w:sz w:val="18"/>
              </w:rPr>
              <w:t>150 kg</w:t>
            </w:r>
          </w:p>
        </w:tc>
        <w:tc>
          <w:tcPr>
            <w:tcW w:type="dxa" w:w="1728"/>
          </w:tcPr>
          <w:p>
            <w:r>
              <w:rPr>
                <w:rFonts w:ascii="Calibri" w:hAnsi="Calibri"/>
                <w:sz w:val="18"/>
              </w:rPr>
              <w:t>JA</w:t>
            </w:r>
          </w:p>
        </w:tc>
        <w:tc>
          <w:tcPr>
            <w:tcW w:type="dxa" w:w="1728"/>
          </w:tcPr>
          <w:p>
            <w:r>
              <w:rPr>
                <w:rFonts w:ascii="Calibri" w:hAnsi="Calibri"/>
                <w:sz w:val="18"/>
              </w:rPr>
              <w:t>A</w:t>
            </w:r>
          </w:p>
        </w:tc>
      </w:tr>
      <w:tr>
        <w:tc>
          <w:tcPr>
            <w:tcW w:type="dxa" w:w="1728"/>
          </w:tcPr>
          <w:p>
            <w:r>
              <w:rPr>
                <w:rFonts w:ascii="Calibri" w:hAnsi="Calibri"/>
                <w:sz w:val="18"/>
              </w:rPr>
              <w:t>Rationale</w:t>
            </w:r>
          </w:p>
        </w:tc>
        <w:tc>
          <w:tcPr>
            <w:tcW w:type="dxa" w:w="1728"/>
          </w:tcPr>
          <w:p>
            <w:r>
              <w:rPr>
                <w:rFonts w:ascii="Calibri" w:hAnsi="Calibri"/>
                <w:sz w:val="18"/>
              </w:rPr>
              <w:t>CMR: Muta.2 + Repr.2 → C</w:t>
            </w:r>
          </w:p>
        </w:tc>
        <w:tc>
          <w:tcPr>
            <w:tcW w:type="dxa" w:w="1728"/>
          </w:tcPr>
          <w:p>
            <w:r>
              <w:rPr>
                <w:rFonts w:ascii="Calibri" w:hAnsi="Calibri"/>
                <w:sz w:val="18"/>
              </w:rPr>
              <w:t>CMR: Repr.2 → C</w:t>
            </w:r>
          </w:p>
        </w:tc>
        <w:tc>
          <w:tcPr>
            <w:tcW w:type="dxa" w:w="1728"/>
          </w:tcPr>
          <w:p>
            <w:r>
              <w:rPr>
                <w:rFonts w:ascii="Calibri" w:hAnsi="Calibri"/>
                <w:sz w:val="18"/>
              </w:rPr>
              <w:t>Verschillend pad, zelfde conclusie</w:t>
            </w:r>
          </w:p>
        </w:tc>
        <w:tc>
          <w:tcPr>
            <w:tcW w:type="dxa" w:w="1728"/>
          </w:tcPr>
          <w:p>
            <w:r>
              <w:rPr>
                <w:rFonts w:ascii="Calibri" w:hAnsi="Calibri"/>
                <w:sz w:val="18"/>
              </w:rPr>
              <w:t>D — Muta. 2 ontbreekt maar Niveau C nog steeds correct via Repr. 2</w:t>
            </w:r>
          </w:p>
        </w:tc>
      </w:tr>
    </w:tbl>
    <w:p/>
    <w:p>
      <w:pPr>
        <w:pStyle w:val="Heading2"/>
      </w:pPr>
      <w:r>
        <w:t>3.6 Sodium aluminate oplossing (EP-06)</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003366" w:val="clear"/>
          </w:tcPr>
          <w:p>
            <w:r>
              <w:rPr>
                <w:rFonts w:ascii="Calibri" w:hAnsi="Calibri"/>
                <w:b/>
                <w:color w:val="FFFFFF"/>
                <w:sz w:val="18"/>
              </w:rPr>
              <w:t>Veld</w:t>
            </w:r>
          </w:p>
        </w:tc>
        <w:tc>
          <w:tcPr>
            <w:tcW w:type="dxa" w:w="1728"/>
            <w:shd w:fill="003366" w:val="clear"/>
          </w:tcPr>
          <w:p>
            <w:r>
              <w:rPr>
                <w:rFonts w:ascii="Calibri" w:hAnsi="Calibri"/>
                <w:b/>
                <w:color w:val="FFFFFF"/>
                <w:sz w:val="18"/>
              </w:rPr>
              <w:t>v5.0 Waarde</w:t>
            </w:r>
          </w:p>
        </w:tc>
        <w:tc>
          <w:tcPr>
            <w:tcW w:type="dxa" w:w="1728"/>
            <w:shd w:fill="003366" w:val="clear"/>
          </w:tcPr>
          <w:p>
            <w:r>
              <w:rPr>
                <w:rFonts w:ascii="Calibri" w:hAnsi="Calibri"/>
                <w:b/>
                <w:color w:val="FFFFFF"/>
                <w:sz w:val="18"/>
              </w:rPr>
              <w:t>v6.0 Waarde</w:t>
            </w:r>
          </w:p>
        </w:tc>
        <w:tc>
          <w:tcPr>
            <w:tcW w:type="dxa" w:w="1728"/>
            <w:shd w:fill="003366" w:val="clear"/>
          </w:tcPr>
          <w:p>
            <w:r>
              <w:rPr>
                <w:rFonts w:ascii="Calibri" w:hAnsi="Calibri"/>
                <w:b/>
                <w:color w:val="FFFFFF"/>
                <w:sz w:val="18"/>
              </w:rPr>
              <w:t>Verschil?</w:t>
            </w:r>
          </w:p>
        </w:tc>
        <w:tc>
          <w:tcPr>
            <w:tcW w:type="dxa" w:w="1728"/>
            <w:shd w:fill="003366" w:val="clear"/>
          </w:tcPr>
          <w:p>
            <w:r>
              <w:rPr>
                <w:rFonts w:ascii="Calibri" w:hAnsi="Calibri"/>
                <w:b/>
                <w:color w:val="FFFFFF"/>
                <w:sz w:val="18"/>
              </w:rPr>
              <w:t>Oorzaak</w:t>
            </w:r>
          </w:p>
        </w:tc>
      </w:tr>
      <w:tr>
        <w:tc>
          <w:tcPr>
            <w:tcW w:type="dxa" w:w="1728"/>
          </w:tcPr>
          <w:p>
            <w:r>
              <w:rPr>
                <w:rFonts w:ascii="Calibri" w:hAnsi="Calibri"/>
                <w:sz w:val="18"/>
              </w:rPr>
              <w:t>H-codes</w:t>
            </w:r>
          </w:p>
        </w:tc>
        <w:tc>
          <w:tcPr>
            <w:tcW w:type="dxa" w:w="1728"/>
          </w:tcPr>
          <w:p>
            <w:r>
              <w:rPr>
                <w:rFonts w:ascii="Calibri" w:hAnsi="Calibri"/>
                <w:sz w:val="18"/>
              </w:rPr>
              <w:t>H290, H314, H318</w:t>
            </w:r>
          </w:p>
        </w:tc>
        <w:tc>
          <w:tcPr>
            <w:tcW w:type="dxa" w:w="1728"/>
          </w:tcPr>
          <w:p>
            <w:r>
              <w:rPr>
                <w:rFonts w:ascii="Calibri" w:hAnsi="Calibri"/>
                <w:sz w:val="18"/>
              </w:rPr>
              <w:t>H314, H318</w:t>
            </w:r>
          </w:p>
        </w:tc>
        <w:tc>
          <w:tcPr>
            <w:tcW w:type="dxa" w:w="1728"/>
          </w:tcPr>
          <w:p>
            <w:r>
              <w:rPr>
                <w:rFonts w:ascii="Calibri" w:hAnsi="Calibri"/>
                <w:sz w:val="18"/>
              </w:rPr>
              <w:t>JA</w:t>
            </w:r>
          </w:p>
        </w:tc>
        <w:tc>
          <w:tcPr>
            <w:tcW w:type="dxa" w:w="1728"/>
          </w:tcPr>
          <w:p>
            <w:r>
              <w:rPr>
                <w:rFonts w:ascii="Calibri" w:hAnsi="Calibri"/>
                <w:sz w:val="18"/>
              </w:rPr>
              <w:t>D — H290 ontbreekt in v6.0</w:t>
            </w:r>
          </w:p>
        </w:tc>
      </w:tr>
      <w:tr>
        <w:tc>
          <w:tcPr>
            <w:tcW w:type="dxa" w:w="1728"/>
          </w:tcPr>
          <w:p>
            <w:r>
              <w:rPr>
                <w:rFonts w:ascii="Calibri" w:hAnsi="Calibri"/>
                <w:sz w:val="18"/>
              </w:rPr>
              <w:t>ADR Klasse</w:t>
            </w:r>
          </w:p>
        </w:tc>
        <w:tc>
          <w:tcPr>
            <w:tcW w:type="dxa" w:w="1728"/>
          </w:tcPr>
          <w:p>
            <w:r>
              <w:rPr>
                <w:rFonts w:ascii="Calibri" w:hAnsi="Calibri"/>
                <w:sz w:val="18"/>
              </w:rPr>
              <w:t>8 / UN 1819</w:t>
            </w:r>
          </w:p>
        </w:tc>
        <w:tc>
          <w:tcPr>
            <w:tcW w:type="dxa" w:w="1728"/>
          </w:tcPr>
          <w:p>
            <w:r>
              <w:rPr>
                <w:rFonts w:ascii="Calibri" w:hAnsi="Calibri"/>
                <w:sz w:val="18"/>
              </w:rPr>
              <w:t>8 (geen UN)</w:t>
            </w:r>
          </w:p>
        </w:tc>
        <w:tc>
          <w:tcPr>
            <w:tcW w:type="dxa" w:w="1728"/>
          </w:tcPr>
          <w:p>
            <w:r>
              <w:rPr>
                <w:rFonts w:ascii="Calibri" w:hAnsi="Calibri"/>
                <w:sz w:val="18"/>
              </w:rPr>
              <w:t>Cosmetisch</w:t>
            </w:r>
          </w:p>
        </w:tc>
        <w:tc>
          <w:tcPr>
            <w:tcW w:type="dxa" w:w="1728"/>
          </w:tcPr>
          <w:p>
            <w:r>
              <w:rPr>
                <w:rFonts w:ascii="Calibri" w:hAnsi="Calibri"/>
                <w:sz w:val="18"/>
              </w:rPr>
              <w:t>—</w:t>
            </w:r>
          </w:p>
        </w:tc>
      </w:tr>
      <w:tr>
        <w:tc>
          <w:tcPr>
            <w:tcW w:type="dxa" w:w="1728"/>
          </w:tcPr>
          <w:p>
            <w:r>
              <w:rPr>
                <w:rFonts w:ascii="Calibri" w:hAnsi="Calibri"/>
                <w:sz w:val="18"/>
              </w:rPr>
              <w:t>PG</w:t>
            </w:r>
          </w:p>
        </w:tc>
        <w:tc>
          <w:tcPr>
            <w:tcW w:type="dxa" w:w="1728"/>
          </w:tcPr>
          <w:p>
            <w:r>
              <w:rPr>
                <w:rFonts w:ascii="Calibri" w:hAnsi="Calibri"/>
                <w:sz w:val="18"/>
              </w:rPr>
              <w:t>II</w:t>
            </w:r>
          </w:p>
        </w:tc>
        <w:tc>
          <w:tcPr>
            <w:tcW w:type="dxa" w:w="1728"/>
          </w:tcPr>
          <w:p>
            <w:r>
              <w:rPr>
                <w:rFonts w:ascii="Calibri" w:hAnsi="Calibri"/>
                <w:sz w:val="18"/>
              </w:rPr>
              <w:t>III</w:t>
            </w:r>
          </w:p>
        </w:tc>
        <w:tc>
          <w:tcPr>
            <w:tcW w:type="dxa" w:w="1728"/>
          </w:tcPr>
          <w:p>
            <w:r>
              <w:rPr>
                <w:rFonts w:ascii="Calibri" w:hAnsi="Calibri"/>
                <w:sz w:val="18"/>
              </w:rPr>
              <w:t>JA ⚠️</w:t>
            </w:r>
          </w:p>
        </w:tc>
        <w:tc>
          <w:tcPr>
            <w:tcW w:type="dxa" w:w="1728"/>
          </w:tcPr>
          <w:p>
            <w:r>
              <w:rPr>
                <w:rFonts w:ascii="Calibri" w:hAnsi="Calibri"/>
                <w:sz w:val="18"/>
              </w:rPr>
              <w:t>D — PG verschilt: v5.0 = PG II (SDS), v6.0 = PG III (NEW v6 lijst)</w:t>
            </w:r>
          </w:p>
        </w:tc>
      </w:tr>
      <w:tr>
        <w:tc>
          <w:tcPr>
            <w:tcW w:type="dxa" w:w="1728"/>
          </w:tcPr>
          <w:p>
            <w:r>
              <w:rPr>
                <w:rFonts w:ascii="Calibri" w:hAnsi="Calibri"/>
                <w:sz w:val="18"/>
              </w:rPr>
              <w:t>CMR-status</w:t>
            </w:r>
          </w:p>
        </w:tc>
        <w:tc>
          <w:tcPr>
            <w:tcW w:type="dxa" w:w="1728"/>
          </w:tcPr>
          <w:p>
            <w:r>
              <w:rPr>
                <w:rFonts w:ascii="Calibri" w:hAnsi="Calibri"/>
                <w:sz w:val="18"/>
              </w:rPr>
              <w:t>Nee</w:t>
            </w:r>
          </w:p>
        </w:tc>
        <w:tc>
          <w:tcPr>
            <w:tcW w:type="dxa" w:w="1728"/>
          </w:tcPr>
          <w:p>
            <w:r>
              <w:rPr>
                <w:rFonts w:ascii="Calibri" w:hAnsi="Calibri"/>
                <w:sz w:val="18"/>
              </w:rPr>
              <w:t>Nee</w:t>
            </w:r>
          </w:p>
        </w:tc>
        <w:tc>
          <w:tcPr>
            <w:tcW w:type="dxa" w:w="1728"/>
          </w:tcPr>
          <w:p>
            <w:r>
              <w:rPr>
                <w:rFonts w:ascii="Calibri" w:hAnsi="Calibri"/>
                <w:sz w:val="18"/>
              </w:rPr>
              <w:t>Nee</w:t>
            </w:r>
          </w:p>
        </w:tc>
        <w:tc>
          <w:tcPr>
            <w:tcW w:type="dxa" w:w="1728"/>
          </w:tcPr>
          <w:p>
            <w:r>
              <w:rPr>
                <w:rFonts w:ascii="Calibri" w:hAnsi="Calibri"/>
                <w:sz w:val="18"/>
              </w:rPr>
              <w:t>—</w:t>
            </w:r>
          </w:p>
        </w:tc>
      </w:tr>
      <w:tr>
        <w:tc>
          <w:tcPr>
            <w:tcW w:type="dxa" w:w="1728"/>
          </w:tcPr>
          <w:p>
            <w:r>
              <w:rPr>
                <w:rFonts w:ascii="Calibri" w:hAnsi="Calibri"/>
                <w:sz w:val="18"/>
              </w:rPr>
              <w:t>Niveau</w:t>
            </w:r>
          </w:p>
        </w:tc>
        <w:tc>
          <w:tcPr>
            <w:tcW w:type="dxa" w:w="1728"/>
          </w:tcPr>
          <w:p>
            <w:r>
              <w:rPr>
                <w:rFonts w:ascii="Calibri" w:hAnsi="Calibri"/>
                <w:sz w:val="18"/>
              </w:rPr>
              <w:t>B</w:t>
            </w:r>
          </w:p>
        </w:tc>
        <w:tc>
          <w:tcPr>
            <w:tcW w:type="dxa" w:w="1728"/>
          </w:tcPr>
          <w:p>
            <w:r>
              <w:rPr>
                <w:rFonts w:ascii="Calibri" w:hAnsi="Calibri"/>
                <w:sz w:val="18"/>
              </w:rPr>
              <w:t>Buiten scope</w:t>
            </w:r>
          </w:p>
        </w:tc>
        <w:tc>
          <w:tcPr>
            <w:tcW w:type="dxa" w:w="1728"/>
          </w:tcPr>
          <w:p>
            <w:r>
              <w:rPr>
                <w:rFonts w:ascii="Calibri" w:hAnsi="Calibri"/>
                <w:sz w:val="18"/>
              </w:rPr>
              <w:t>JA ⚠️</w:t>
            </w:r>
          </w:p>
        </w:tc>
        <w:tc>
          <w:tcPr>
            <w:tcW w:type="dxa" w:w="1728"/>
          </w:tcPr>
          <w:p>
            <w:r>
              <w:rPr>
                <w:rFonts w:ascii="Calibri" w:hAnsi="Calibri"/>
                <w:sz w:val="18"/>
              </w:rPr>
              <w:t>B/D — PG wijziging beïnvloedt niveaubepaling</w:t>
            </w:r>
          </w:p>
        </w:tc>
      </w:tr>
      <w:tr>
        <w:tc>
          <w:tcPr>
            <w:tcW w:type="dxa" w:w="1728"/>
          </w:tcPr>
          <w:p>
            <w:r>
              <w:rPr>
                <w:rFonts w:ascii="Calibri" w:hAnsi="Calibri"/>
                <w:sz w:val="18"/>
              </w:rPr>
              <w:t>Hoeveelheid</w:t>
            </w:r>
          </w:p>
        </w:tc>
        <w:tc>
          <w:tcPr>
            <w:tcW w:type="dxa" w:w="1728"/>
          </w:tcPr>
          <w:p>
            <w:r>
              <w:rPr>
                <w:rFonts w:ascii="Calibri" w:hAnsi="Calibri"/>
                <w:sz w:val="18"/>
              </w:rPr>
              <w:t>Geschat</w:t>
            </w:r>
          </w:p>
        </w:tc>
        <w:tc>
          <w:tcPr>
            <w:tcW w:type="dxa" w:w="1728"/>
          </w:tcPr>
          <w:p>
            <w:r>
              <w:rPr>
                <w:rFonts w:ascii="Calibri" w:hAnsi="Calibri"/>
                <w:sz w:val="18"/>
              </w:rPr>
              <w:t>150 kg</w:t>
            </w:r>
          </w:p>
        </w:tc>
        <w:tc>
          <w:tcPr>
            <w:tcW w:type="dxa" w:w="1728"/>
          </w:tcPr>
          <w:p>
            <w:r>
              <w:rPr>
                <w:rFonts w:ascii="Calibri" w:hAnsi="Calibri"/>
                <w:sz w:val="18"/>
              </w:rPr>
              <w:t>JA</w:t>
            </w:r>
          </w:p>
        </w:tc>
        <w:tc>
          <w:tcPr>
            <w:tcW w:type="dxa" w:w="1728"/>
          </w:tcPr>
          <w:p>
            <w:r>
              <w:rPr>
                <w:rFonts w:ascii="Calibri" w:hAnsi="Calibri"/>
                <w:sz w:val="18"/>
              </w:rPr>
              <w:t>A</w:t>
            </w:r>
          </w:p>
        </w:tc>
      </w:tr>
      <w:tr>
        <w:tc>
          <w:tcPr>
            <w:tcW w:type="dxa" w:w="1728"/>
          </w:tcPr>
          <w:p>
            <w:r>
              <w:rPr>
                <w:rFonts w:ascii="Calibri" w:hAnsi="Calibri"/>
                <w:sz w:val="18"/>
              </w:rPr>
              <w:t>Rationale</w:t>
            </w:r>
          </w:p>
        </w:tc>
        <w:tc>
          <w:tcPr>
            <w:tcW w:type="dxa" w:w="1728"/>
          </w:tcPr>
          <w:p>
            <w:r>
              <w:rPr>
                <w:rFonts w:ascii="Calibri" w:hAnsi="Calibri"/>
                <w:sz w:val="18"/>
              </w:rPr>
              <w:t>Corrosief PG II → B</w:t>
            </w:r>
          </w:p>
        </w:tc>
        <w:tc>
          <w:tcPr>
            <w:tcW w:type="dxa" w:w="1728"/>
          </w:tcPr>
          <w:p>
            <w:r>
              <w:rPr>
                <w:rFonts w:ascii="Calibri" w:hAnsi="Calibri"/>
                <w:sz w:val="18"/>
              </w:rPr>
              <w:t>Corrosief PG III → buiten scope</w:t>
            </w:r>
          </w:p>
        </w:tc>
        <w:tc>
          <w:tcPr>
            <w:tcW w:type="dxa" w:w="1728"/>
          </w:tcPr>
          <w:p>
            <w:r>
              <w:rPr>
                <w:rFonts w:ascii="Calibri" w:hAnsi="Calibri"/>
                <w:sz w:val="18"/>
              </w:rPr>
              <w:t>JA</w:t>
            </w:r>
          </w:p>
        </w:tc>
        <w:tc>
          <w:tcPr>
            <w:tcW w:type="dxa" w:w="1728"/>
          </w:tcPr>
          <w:p>
            <w:r>
              <w:rPr>
                <w:rFonts w:ascii="Calibri" w:hAnsi="Calibri"/>
                <w:sz w:val="18"/>
              </w:rPr>
              <w:t>B — Lagere PG kan lager niveau rechtvaardigen, maar "buiten scope" is twijfelachtig bij 150 kg ADR 8</w:t>
            </w:r>
          </w:p>
        </w:tc>
      </w:tr>
    </w:tbl>
    <w:p/>
    <w:p>
      <w:pPr>
        <w:pStyle w:val="Heading2"/>
      </w:pPr>
      <w:r>
        <w:t>3.7 Vanadium pentoxide (EP-08)</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003366" w:val="clear"/>
          </w:tcPr>
          <w:p>
            <w:r>
              <w:rPr>
                <w:rFonts w:ascii="Calibri" w:hAnsi="Calibri"/>
                <w:b/>
                <w:color w:val="FFFFFF"/>
                <w:sz w:val="18"/>
              </w:rPr>
              <w:t>Veld</w:t>
            </w:r>
          </w:p>
        </w:tc>
        <w:tc>
          <w:tcPr>
            <w:tcW w:type="dxa" w:w="1728"/>
            <w:shd w:fill="003366" w:val="clear"/>
          </w:tcPr>
          <w:p>
            <w:r>
              <w:rPr>
                <w:rFonts w:ascii="Calibri" w:hAnsi="Calibri"/>
                <w:b/>
                <w:color w:val="FFFFFF"/>
                <w:sz w:val="18"/>
              </w:rPr>
              <w:t>v5.0 Waarde</w:t>
            </w:r>
          </w:p>
        </w:tc>
        <w:tc>
          <w:tcPr>
            <w:tcW w:type="dxa" w:w="1728"/>
            <w:shd w:fill="003366" w:val="clear"/>
          </w:tcPr>
          <w:p>
            <w:r>
              <w:rPr>
                <w:rFonts w:ascii="Calibri" w:hAnsi="Calibri"/>
                <w:b/>
                <w:color w:val="FFFFFF"/>
                <w:sz w:val="18"/>
              </w:rPr>
              <w:t>v6.0 Waarde</w:t>
            </w:r>
          </w:p>
        </w:tc>
        <w:tc>
          <w:tcPr>
            <w:tcW w:type="dxa" w:w="1728"/>
            <w:shd w:fill="003366" w:val="clear"/>
          </w:tcPr>
          <w:p>
            <w:r>
              <w:rPr>
                <w:rFonts w:ascii="Calibri" w:hAnsi="Calibri"/>
                <w:b/>
                <w:color w:val="FFFFFF"/>
                <w:sz w:val="18"/>
              </w:rPr>
              <w:t>Verschil?</w:t>
            </w:r>
          </w:p>
        </w:tc>
        <w:tc>
          <w:tcPr>
            <w:tcW w:type="dxa" w:w="1728"/>
            <w:shd w:fill="003366" w:val="clear"/>
          </w:tcPr>
          <w:p>
            <w:r>
              <w:rPr>
                <w:rFonts w:ascii="Calibri" w:hAnsi="Calibri"/>
                <w:b/>
                <w:color w:val="FFFFFF"/>
                <w:sz w:val="18"/>
              </w:rPr>
              <w:t>Oorzaak</w:t>
            </w:r>
          </w:p>
        </w:tc>
      </w:tr>
      <w:tr>
        <w:tc>
          <w:tcPr>
            <w:tcW w:type="dxa" w:w="1728"/>
          </w:tcPr>
          <w:p>
            <w:r>
              <w:rPr>
                <w:rFonts w:ascii="Calibri" w:hAnsi="Calibri"/>
                <w:sz w:val="18"/>
              </w:rPr>
              <w:t>H-codes</w:t>
            </w:r>
          </w:p>
        </w:tc>
        <w:tc>
          <w:tcPr>
            <w:tcW w:type="dxa" w:w="1728"/>
          </w:tcPr>
          <w:p>
            <w:r>
              <w:rPr>
                <w:rFonts w:ascii="Calibri" w:hAnsi="Calibri"/>
                <w:sz w:val="18"/>
              </w:rPr>
              <w:t>H301, H318, H330, H335, H341, H350, H361fd, H362, H372, H411</w:t>
            </w:r>
          </w:p>
        </w:tc>
        <w:tc>
          <w:tcPr>
            <w:tcW w:type="dxa" w:w="1728"/>
          </w:tcPr>
          <w:p>
            <w:r>
              <w:rPr>
                <w:rFonts w:ascii="Calibri" w:hAnsi="Calibri"/>
                <w:sz w:val="18"/>
              </w:rPr>
              <w:t>H301, H318, H330, H335, H341, H350, H361fd, H362, H372, H411</w:t>
            </w:r>
          </w:p>
        </w:tc>
        <w:tc>
          <w:tcPr>
            <w:tcW w:type="dxa" w:w="1728"/>
          </w:tcPr>
          <w:p>
            <w:r>
              <w:rPr>
                <w:rFonts w:ascii="Calibri" w:hAnsi="Calibri"/>
                <w:sz w:val="18"/>
              </w:rPr>
              <w:t>Nee</w:t>
            </w:r>
          </w:p>
        </w:tc>
        <w:tc>
          <w:tcPr>
            <w:tcW w:type="dxa" w:w="1728"/>
          </w:tcPr>
          <w:p>
            <w:r>
              <w:rPr>
                <w:rFonts w:ascii="Calibri" w:hAnsi="Calibri"/>
                <w:sz w:val="18"/>
              </w:rPr>
              <w:t>—</w:t>
            </w:r>
          </w:p>
        </w:tc>
      </w:tr>
      <w:tr>
        <w:tc>
          <w:tcPr>
            <w:tcW w:type="dxa" w:w="1728"/>
          </w:tcPr>
          <w:p>
            <w:r>
              <w:rPr>
                <w:rFonts w:ascii="Calibri" w:hAnsi="Calibri"/>
                <w:sz w:val="18"/>
              </w:rPr>
              <w:t>ADR Klasse</w:t>
            </w:r>
          </w:p>
        </w:tc>
        <w:tc>
          <w:tcPr>
            <w:tcW w:type="dxa" w:w="1728"/>
          </w:tcPr>
          <w:p>
            <w:r>
              <w:rPr>
                <w:rFonts w:ascii="Calibri" w:hAnsi="Calibri"/>
                <w:sz w:val="18"/>
              </w:rPr>
              <w:t>6.1 / UN 2862</w:t>
            </w:r>
          </w:p>
        </w:tc>
        <w:tc>
          <w:tcPr>
            <w:tcW w:type="dxa" w:w="1728"/>
          </w:tcPr>
          <w:p>
            <w:r>
              <w:rPr>
                <w:rFonts w:ascii="Calibri" w:hAnsi="Calibri"/>
                <w:sz w:val="18"/>
              </w:rPr>
              <w:t>6.1 (geen UN)</w:t>
            </w:r>
          </w:p>
        </w:tc>
        <w:tc>
          <w:tcPr>
            <w:tcW w:type="dxa" w:w="1728"/>
          </w:tcPr>
          <w:p>
            <w:r>
              <w:rPr>
                <w:rFonts w:ascii="Calibri" w:hAnsi="Calibri"/>
                <w:sz w:val="18"/>
              </w:rPr>
              <w:t>Cosmetisch</w:t>
            </w:r>
          </w:p>
        </w:tc>
        <w:tc>
          <w:tcPr>
            <w:tcW w:type="dxa" w:w="1728"/>
          </w:tcPr>
          <w:p>
            <w:r>
              <w:rPr>
                <w:rFonts w:ascii="Calibri" w:hAnsi="Calibri"/>
                <w:sz w:val="18"/>
              </w:rPr>
              <w:t>—</w:t>
            </w:r>
          </w:p>
        </w:tc>
      </w:tr>
      <w:tr>
        <w:tc>
          <w:tcPr>
            <w:tcW w:type="dxa" w:w="1728"/>
          </w:tcPr>
          <w:p>
            <w:r>
              <w:rPr>
                <w:rFonts w:ascii="Calibri" w:hAnsi="Calibri"/>
                <w:sz w:val="18"/>
              </w:rPr>
              <w:t>PG</w:t>
            </w:r>
          </w:p>
        </w:tc>
        <w:tc>
          <w:tcPr>
            <w:tcW w:type="dxa" w:w="1728"/>
          </w:tcPr>
          <w:p>
            <w:r>
              <w:rPr>
                <w:rFonts w:ascii="Calibri" w:hAnsi="Calibri"/>
                <w:sz w:val="18"/>
              </w:rPr>
              <w:t>III</w:t>
            </w:r>
          </w:p>
        </w:tc>
        <w:tc>
          <w:tcPr>
            <w:tcW w:type="dxa" w:w="1728"/>
          </w:tcPr>
          <w:p>
            <w:r>
              <w:rPr>
                <w:rFonts w:ascii="Calibri" w:hAnsi="Calibri"/>
                <w:sz w:val="18"/>
              </w:rPr>
              <w:t>III</w:t>
            </w:r>
          </w:p>
        </w:tc>
        <w:tc>
          <w:tcPr>
            <w:tcW w:type="dxa" w:w="1728"/>
          </w:tcPr>
          <w:p>
            <w:r>
              <w:rPr>
                <w:rFonts w:ascii="Calibri" w:hAnsi="Calibri"/>
                <w:sz w:val="18"/>
              </w:rPr>
              <w:t>Nee</w:t>
            </w:r>
          </w:p>
        </w:tc>
        <w:tc>
          <w:tcPr>
            <w:tcW w:type="dxa" w:w="1728"/>
          </w:tcPr>
          <w:p>
            <w:r>
              <w:rPr>
                <w:rFonts w:ascii="Calibri" w:hAnsi="Calibri"/>
                <w:sz w:val="18"/>
              </w:rPr>
              <w:t>—</w:t>
            </w:r>
          </w:p>
        </w:tc>
      </w:tr>
      <w:tr>
        <w:tc>
          <w:tcPr>
            <w:tcW w:type="dxa" w:w="1728"/>
          </w:tcPr>
          <w:p>
            <w:r>
              <w:rPr>
                <w:rFonts w:ascii="Calibri" w:hAnsi="Calibri"/>
                <w:sz w:val="18"/>
              </w:rPr>
              <w:t>CMR-status</w:t>
            </w:r>
          </w:p>
        </w:tc>
        <w:tc>
          <w:tcPr>
            <w:tcW w:type="dxa" w:w="1728"/>
          </w:tcPr>
          <w:p>
            <w:r>
              <w:rPr>
                <w:rFonts w:ascii="Calibri" w:hAnsi="Calibri"/>
                <w:sz w:val="18"/>
              </w:rPr>
              <w:t>Carc. 1B, Muta. 2, Repr. 2, Lact.</w:t>
            </w:r>
          </w:p>
        </w:tc>
        <w:tc>
          <w:tcPr>
            <w:tcW w:type="dxa" w:w="1728"/>
          </w:tcPr>
          <w:p>
            <w:r>
              <w:rPr>
                <w:rFonts w:ascii="Calibri" w:hAnsi="Calibri"/>
                <w:sz w:val="18"/>
              </w:rPr>
              <w:t>Carc. 1B, Muta. 2, Repr. 2</w:t>
            </w:r>
          </w:p>
        </w:tc>
        <w:tc>
          <w:tcPr>
            <w:tcW w:type="dxa" w:w="1728"/>
          </w:tcPr>
          <w:p>
            <w:r>
              <w:rPr>
                <w:rFonts w:ascii="Calibri" w:hAnsi="Calibri"/>
                <w:sz w:val="18"/>
              </w:rPr>
              <w:t>Cosmetisch</w:t>
            </w:r>
          </w:p>
        </w:tc>
        <w:tc>
          <w:tcPr>
            <w:tcW w:type="dxa" w:w="1728"/>
          </w:tcPr>
          <w:p>
            <w:r>
              <w:rPr>
                <w:rFonts w:ascii="Calibri" w:hAnsi="Calibri"/>
                <w:sz w:val="18"/>
              </w:rPr>
              <w:t>Lact. (H362) niet expliciet in v6.0 CMR</w:t>
            </w:r>
          </w:p>
        </w:tc>
      </w:tr>
      <w:tr>
        <w:tc>
          <w:tcPr>
            <w:tcW w:type="dxa" w:w="1728"/>
          </w:tcPr>
          <w:p>
            <w:r>
              <w:rPr>
                <w:rFonts w:ascii="Calibri" w:hAnsi="Calibri"/>
                <w:sz w:val="18"/>
              </w:rPr>
              <w:t>Niveau</w:t>
            </w:r>
          </w:p>
        </w:tc>
        <w:tc>
          <w:tcPr>
            <w:tcW w:type="dxa" w:w="1728"/>
          </w:tcPr>
          <w:p>
            <w:r>
              <w:rPr>
                <w:rFonts w:ascii="Calibri" w:hAnsi="Calibri"/>
                <w:sz w:val="18"/>
              </w:rPr>
              <w:t>C (CMR)</w:t>
            </w:r>
          </w:p>
        </w:tc>
        <w:tc>
          <w:tcPr>
            <w:tcW w:type="dxa" w:w="1728"/>
          </w:tcPr>
          <w:p>
            <w:r>
              <w:rPr>
                <w:rFonts w:ascii="Calibri" w:hAnsi="Calibri"/>
                <w:sz w:val="18"/>
              </w:rPr>
              <w:t>C (CMR)</w:t>
            </w:r>
          </w:p>
        </w:tc>
        <w:tc>
          <w:tcPr>
            <w:tcW w:type="dxa" w:w="1728"/>
          </w:tcPr>
          <w:p>
            <w:r>
              <w:rPr>
                <w:rFonts w:ascii="Calibri" w:hAnsi="Calibri"/>
                <w:sz w:val="18"/>
              </w:rPr>
              <w:t>Nee</w:t>
            </w:r>
          </w:p>
        </w:tc>
        <w:tc>
          <w:tcPr>
            <w:tcW w:type="dxa" w:w="1728"/>
          </w:tcPr>
          <w:p>
            <w:r>
              <w:rPr>
                <w:rFonts w:ascii="Calibri" w:hAnsi="Calibri"/>
                <w:sz w:val="18"/>
              </w:rPr>
              <w:t>—</w:t>
            </w:r>
          </w:p>
        </w:tc>
      </w:tr>
      <w:tr>
        <w:tc>
          <w:tcPr>
            <w:tcW w:type="dxa" w:w="1728"/>
          </w:tcPr>
          <w:p>
            <w:r>
              <w:rPr>
                <w:rFonts w:ascii="Calibri" w:hAnsi="Calibri"/>
                <w:sz w:val="18"/>
              </w:rPr>
              <w:t>Hoeveelheid</w:t>
            </w:r>
          </w:p>
        </w:tc>
        <w:tc>
          <w:tcPr>
            <w:tcW w:type="dxa" w:w="1728"/>
          </w:tcPr>
          <w:p>
            <w:r>
              <w:rPr>
                <w:rFonts w:ascii="Calibri" w:hAnsi="Calibri"/>
                <w:sz w:val="18"/>
              </w:rPr>
              <w:t>Geschat</w:t>
            </w:r>
          </w:p>
        </w:tc>
        <w:tc>
          <w:tcPr>
            <w:tcW w:type="dxa" w:w="1728"/>
          </w:tcPr>
          <w:p>
            <w:r>
              <w:rPr>
                <w:rFonts w:ascii="Calibri" w:hAnsi="Calibri"/>
                <w:sz w:val="18"/>
              </w:rPr>
              <w:t>150 kg</w:t>
            </w:r>
          </w:p>
        </w:tc>
        <w:tc>
          <w:tcPr>
            <w:tcW w:type="dxa" w:w="1728"/>
          </w:tcPr>
          <w:p>
            <w:r>
              <w:rPr>
                <w:rFonts w:ascii="Calibri" w:hAnsi="Calibri"/>
                <w:sz w:val="18"/>
              </w:rPr>
              <w:t>JA</w:t>
            </w:r>
          </w:p>
        </w:tc>
        <w:tc>
          <w:tcPr>
            <w:tcW w:type="dxa" w:w="1728"/>
          </w:tcPr>
          <w:p>
            <w:r>
              <w:rPr>
                <w:rFonts w:ascii="Calibri" w:hAnsi="Calibri"/>
                <w:sz w:val="18"/>
              </w:rPr>
              <w:t>A</w:t>
            </w:r>
          </w:p>
        </w:tc>
      </w:tr>
      <w:tr>
        <w:tc>
          <w:tcPr>
            <w:tcW w:type="dxa" w:w="1728"/>
          </w:tcPr>
          <w:p>
            <w:r>
              <w:rPr>
                <w:rFonts w:ascii="Calibri" w:hAnsi="Calibri"/>
                <w:sz w:val="18"/>
              </w:rPr>
              <w:t>Rationale</w:t>
            </w:r>
          </w:p>
        </w:tc>
        <w:tc>
          <w:tcPr>
            <w:tcW w:type="dxa" w:w="1728"/>
          </w:tcPr>
          <w:p>
            <w:r>
              <w:rPr>
                <w:rFonts w:ascii="Calibri" w:hAnsi="Calibri"/>
                <w:sz w:val="18"/>
              </w:rPr>
              <w:t>Carc. 1B → Niveau C ongeacht hoeveelheid</w:t>
            </w:r>
          </w:p>
        </w:tc>
        <w:tc>
          <w:tcPr>
            <w:tcW w:type="dxa" w:w="1728"/>
          </w:tcPr>
          <w:p>
            <w:r>
              <w:rPr>
                <w:rFonts w:ascii="Calibri" w:hAnsi="Calibri"/>
                <w:sz w:val="18"/>
              </w:rPr>
              <w:t>Carc. 1B → Niveau C, 150 kg ≥ 25 kg ondergrens</w:t>
            </w:r>
          </w:p>
        </w:tc>
        <w:tc>
          <w:tcPr>
            <w:tcW w:type="dxa" w:w="1728"/>
          </w:tcPr>
          <w:p>
            <w:r>
              <w:rPr>
                <w:rFonts w:ascii="Calibri" w:hAnsi="Calibri"/>
                <w:sz w:val="18"/>
              </w:rPr>
              <w:t>Cosmetisch</w:t>
            </w:r>
          </w:p>
        </w:tc>
        <w:tc>
          <w:tcPr>
            <w:tcW w:type="dxa" w:w="1728"/>
          </w:tcPr>
          <w:p>
            <w:r>
              <w:rPr>
                <w:rFonts w:ascii="Calibri" w:hAnsi="Calibri"/>
                <w:sz w:val="18"/>
              </w:rPr>
              <w:t>Zelfde conclusie, andere bewoording</w:t>
            </w:r>
          </w:p>
        </w:tc>
      </w:tr>
    </w:tbl>
    <w:p/>
    <w:p>
      <w:pPr>
        <w:pStyle w:val="Heading2"/>
      </w:pPr>
      <w:r>
        <w:t>3.8 Vanadium electrolyte (EP-09)</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fill="003366" w:val="clear"/>
          </w:tcPr>
          <w:p>
            <w:r>
              <w:rPr>
                <w:rFonts w:ascii="Calibri" w:hAnsi="Calibri"/>
                <w:b/>
                <w:color w:val="FFFFFF"/>
                <w:sz w:val="18"/>
              </w:rPr>
              <w:t>Veld</w:t>
            </w:r>
          </w:p>
        </w:tc>
        <w:tc>
          <w:tcPr>
            <w:tcW w:type="dxa" w:w="1728"/>
            <w:shd w:fill="003366" w:val="clear"/>
          </w:tcPr>
          <w:p>
            <w:r>
              <w:rPr>
                <w:rFonts w:ascii="Calibri" w:hAnsi="Calibri"/>
                <w:b/>
                <w:color w:val="FFFFFF"/>
                <w:sz w:val="18"/>
              </w:rPr>
              <w:t>v5.0 Waarde</w:t>
            </w:r>
          </w:p>
        </w:tc>
        <w:tc>
          <w:tcPr>
            <w:tcW w:type="dxa" w:w="1728"/>
            <w:shd w:fill="003366" w:val="clear"/>
          </w:tcPr>
          <w:p>
            <w:r>
              <w:rPr>
                <w:rFonts w:ascii="Calibri" w:hAnsi="Calibri"/>
                <w:b/>
                <w:color w:val="FFFFFF"/>
                <w:sz w:val="18"/>
              </w:rPr>
              <w:t>v6.0 Waarde</w:t>
            </w:r>
          </w:p>
        </w:tc>
        <w:tc>
          <w:tcPr>
            <w:tcW w:type="dxa" w:w="1728"/>
            <w:shd w:fill="003366" w:val="clear"/>
          </w:tcPr>
          <w:p>
            <w:r>
              <w:rPr>
                <w:rFonts w:ascii="Calibri" w:hAnsi="Calibri"/>
                <w:b/>
                <w:color w:val="FFFFFF"/>
                <w:sz w:val="18"/>
              </w:rPr>
              <w:t>Verschil?</w:t>
            </w:r>
          </w:p>
        </w:tc>
        <w:tc>
          <w:tcPr>
            <w:tcW w:type="dxa" w:w="1728"/>
            <w:shd w:fill="003366" w:val="clear"/>
          </w:tcPr>
          <w:p>
            <w:r>
              <w:rPr>
                <w:rFonts w:ascii="Calibri" w:hAnsi="Calibri"/>
                <w:b/>
                <w:color w:val="FFFFFF"/>
                <w:sz w:val="18"/>
              </w:rPr>
              <w:t>Oorzaak</w:t>
            </w:r>
          </w:p>
        </w:tc>
      </w:tr>
      <w:tr>
        <w:tc>
          <w:tcPr>
            <w:tcW w:type="dxa" w:w="1728"/>
          </w:tcPr>
          <w:p>
            <w:r>
              <w:rPr>
                <w:rFonts w:ascii="Calibri" w:hAnsi="Calibri"/>
                <w:sz w:val="18"/>
              </w:rPr>
              <w:t>H-codes</w:t>
            </w:r>
          </w:p>
        </w:tc>
        <w:tc>
          <w:tcPr>
            <w:tcW w:type="dxa" w:w="1728"/>
          </w:tcPr>
          <w:p>
            <w:r>
              <w:rPr>
                <w:rFonts w:ascii="Calibri" w:hAnsi="Calibri"/>
                <w:sz w:val="18"/>
              </w:rPr>
              <w:t>H290, H302, H314, H318, H335, H361, H370, H372, H401, H411</w:t>
            </w:r>
          </w:p>
        </w:tc>
        <w:tc>
          <w:tcPr>
            <w:tcW w:type="dxa" w:w="1728"/>
          </w:tcPr>
          <w:p>
            <w:r>
              <w:rPr>
                <w:rFonts w:ascii="Calibri" w:hAnsi="Calibri"/>
                <w:sz w:val="18"/>
              </w:rPr>
              <w:t>H290, H302, H314, H318, H335, H361, H370, H372, H401, H411</w:t>
            </w:r>
          </w:p>
        </w:tc>
        <w:tc>
          <w:tcPr>
            <w:tcW w:type="dxa" w:w="1728"/>
          </w:tcPr>
          <w:p>
            <w:r>
              <w:rPr>
                <w:rFonts w:ascii="Calibri" w:hAnsi="Calibri"/>
                <w:sz w:val="18"/>
              </w:rPr>
              <w:t>Nee</w:t>
            </w:r>
          </w:p>
        </w:tc>
        <w:tc>
          <w:tcPr>
            <w:tcW w:type="dxa" w:w="1728"/>
          </w:tcPr>
          <w:p>
            <w:r>
              <w:rPr>
                <w:rFonts w:ascii="Calibri" w:hAnsi="Calibri"/>
                <w:sz w:val="18"/>
              </w:rPr>
              <w:t>—</w:t>
            </w:r>
          </w:p>
        </w:tc>
      </w:tr>
      <w:tr>
        <w:tc>
          <w:tcPr>
            <w:tcW w:type="dxa" w:w="1728"/>
          </w:tcPr>
          <w:p>
            <w:r>
              <w:rPr>
                <w:rFonts w:ascii="Calibri" w:hAnsi="Calibri"/>
                <w:sz w:val="18"/>
              </w:rPr>
              <w:t>ADR Klasse</w:t>
            </w:r>
          </w:p>
        </w:tc>
        <w:tc>
          <w:tcPr>
            <w:tcW w:type="dxa" w:w="1728"/>
          </w:tcPr>
          <w:p>
            <w:r>
              <w:rPr>
                <w:rFonts w:ascii="Calibri" w:hAnsi="Calibri"/>
                <w:sz w:val="18"/>
              </w:rPr>
              <w:t>8 / UN 2796</w:t>
            </w:r>
          </w:p>
        </w:tc>
        <w:tc>
          <w:tcPr>
            <w:tcW w:type="dxa" w:w="1728"/>
          </w:tcPr>
          <w:p>
            <w:r>
              <w:rPr>
                <w:rFonts w:ascii="Calibri" w:hAnsi="Calibri"/>
                <w:sz w:val="18"/>
              </w:rPr>
              <w:t>8 (geen UN)</w:t>
            </w:r>
          </w:p>
        </w:tc>
        <w:tc>
          <w:tcPr>
            <w:tcW w:type="dxa" w:w="1728"/>
          </w:tcPr>
          <w:p>
            <w:r>
              <w:rPr>
                <w:rFonts w:ascii="Calibri" w:hAnsi="Calibri"/>
                <w:sz w:val="18"/>
              </w:rPr>
              <w:t>Cosmetisch</w:t>
            </w:r>
          </w:p>
        </w:tc>
        <w:tc>
          <w:tcPr>
            <w:tcW w:type="dxa" w:w="1728"/>
          </w:tcPr>
          <w:p>
            <w:r>
              <w:rPr>
                <w:rFonts w:ascii="Calibri" w:hAnsi="Calibri"/>
                <w:sz w:val="18"/>
              </w:rPr>
              <w:t>—</w:t>
            </w:r>
          </w:p>
        </w:tc>
      </w:tr>
      <w:tr>
        <w:tc>
          <w:tcPr>
            <w:tcW w:type="dxa" w:w="1728"/>
          </w:tcPr>
          <w:p>
            <w:r>
              <w:rPr>
                <w:rFonts w:ascii="Calibri" w:hAnsi="Calibri"/>
                <w:sz w:val="18"/>
              </w:rPr>
              <w:t>PG</w:t>
            </w:r>
          </w:p>
        </w:tc>
        <w:tc>
          <w:tcPr>
            <w:tcW w:type="dxa" w:w="1728"/>
          </w:tcPr>
          <w:p>
            <w:r>
              <w:rPr>
                <w:rFonts w:ascii="Calibri" w:hAnsi="Calibri"/>
                <w:sz w:val="18"/>
              </w:rPr>
              <w:t>II</w:t>
            </w:r>
          </w:p>
        </w:tc>
        <w:tc>
          <w:tcPr>
            <w:tcW w:type="dxa" w:w="1728"/>
          </w:tcPr>
          <w:p>
            <w:r>
              <w:rPr>
                <w:rFonts w:ascii="Calibri" w:hAnsi="Calibri"/>
                <w:sz w:val="18"/>
              </w:rPr>
              <w:t>II</w:t>
            </w:r>
          </w:p>
        </w:tc>
        <w:tc>
          <w:tcPr>
            <w:tcW w:type="dxa" w:w="1728"/>
          </w:tcPr>
          <w:p>
            <w:r>
              <w:rPr>
                <w:rFonts w:ascii="Calibri" w:hAnsi="Calibri"/>
                <w:sz w:val="18"/>
              </w:rPr>
              <w:t>Nee</w:t>
            </w:r>
          </w:p>
        </w:tc>
        <w:tc>
          <w:tcPr>
            <w:tcW w:type="dxa" w:w="1728"/>
          </w:tcPr>
          <w:p>
            <w:r>
              <w:rPr>
                <w:rFonts w:ascii="Calibri" w:hAnsi="Calibri"/>
                <w:sz w:val="18"/>
              </w:rPr>
              <w:t>—</w:t>
            </w:r>
          </w:p>
        </w:tc>
      </w:tr>
      <w:tr>
        <w:tc>
          <w:tcPr>
            <w:tcW w:type="dxa" w:w="1728"/>
          </w:tcPr>
          <w:p>
            <w:r>
              <w:rPr>
                <w:rFonts w:ascii="Calibri" w:hAnsi="Calibri"/>
                <w:sz w:val="18"/>
              </w:rPr>
              <w:t>CMR-status</w:t>
            </w:r>
          </w:p>
        </w:tc>
        <w:tc>
          <w:tcPr>
            <w:tcW w:type="dxa" w:w="1728"/>
          </w:tcPr>
          <w:p>
            <w:r>
              <w:rPr>
                <w:rFonts w:ascii="Calibri" w:hAnsi="Calibri"/>
                <w:sz w:val="18"/>
              </w:rPr>
              <w:t>Repr. 2 (H361)</w:t>
            </w:r>
          </w:p>
        </w:tc>
        <w:tc>
          <w:tcPr>
            <w:tcW w:type="dxa" w:w="1728"/>
          </w:tcPr>
          <w:p>
            <w:r>
              <w:rPr>
                <w:rFonts w:ascii="Calibri" w:hAnsi="Calibri"/>
                <w:sz w:val="18"/>
              </w:rPr>
              <w:t>Repr. 2 (H361fd in CMR tabel)</w:t>
            </w:r>
          </w:p>
        </w:tc>
        <w:tc>
          <w:tcPr>
            <w:tcW w:type="dxa" w:w="1728"/>
          </w:tcPr>
          <w:p>
            <w:r>
              <w:rPr>
                <w:rFonts w:ascii="Calibri" w:hAnsi="Calibri"/>
                <w:sz w:val="18"/>
              </w:rPr>
              <w:t>JA</w:t>
            </w:r>
          </w:p>
        </w:tc>
        <w:tc>
          <w:tcPr>
            <w:tcW w:type="dxa" w:w="1728"/>
          </w:tcPr>
          <w:p>
            <w:r>
              <w:rPr>
                <w:rFonts w:ascii="Calibri" w:hAnsi="Calibri"/>
                <w:sz w:val="18"/>
              </w:rPr>
              <w:t>D — H361 vs H361fd (v6.0 CMR tabel zegt H361fd)</w:t>
            </w:r>
          </w:p>
        </w:tc>
      </w:tr>
      <w:tr>
        <w:tc>
          <w:tcPr>
            <w:tcW w:type="dxa" w:w="1728"/>
          </w:tcPr>
          <w:p>
            <w:r>
              <w:rPr>
                <w:rFonts w:ascii="Calibri" w:hAnsi="Calibri"/>
                <w:sz w:val="18"/>
              </w:rPr>
              <w:t>Niveau</w:t>
            </w:r>
          </w:p>
        </w:tc>
        <w:tc>
          <w:tcPr>
            <w:tcW w:type="dxa" w:w="1728"/>
          </w:tcPr>
          <w:p>
            <w:r>
              <w:rPr>
                <w:rFonts w:ascii="Calibri" w:hAnsi="Calibri"/>
                <w:sz w:val="18"/>
              </w:rPr>
              <w:t>C (CMR)</w:t>
            </w:r>
          </w:p>
        </w:tc>
        <w:tc>
          <w:tcPr>
            <w:tcW w:type="dxa" w:w="1728"/>
          </w:tcPr>
          <w:p>
            <w:r>
              <w:rPr>
                <w:rFonts w:ascii="Calibri" w:hAnsi="Calibri"/>
                <w:sz w:val="18"/>
              </w:rPr>
              <w:t>Niveau BASIS (header) / C (CMR-toetsing §6)</w:t>
            </w:r>
          </w:p>
        </w:tc>
        <w:tc>
          <w:tcPr>
            <w:tcW w:type="dxa" w:w="1728"/>
          </w:tcPr>
          <w:p>
            <w:r>
              <w:rPr>
                <w:rFonts w:ascii="Calibri" w:hAnsi="Calibri"/>
                <w:sz w:val="18"/>
              </w:rPr>
              <w:t>JA ⚠️ CONTRADICTIE</w:t>
            </w:r>
          </w:p>
        </w:tc>
        <w:tc>
          <w:tcPr>
            <w:tcW w:type="dxa" w:w="1728"/>
          </w:tcPr>
          <w:p>
            <w:r>
              <w:rPr>
                <w:rFonts w:ascii="Calibri" w:hAnsi="Calibri"/>
                <w:sz w:val="18"/>
              </w:rPr>
              <w:t>C — Scanner engine wijst "Basis" toe maar CMR-logica zegt C</w:t>
            </w:r>
          </w:p>
        </w:tc>
      </w:tr>
      <w:tr>
        <w:tc>
          <w:tcPr>
            <w:tcW w:type="dxa" w:w="1728"/>
          </w:tcPr>
          <w:p>
            <w:r>
              <w:rPr>
                <w:rFonts w:ascii="Calibri" w:hAnsi="Calibri"/>
                <w:sz w:val="18"/>
              </w:rPr>
              <w:t>Hoeveelheid</w:t>
            </w:r>
          </w:p>
        </w:tc>
        <w:tc>
          <w:tcPr>
            <w:tcW w:type="dxa" w:w="1728"/>
          </w:tcPr>
          <w:p>
            <w:r>
              <w:rPr>
                <w:rFonts w:ascii="Calibri" w:hAnsi="Calibri"/>
                <w:sz w:val="18"/>
              </w:rPr>
              <w:t>Geschat</w:t>
            </w:r>
          </w:p>
        </w:tc>
        <w:tc>
          <w:tcPr>
            <w:tcW w:type="dxa" w:w="1728"/>
          </w:tcPr>
          <w:p>
            <w:r>
              <w:rPr>
                <w:rFonts w:ascii="Calibri" w:hAnsi="Calibri"/>
                <w:sz w:val="18"/>
              </w:rPr>
              <w:t>150 kg</w:t>
            </w:r>
          </w:p>
        </w:tc>
        <w:tc>
          <w:tcPr>
            <w:tcW w:type="dxa" w:w="1728"/>
          </w:tcPr>
          <w:p>
            <w:r>
              <w:rPr>
                <w:rFonts w:ascii="Calibri" w:hAnsi="Calibri"/>
                <w:sz w:val="18"/>
              </w:rPr>
              <w:t>JA</w:t>
            </w:r>
          </w:p>
        </w:tc>
        <w:tc>
          <w:tcPr>
            <w:tcW w:type="dxa" w:w="1728"/>
          </w:tcPr>
          <w:p>
            <w:r>
              <w:rPr>
                <w:rFonts w:ascii="Calibri" w:hAnsi="Calibri"/>
                <w:sz w:val="18"/>
              </w:rPr>
              <w:t>A</w:t>
            </w:r>
          </w:p>
        </w:tc>
      </w:tr>
      <w:tr>
        <w:tc>
          <w:tcPr>
            <w:tcW w:type="dxa" w:w="1728"/>
          </w:tcPr>
          <w:p>
            <w:r>
              <w:rPr>
                <w:rFonts w:ascii="Calibri" w:hAnsi="Calibri"/>
                <w:sz w:val="18"/>
              </w:rPr>
              <w:t>Rationale</w:t>
            </w:r>
          </w:p>
        </w:tc>
        <w:tc>
          <w:tcPr>
            <w:tcW w:type="dxa" w:w="1728"/>
          </w:tcPr>
          <w:p>
            <w:r>
              <w:rPr>
                <w:rFonts w:ascii="Calibri" w:hAnsi="Calibri"/>
                <w:sz w:val="18"/>
              </w:rPr>
              <w:t>Klasse 8 PG II + CMR Repr. 2 → C</w:t>
            </w:r>
          </w:p>
        </w:tc>
        <w:tc>
          <w:tcPr>
            <w:tcW w:type="dxa" w:w="1728"/>
          </w:tcPr>
          <w:p>
            <w:r>
              <w:rPr>
                <w:rFonts w:ascii="Calibri" w:hAnsi="Calibri"/>
                <w:sz w:val="18"/>
              </w:rPr>
              <w:t>Header: Basis. CMR: C. Intern inconsistent</w:t>
            </w:r>
          </w:p>
        </w:tc>
        <w:tc>
          <w:tcPr>
            <w:tcW w:type="dxa" w:w="1728"/>
          </w:tcPr>
          <w:p>
            <w:r>
              <w:rPr>
                <w:rFonts w:ascii="Calibri" w:hAnsi="Calibri"/>
                <w:sz w:val="18"/>
              </w:rPr>
              <w:t>JA — ONACCEPTABEL</w:t>
            </w:r>
          </w:p>
        </w:tc>
        <w:tc>
          <w:tcPr>
            <w:tcW w:type="dxa" w:w="1728"/>
          </w:tcPr>
          <w:p>
            <w:r>
              <w:rPr>
                <w:rFonts w:ascii="Calibri" w:hAnsi="Calibri"/>
                <w:sz w:val="18"/>
              </w:rPr>
              <w:t>C — Logische fout in engine: niveaubepaling en CMR-route niet synchroon</w:t>
            </w:r>
          </w:p>
        </w:tc>
      </w:tr>
    </w:tbl>
    <w:p/>
    <w:p>
      <w:pPr>
        <w:pStyle w:val="Heading2"/>
      </w:pPr>
      <w:r>
        <w:t>3.9 Niet-ADR stoffen</w:t>
      </w:r>
    </w:p>
    <w:p>
      <w:r>
        <w:rPr>
          <w:rFonts w:ascii="Calibri" w:hAnsi="Calibri"/>
          <w:b w:val="0"/>
          <w:sz w:val="22"/>
        </w:rPr>
        <w:t>Beide documenten identificeren 10-12 niet-ADR stoffen. De H-codes zijn identiek. v5.0 vermeldt 12 niet-ADR stoffen (inclusief 2 placeholders), v6.0 vermeldt er 10. Geen niveauverschillen — alle vallen onder Basisniveau. Geen kritieke bevindingen.</w:t>
      </w:r>
    </w:p>
    <w:p>
      <w:pPr>
        <w:pStyle w:val="Heading1"/>
      </w:pPr>
      <w:r>
        <w:t>4. Aggregatie Vergelijking</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003366" w:val="clear"/>
          </w:tcPr>
          <w:p>
            <w:r>
              <w:rPr>
                <w:rFonts w:ascii="Calibri" w:hAnsi="Calibri"/>
                <w:b/>
                <w:color w:val="FFFFFF"/>
                <w:sz w:val="18"/>
              </w:rPr>
              <w:t>Aspect</w:t>
            </w:r>
          </w:p>
        </w:tc>
        <w:tc>
          <w:tcPr>
            <w:tcW w:type="dxa" w:w="2160"/>
            <w:shd w:fill="003366" w:val="clear"/>
          </w:tcPr>
          <w:p>
            <w:r>
              <w:rPr>
                <w:rFonts w:ascii="Calibri" w:hAnsi="Calibri"/>
                <w:b/>
                <w:color w:val="FFFFFF"/>
                <w:sz w:val="18"/>
              </w:rPr>
              <w:t>v5.0</w:t>
            </w:r>
          </w:p>
        </w:tc>
        <w:tc>
          <w:tcPr>
            <w:tcW w:type="dxa" w:w="2160"/>
            <w:shd w:fill="003366" w:val="clear"/>
          </w:tcPr>
          <w:p>
            <w:r>
              <w:rPr>
                <w:rFonts w:ascii="Calibri" w:hAnsi="Calibri"/>
                <w:b/>
                <w:color w:val="FFFFFF"/>
                <w:sz w:val="18"/>
              </w:rPr>
              <w:t>v6.0</w:t>
            </w:r>
          </w:p>
        </w:tc>
        <w:tc>
          <w:tcPr>
            <w:tcW w:type="dxa" w:w="2160"/>
            <w:shd w:fill="003366" w:val="clear"/>
          </w:tcPr>
          <w:p>
            <w:r>
              <w:rPr>
                <w:rFonts w:ascii="Calibri" w:hAnsi="Calibri"/>
                <w:b/>
                <w:color w:val="FFFFFF"/>
                <w:sz w:val="18"/>
              </w:rPr>
              <w:t>Verschil?</w:t>
            </w:r>
          </w:p>
        </w:tc>
      </w:tr>
      <w:tr>
        <w:tc>
          <w:tcPr>
            <w:tcW w:type="dxa" w:w="2160"/>
          </w:tcPr>
          <w:p>
            <w:r>
              <w:rPr>
                <w:rFonts w:ascii="Calibri" w:hAnsi="Calibri"/>
                <w:sz w:val="18"/>
              </w:rPr>
              <w:t>ADR 8 aggregatie</w:t>
            </w:r>
          </w:p>
        </w:tc>
        <w:tc>
          <w:tcPr>
            <w:tcW w:type="dxa" w:w="2160"/>
          </w:tcPr>
          <w:p>
            <w:r>
              <w:rPr>
                <w:rFonts w:ascii="Calibri" w:hAnsi="Calibri"/>
                <w:sz w:val="18"/>
              </w:rPr>
              <w:t>Sulfuric acid + HCl + NaAlO₂ + elektrolyt = &gt;250 kg → Niveau C</w:t>
            </w:r>
          </w:p>
        </w:tc>
        <w:tc>
          <w:tcPr>
            <w:tcW w:type="dxa" w:w="2160"/>
          </w:tcPr>
          <w:p>
            <w:r>
              <w:rPr>
                <w:rFonts w:ascii="Calibri" w:hAnsi="Calibri"/>
                <w:sz w:val="18"/>
              </w:rPr>
              <w:t>4 stoffen, 600 kg totaal — maar sulfuric acid, HCl, NaAlO₂ alle "buiten scope"</w:t>
            </w:r>
          </w:p>
        </w:tc>
        <w:tc>
          <w:tcPr>
            <w:tcW w:type="dxa" w:w="2160"/>
          </w:tcPr>
          <w:p>
            <w:r>
              <w:rPr>
                <w:rFonts w:ascii="Calibri" w:hAnsi="Calibri"/>
                <w:sz w:val="18"/>
              </w:rPr>
              <w:t>JA — v6.0 aggregatie logica ontbreekt/contradictoir</w:t>
            </w:r>
          </w:p>
        </w:tc>
      </w:tr>
      <w:tr>
        <w:tc>
          <w:tcPr>
            <w:tcW w:type="dxa" w:w="2160"/>
          </w:tcPr>
          <w:p>
            <w:r>
              <w:rPr>
                <w:rFonts w:ascii="Calibri" w:hAnsi="Calibri"/>
                <w:sz w:val="18"/>
              </w:rPr>
              <w:t>ADR 5.1 aggregatie</w:t>
            </w:r>
          </w:p>
        </w:tc>
        <w:tc>
          <w:tcPr>
            <w:tcW w:type="dxa" w:w="2160"/>
          </w:tcPr>
          <w:p>
            <w:r>
              <w:rPr>
                <w:rFonts w:ascii="Calibri" w:hAnsi="Calibri"/>
                <w:sz w:val="18"/>
              </w:rPr>
              <w:t>H₂O₂ (PG II) + Na₂S₂O₈ (PG III) → beperkt, individueel B</w:t>
            </w:r>
          </w:p>
        </w:tc>
        <w:tc>
          <w:tcPr>
            <w:tcW w:type="dxa" w:w="2160"/>
          </w:tcPr>
          <w:p>
            <w:r>
              <w:rPr>
                <w:rFonts w:ascii="Calibri" w:hAnsi="Calibri"/>
                <w:sz w:val="18"/>
              </w:rPr>
              <w:t>300 kg totaal, H₂O₂ = C, Na₂S₂O₈ = C</w:t>
            </w:r>
          </w:p>
        </w:tc>
        <w:tc>
          <w:tcPr>
            <w:tcW w:type="dxa" w:w="2160"/>
          </w:tcPr>
          <w:p>
            <w:r>
              <w:rPr>
                <w:rFonts w:ascii="Calibri" w:hAnsi="Calibri"/>
                <w:sz w:val="18"/>
              </w:rPr>
              <w:t>JA — v6.0 promoot beide naar C</w:t>
            </w:r>
          </w:p>
        </w:tc>
      </w:tr>
      <w:tr>
        <w:tc>
          <w:tcPr>
            <w:tcW w:type="dxa" w:w="2160"/>
          </w:tcPr>
          <w:p>
            <w:r>
              <w:rPr>
                <w:rFonts w:ascii="Calibri" w:hAnsi="Calibri"/>
                <w:sz w:val="18"/>
              </w:rPr>
              <w:t>Brandlading</w:t>
            </w:r>
          </w:p>
        </w:tc>
        <w:tc>
          <w:tcPr>
            <w:tcW w:type="dxa" w:w="2160"/>
          </w:tcPr>
          <w:p>
            <w:r>
              <w:rPr>
                <w:rFonts w:ascii="Calibri" w:hAnsi="Calibri"/>
                <w:sz w:val="18"/>
              </w:rPr>
              <w:t>Niet expliciet berekend (geen brandbare stoffen)</w:t>
            </w:r>
          </w:p>
        </w:tc>
        <w:tc>
          <w:tcPr>
            <w:tcW w:type="dxa" w:w="2160"/>
          </w:tcPr>
          <w:p>
            <w:r>
              <w:rPr>
                <w:rFonts w:ascii="Calibri" w:hAnsi="Calibri"/>
                <w:sz w:val="18"/>
              </w:rPr>
              <w:t>0 kg — nihil</w:t>
            </w:r>
          </w:p>
        </w:tc>
        <w:tc>
          <w:tcPr>
            <w:tcW w:type="dxa" w:w="2160"/>
          </w:tcPr>
          <w:p>
            <w:r>
              <w:rPr>
                <w:rFonts w:ascii="Calibri" w:hAnsi="Calibri"/>
                <w:sz w:val="18"/>
              </w:rPr>
              <w:t>Cosmetisch</w:t>
            </w:r>
          </w:p>
        </w:tc>
      </w:tr>
      <w:tr>
        <w:tc>
          <w:tcPr>
            <w:tcW w:type="dxa" w:w="2160"/>
          </w:tcPr>
          <w:p>
            <w:r>
              <w:rPr>
                <w:rFonts w:ascii="Calibri" w:hAnsi="Calibri"/>
                <w:sz w:val="18"/>
              </w:rPr>
              <w:t>Onverenigbare combinaties</w:t>
            </w:r>
          </w:p>
        </w:tc>
        <w:tc>
          <w:tcPr>
            <w:tcW w:type="dxa" w:w="2160"/>
          </w:tcPr>
          <w:p>
            <w:r>
              <w:rPr>
                <w:rFonts w:ascii="Calibri" w:hAnsi="Calibri"/>
                <w:sz w:val="18"/>
              </w:rPr>
              <w:t>Uitgebreid: zuur-base, oxiderend-corrosief, CMR+corrosief, H₂O₂+katalysatoren</w:t>
            </w:r>
          </w:p>
        </w:tc>
        <w:tc>
          <w:tcPr>
            <w:tcW w:type="dxa" w:w="2160"/>
          </w:tcPr>
          <w:p>
            <w:r>
              <w:rPr>
                <w:rFonts w:ascii="Calibri" w:hAnsi="Calibri"/>
                <w:sz w:val="18"/>
              </w:rPr>
              <w:t>Beperkt: oxiderend vs brandbaar, zuur vs base, CMR apart</w:t>
            </w:r>
          </w:p>
        </w:tc>
        <w:tc>
          <w:tcPr>
            <w:tcW w:type="dxa" w:w="2160"/>
          </w:tcPr>
          <w:p>
            <w:r>
              <w:rPr>
                <w:rFonts w:ascii="Calibri" w:hAnsi="Calibri"/>
                <w:sz w:val="18"/>
              </w:rPr>
              <w:t>E — v5.0 uitgebreider</w:t>
            </w:r>
          </w:p>
        </w:tc>
      </w:tr>
      <w:tr>
        <w:tc>
          <w:tcPr>
            <w:tcW w:type="dxa" w:w="2160"/>
          </w:tcPr>
          <w:p>
            <w:r>
              <w:rPr>
                <w:rFonts w:ascii="Calibri" w:hAnsi="Calibri"/>
                <w:sz w:val="18"/>
              </w:rPr>
              <w:t>Geaggregeerd niveau</w:t>
            </w:r>
          </w:p>
        </w:tc>
        <w:tc>
          <w:tcPr>
            <w:tcW w:type="dxa" w:w="2160"/>
          </w:tcPr>
          <w:p>
            <w:r>
              <w:rPr>
                <w:rFonts w:ascii="Calibri" w:hAnsi="Calibri"/>
                <w:sz w:val="18"/>
              </w:rPr>
              <w:t>C (expliciet)</w:t>
            </w:r>
          </w:p>
        </w:tc>
        <w:tc>
          <w:tcPr>
            <w:tcW w:type="dxa" w:w="2160"/>
          </w:tcPr>
          <w:p>
            <w:r>
              <w:rPr>
                <w:rFonts w:ascii="Calibri" w:hAnsi="Calibri"/>
                <w:sz w:val="18"/>
              </w:rPr>
              <w:t>"A" in §3.3 maar "C" in §8 — CONTRADICTIE</w:t>
            </w:r>
          </w:p>
        </w:tc>
        <w:tc>
          <w:tcPr>
            <w:tcW w:type="dxa" w:w="2160"/>
          </w:tcPr>
          <w:p>
            <w:r>
              <w:rPr>
                <w:rFonts w:ascii="Calibri" w:hAnsi="Calibri"/>
                <w:sz w:val="18"/>
              </w:rPr>
              <w:t>JA — ONACCEPTABEL</w:t>
            </w:r>
          </w:p>
        </w:tc>
      </w:tr>
    </w:tbl>
    <w:p/>
    <w:p>
      <w:r>
        <w:rPr>
          <w:rFonts w:ascii="Calibri" w:hAnsi="Calibri"/>
          <w:b w:val="0"/>
          <w:sz w:val="22"/>
        </w:rPr>
        <w:t>Opmerking: v6.0 §3.3 stelt "Geaggregeerd niveau: A" maar §8 concludeert "NIVEAU C". Dit is een interne contradictie in het document. Het geaggregeerde niveau C in §8 is correct (gebaseerd op CMR-stoffen). De vermelding van niveau A in §3.3 is een Scanner Engine fout.</w:t>
      </w:r>
    </w:p>
    <w:p>
      <w:pPr>
        <w:pStyle w:val="Heading1"/>
      </w:pPr>
      <w:r>
        <w:t>5. Structurele Vergelijking</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003366" w:val="clear"/>
          </w:tcPr>
          <w:p>
            <w:r>
              <w:rPr>
                <w:rFonts w:ascii="Calibri" w:hAnsi="Calibri"/>
                <w:b/>
                <w:color w:val="FFFFFF"/>
                <w:sz w:val="18"/>
              </w:rPr>
              <w:t>Sectie</w:t>
            </w:r>
          </w:p>
        </w:tc>
        <w:tc>
          <w:tcPr>
            <w:tcW w:type="dxa" w:w="2160"/>
            <w:shd w:fill="003366" w:val="clear"/>
          </w:tcPr>
          <w:p>
            <w:r>
              <w:rPr>
                <w:rFonts w:ascii="Calibri" w:hAnsi="Calibri"/>
                <w:b/>
                <w:color w:val="FFFFFF"/>
                <w:sz w:val="18"/>
              </w:rPr>
              <w:t>v5.0</w:t>
            </w:r>
          </w:p>
        </w:tc>
        <w:tc>
          <w:tcPr>
            <w:tcW w:type="dxa" w:w="2160"/>
            <w:shd w:fill="003366" w:val="clear"/>
          </w:tcPr>
          <w:p>
            <w:r>
              <w:rPr>
                <w:rFonts w:ascii="Calibri" w:hAnsi="Calibri"/>
                <w:b/>
                <w:color w:val="FFFFFF"/>
                <w:sz w:val="18"/>
              </w:rPr>
              <w:t>v6.0</w:t>
            </w:r>
          </w:p>
        </w:tc>
        <w:tc>
          <w:tcPr>
            <w:tcW w:type="dxa" w:w="2160"/>
            <w:shd w:fill="003366" w:val="clear"/>
          </w:tcPr>
          <w:p>
            <w:r>
              <w:rPr>
                <w:rFonts w:ascii="Calibri" w:hAnsi="Calibri"/>
                <w:b/>
                <w:color w:val="FFFFFF"/>
                <w:sz w:val="18"/>
              </w:rPr>
              <w:t>Verschil</w:t>
            </w:r>
          </w:p>
        </w:tc>
      </w:tr>
      <w:tr>
        <w:tc>
          <w:tcPr>
            <w:tcW w:type="dxa" w:w="2160"/>
          </w:tcPr>
          <w:p>
            <w:r>
              <w:rPr>
                <w:rFonts w:ascii="Calibri" w:hAnsi="Calibri"/>
                <w:sz w:val="18"/>
              </w:rPr>
              <w:t>Inleiding &amp; Scope</w:t>
            </w:r>
          </w:p>
        </w:tc>
        <w:tc>
          <w:tcPr>
            <w:tcW w:type="dxa" w:w="2160"/>
          </w:tcPr>
          <w:p>
            <w:r>
              <w:rPr>
                <w:rFonts w:ascii="Calibri" w:hAnsi="Calibri"/>
                <w:sz w:val="18"/>
              </w:rPr>
              <w:t>Uitgebreid (20 stoffen, SDS-geverifieerd)</w:t>
            </w:r>
          </w:p>
        </w:tc>
        <w:tc>
          <w:tcPr>
            <w:tcW w:type="dxa" w:w="2160"/>
          </w:tcPr>
          <w:p>
            <w:r>
              <w:rPr>
                <w:rFonts w:ascii="Calibri" w:hAnsi="Calibri"/>
                <w:sz w:val="18"/>
              </w:rPr>
              <w:t>Beknopt (18 stoffen, NEW v6 lijst)</w:t>
            </w:r>
          </w:p>
        </w:tc>
        <w:tc>
          <w:tcPr>
            <w:tcW w:type="dxa" w:w="2160"/>
          </w:tcPr>
          <w:p>
            <w:r>
              <w:rPr>
                <w:rFonts w:ascii="Calibri" w:hAnsi="Calibri"/>
                <w:sz w:val="18"/>
              </w:rPr>
              <w:t>v5.0 verwijst naar Meta-Dossier v5.0</w:t>
            </w:r>
          </w:p>
        </w:tc>
      </w:tr>
      <w:tr>
        <w:tc>
          <w:tcPr>
            <w:tcW w:type="dxa" w:w="2160"/>
          </w:tcPr>
          <w:p>
            <w:r>
              <w:rPr>
                <w:rFonts w:ascii="Calibri" w:hAnsi="Calibri"/>
                <w:sz w:val="18"/>
              </w:rPr>
              <w:t>Stoffenoverzicht tabellen</w:t>
            </w:r>
          </w:p>
        </w:tc>
        <w:tc>
          <w:tcPr>
            <w:tcW w:type="dxa" w:w="2160"/>
          </w:tcPr>
          <w:p>
            <w:r>
              <w:rPr>
                <w:rFonts w:ascii="Calibri" w:hAnsi="Calibri"/>
                <w:sz w:val="18"/>
              </w:rPr>
              <w:t>5 tabellen (input, IM, EP, niveaus, niet-ADR)</w:t>
            </w:r>
          </w:p>
        </w:tc>
        <w:tc>
          <w:tcPr>
            <w:tcW w:type="dxa" w:w="2160"/>
          </w:tcPr>
          <w:p>
            <w:r>
              <w:rPr>
                <w:rFonts w:ascii="Calibri" w:hAnsi="Calibri"/>
                <w:sz w:val="18"/>
              </w:rPr>
              <w:t>3 tabellen (input, IM, EP)</w:t>
            </w:r>
          </w:p>
        </w:tc>
        <w:tc>
          <w:tcPr>
            <w:tcW w:type="dxa" w:w="2160"/>
          </w:tcPr>
          <w:p>
            <w:r>
              <w:rPr>
                <w:rFonts w:ascii="Calibri" w:hAnsi="Calibri"/>
                <w:sz w:val="18"/>
              </w:rPr>
              <w:t>v5.0 heeft meer structuur</w:t>
            </w:r>
          </w:p>
        </w:tc>
      </w:tr>
      <w:tr>
        <w:tc>
          <w:tcPr>
            <w:tcW w:type="dxa" w:w="2160"/>
          </w:tcPr>
          <w:p>
            <w:r>
              <w:rPr>
                <w:rFonts w:ascii="Calibri" w:hAnsi="Calibri"/>
                <w:sz w:val="18"/>
              </w:rPr>
              <w:t>Niveaubepaling per stof</w:t>
            </w:r>
          </w:p>
        </w:tc>
        <w:tc>
          <w:tcPr>
            <w:tcW w:type="dxa" w:w="2160"/>
          </w:tcPr>
          <w:p>
            <w:r>
              <w:rPr>
                <w:rFonts w:ascii="Calibri" w:hAnsi="Calibri"/>
                <w:sz w:val="18"/>
              </w:rPr>
              <w:t>Uitgebreid met rationale per stof</w:t>
            </w:r>
          </w:p>
        </w:tc>
        <w:tc>
          <w:tcPr>
            <w:tcW w:type="dxa" w:w="2160"/>
          </w:tcPr>
          <w:p>
            <w:r>
              <w:rPr>
                <w:rFonts w:ascii="Calibri" w:hAnsi="Calibri"/>
                <w:sz w:val="18"/>
              </w:rPr>
              <w:t>Beknopt per stof, minder rationale</w:t>
            </w:r>
          </w:p>
        </w:tc>
        <w:tc>
          <w:tcPr>
            <w:tcW w:type="dxa" w:w="2160"/>
          </w:tcPr>
          <w:p>
            <w:r>
              <w:rPr>
                <w:rFonts w:ascii="Calibri" w:hAnsi="Calibri"/>
                <w:sz w:val="18"/>
              </w:rPr>
              <w:t>E</w:t>
            </w:r>
          </w:p>
        </w:tc>
      </w:tr>
      <w:tr>
        <w:tc>
          <w:tcPr>
            <w:tcW w:type="dxa" w:w="2160"/>
          </w:tcPr>
          <w:p>
            <w:r>
              <w:rPr>
                <w:rFonts w:ascii="Calibri" w:hAnsi="Calibri"/>
                <w:sz w:val="18"/>
              </w:rPr>
              <w:t>Compliance toetsing (D1-D9)</w:t>
            </w:r>
          </w:p>
        </w:tc>
        <w:tc>
          <w:tcPr>
            <w:tcW w:type="dxa" w:w="2160"/>
          </w:tcPr>
          <w:p>
            <w:r>
              <w:rPr>
                <w:rFonts w:ascii="Calibri" w:hAnsi="Calibri"/>
                <w:sz w:val="18"/>
              </w:rPr>
              <w:t>Per stof GEDETAILLEERD + specifieke maatregelen</w:t>
            </w:r>
          </w:p>
        </w:tc>
        <w:tc>
          <w:tcPr>
            <w:tcW w:type="dxa" w:w="2160"/>
          </w:tcPr>
          <w:p>
            <w:r>
              <w:rPr>
                <w:rFonts w:ascii="Calibri" w:hAnsi="Calibri"/>
                <w:sz w:val="18"/>
              </w:rPr>
              <w:t>Per stof maar beknopter, maatregelen als tabel</w:t>
            </w:r>
          </w:p>
        </w:tc>
        <w:tc>
          <w:tcPr>
            <w:tcW w:type="dxa" w:w="2160"/>
          </w:tcPr>
          <w:p>
            <w:r>
              <w:rPr>
                <w:rFonts w:ascii="Calibri" w:hAnsi="Calibri"/>
                <w:sz w:val="18"/>
              </w:rPr>
              <w:t>E — v5.0 meer detail</w:t>
            </w:r>
          </w:p>
        </w:tc>
      </w:tr>
      <w:tr>
        <w:tc>
          <w:tcPr>
            <w:tcW w:type="dxa" w:w="2160"/>
          </w:tcPr>
          <w:p>
            <w:r>
              <w:rPr>
                <w:rFonts w:ascii="Calibri" w:hAnsi="Calibri"/>
                <w:sz w:val="18"/>
              </w:rPr>
              <w:t>Vakverdeling/opslagindeling</w:t>
            </w:r>
          </w:p>
        </w:tc>
        <w:tc>
          <w:tcPr>
            <w:tcW w:type="dxa" w:w="2160"/>
          </w:tcPr>
          <w:p>
            <w:r>
              <w:rPr>
                <w:rFonts w:ascii="Calibri" w:hAnsi="Calibri"/>
                <w:sz w:val="18"/>
              </w:rPr>
              <w:t>3 vakken gedetailleerd (CMR, Corrosief, Oxiderend)</w:t>
            </w:r>
          </w:p>
        </w:tc>
        <w:tc>
          <w:tcPr>
            <w:tcW w:type="dxa" w:w="2160"/>
          </w:tcPr>
          <w:p>
            <w:r>
              <w:rPr>
                <w:rFonts w:ascii="Calibri" w:hAnsi="Calibri"/>
                <w:sz w:val="18"/>
              </w:rPr>
              <w:t>ONTBREKT</w:t>
            </w:r>
          </w:p>
        </w:tc>
        <w:tc>
          <w:tcPr>
            <w:tcW w:type="dxa" w:w="2160"/>
          </w:tcPr>
          <w:p>
            <w:r>
              <w:rPr>
                <w:rFonts w:ascii="Calibri" w:hAnsi="Calibri"/>
                <w:sz w:val="18"/>
              </w:rPr>
              <w:t>E — v6.0 mist volledig</w:t>
            </w:r>
          </w:p>
        </w:tc>
      </w:tr>
      <w:tr>
        <w:tc>
          <w:tcPr>
            <w:tcW w:type="dxa" w:w="2160"/>
          </w:tcPr>
          <w:p>
            <w:r>
              <w:rPr>
                <w:rFonts w:ascii="Calibri" w:hAnsi="Calibri"/>
                <w:sz w:val="18"/>
              </w:rPr>
              <w:t>Opslagadvies per stof</w:t>
            </w:r>
          </w:p>
        </w:tc>
        <w:tc>
          <w:tcPr>
            <w:tcW w:type="dxa" w:w="2160"/>
          </w:tcPr>
          <w:p>
            <w:r>
              <w:rPr>
                <w:rFonts w:ascii="Calibri" w:hAnsi="Calibri"/>
                <w:sz w:val="18"/>
              </w:rPr>
              <w:t>Per stof + per vak</w:t>
            </w:r>
          </w:p>
        </w:tc>
        <w:tc>
          <w:tcPr>
            <w:tcW w:type="dxa" w:w="2160"/>
          </w:tcPr>
          <w:p>
            <w:r>
              <w:rPr>
                <w:rFonts w:ascii="Calibri" w:hAnsi="Calibri"/>
                <w:sz w:val="18"/>
              </w:rPr>
              <w:t>ONTBREKT</w:t>
            </w:r>
          </w:p>
        </w:tc>
        <w:tc>
          <w:tcPr>
            <w:tcW w:type="dxa" w:w="2160"/>
          </w:tcPr>
          <w:p>
            <w:r>
              <w:rPr>
                <w:rFonts w:ascii="Calibri" w:hAnsi="Calibri"/>
                <w:sz w:val="18"/>
              </w:rPr>
              <w:t>E — v6.0 mist volledig</w:t>
            </w:r>
          </w:p>
        </w:tc>
      </w:tr>
      <w:tr>
        <w:tc>
          <w:tcPr>
            <w:tcW w:type="dxa" w:w="2160"/>
          </w:tcPr>
          <w:p>
            <w:r>
              <w:rPr>
                <w:rFonts w:ascii="Calibri" w:hAnsi="Calibri"/>
                <w:sz w:val="18"/>
              </w:rPr>
              <w:t>Scheidingsadvies</w:t>
            </w:r>
          </w:p>
        </w:tc>
        <w:tc>
          <w:tcPr>
            <w:tcW w:type="dxa" w:w="2160"/>
          </w:tcPr>
          <w:p>
            <w:r>
              <w:rPr>
                <w:rFonts w:ascii="Calibri" w:hAnsi="Calibri"/>
                <w:sz w:val="18"/>
              </w:rPr>
              <w:t>Gedetailleerd (5 combinaties + synergie-effecten)</w:t>
            </w:r>
          </w:p>
        </w:tc>
        <w:tc>
          <w:tcPr>
            <w:tcW w:type="dxa" w:w="2160"/>
          </w:tcPr>
          <w:p>
            <w:r>
              <w:rPr>
                <w:rFonts w:ascii="Calibri" w:hAnsi="Calibri"/>
                <w:sz w:val="18"/>
              </w:rPr>
              <w:t>Beperkt (3 aandachtspunten)</w:t>
            </w:r>
          </w:p>
        </w:tc>
        <w:tc>
          <w:tcPr>
            <w:tcW w:type="dxa" w:w="2160"/>
          </w:tcPr>
          <w:p>
            <w:r>
              <w:rPr>
                <w:rFonts w:ascii="Calibri" w:hAnsi="Calibri"/>
                <w:sz w:val="18"/>
              </w:rPr>
              <w:t>E — v5.0 significant uitgebreider</w:t>
            </w:r>
          </w:p>
        </w:tc>
      </w:tr>
      <w:tr>
        <w:tc>
          <w:tcPr>
            <w:tcW w:type="dxa" w:w="2160"/>
          </w:tcPr>
          <w:p>
            <w:r>
              <w:rPr>
                <w:rFonts w:ascii="Calibri" w:hAnsi="Calibri"/>
                <w:sz w:val="18"/>
              </w:rPr>
              <w:t>Maatregelenoverzicht (D1-D9)</w:t>
            </w:r>
          </w:p>
        </w:tc>
        <w:tc>
          <w:tcPr>
            <w:tcW w:type="dxa" w:w="2160"/>
          </w:tcPr>
          <w:p>
            <w:r>
              <w:rPr>
                <w:rFonts w:ascii="Calibri" w:hAnsi="Calibri"/>
                <w:sz w:val="18"/>
              </w:rPr>
              <w:t>Per stof apart + per vak + samenvattingstabel</w:t>
            </w:r>
          </w:p>
        </w:tc>
        <w:tc>
          <w:tcPr>
            <w:tcW w:type="dxa" w:w="2160"/>
          </w:tcPr>
          <w:p>
            <w:r>
              <w:rPr>
                <w:rFonts w:ascii="Calibri" w:hAnsi="Calibri"/>
                <w:sz w:val="18"/>
              </w:rPr>
              <w:t>Per stof als tabel + algemeen overzicht</w:t>
            </w:r>
          </w:p>
        </w:tc>
        <w:tc>
          <w:tcPr>
            <w:tcW w:type="dxa" w:w="2160"/>
          </w:tcPr>
          <w:p>
            <w:r>
              <w:rPr>
                <w:rFonts w:ascii="Calibri" w:hAnsi="Calibri"/>
                <w:sz w:val="18"/>
              </w:rPr>
              <w:t>E — v5.0 completer</w:t>
            </w:r>
          </w:p>
        </w:tc>
      </w:tr>
      <w:tr>
        <w:tc>
          <w:tcPr>
            <w:tcW w:type="dxa" w:w="2160"/>
          </w:tcPr>
          <w:p>
            <w:r>
              <w:rPr>
                <w:rFonts w:ascii="Calibri" w:hAnsi="Calibri"/>
                <w:sz w:val="18"/>
              </w:rPr>
              <w:t>WBDBO</w:t>
            </w:r>
          </w:p>
        </w:tc>
        <w:tc>
          <w:tcPr>
            <w:tcW w:type="dxa" w:w="2160"/>
          </w:tcPr>
          <w:p>
            <w:r>
              <w:rPr>
                <w:rFonts w:ascii="Calibri" w:hAnsi="Calibri"/>
                <w:sz w:val="18"/>
              </w:rPr>
              <w:t>60 min dragend, 90 min brandscheiding per vak</w:t>
            </w:r>
          </w:p>
        </w:tc>
        <w:tc>
          <w:tcPr>
            <w:tcW w:type="dxa" w:w="2160"/>
          </w:tcPr>
          <w:p>
            <w:r>
              <w:rPr>
                <w:rFonts w:ascii="Calibri" w:hAnsi="Calibri"/>
                <w:sz w:val="18"/>
              </w:rPr>
              <w:t>M21: ≥30 min WBDBO</w:t>
            </w:r>
          </w:p>
        </w:tc>
        <w:tc>
          <w:tcPr>
            <w:tcW w:type="dxa" w:w="2160"/>
          </w:tcPr>
          <w:p>
            <w:r>
              <w:rPr>
                <w:rFonts w:ascii="Calibri" w:hAnsi="Calibri"/>
                <w:sz w:val="18"/>
              </w:rPr>
              <w:t>JA — v5.0 strenger (60 vs 30 min)</w:t>
            </w:r>
          </w:p>
        </w:tc>
      </w:tr>
      <w:tr>
        <w:tc>
          <w:tcPr>
            <w:tcW w:type="dxa" w:w="2160"/>
          </w:tcPr>
          <w:p>
            <w:r>
              <w:rPr>
                <w:rFonts w:ascii="Calibri" w:hAnsi="Calibri"/>
                <w:sz w:val="18"/>
              </w:rPr>
              <w:t>CMR-specifieke maatregelen</w:t>
            </w:r>
          </w:p>
        </w:tc>
        <w:tc>
          <w:tcPr>
            <w:tcW w:type="dxa" w:w="2160"/>
          </w:tcPr>
          <w:p>
            <w:r>
              <w:rPr>
                <w:rFonts w:ascii="Calibri" w:hAnsi="Calibri"/>
                <w:sz w:val="18"/>
              </w:rPr>
              <w:t>Per CMR-stof apart (V₂O₅, NaVO₃, elektrolyt)</w:t>
            </w:r>
          </w:p>
        </w:tc>
        <w:tc>
          <w:tcPr>
            <w:tcW w:type="dxa" w:w="2160"/>
          </w:tcPr>
          <w:p>
            <w:r>
              <w:rPr>
                <w:rFonts w:ascii="Calibri" w:hAnsi="Calibri"/>
                <w:sz w:val="18"/>
              </w:rPr>
              <w:t>Algemeen per CMR-stof</w:t>
            </w:r>
          </w:p>
        </w:tc>
        <w:tc>
          <w:tcPr>
            <w:tcW w:type="dxa" w:w="2160"/>
          </w:tcPr>
          <w:p>
            <w:r>
              <w:rPr>
                <w:rFonts w:ascii="Calibri" w:hAnsi="Calibri"/>
                <w:sz w:val="18"/>
              </w:rPr>
              <w:t>v5.0 gedetailleerder</w:t>
            </w:r>
          </w:p>
        </w:tc>
      </w:tr>
      <w:tr>
        <w:tc>
          <w:tcPr>
            <w:tcW w:type="dxa" w:w="2160"/>
          </w:tcPr>
          <w:p>
            <w:r>
              <w:rPr>
                <w:rFonts w:ascii="Calibri" w:hAnsi="Calibri"/>
                <w:sz w:val="18"/>
              </w:rPr>
              <w:t>Milieumaatregelen (H411)</w:t>
            </w:r>
          </w:p>
        </w:tc>
        <w:tc>
          <w:tcPr>
            <w:tcW w:type="dxa" w:w="2160"/>
          </w:tcPr>
          <w:p>
            <w:r>
              <w:rPr>
                <w:rFonts w:ascii="Calibri" w:hAnsi="Calibri"/>
                <w:sz w:val="18"/>
              </w:rPr>
              <w:t>Per stof apart + bluswateropvang</w:t>
            </w:r>
          </w:p>
        </w:tc>
        <w:tc>
          <w:tcPr>
            <w:tcW w:type="dxa" w:w="2160"/>
          </w:tcPr>
          <w:p>
            <w:r>
              <w:rPr>
                <w:rFonts w:ascii="Calibri" w:hAnsi="Calibri"/>
                <w:sz w:val="18"/>
              </w:rPr>
              <w:t>Algemeen in TierVerify</w:t>
            </w:r>
          </w:p>
        </w:tc>
        <w:tc>
          <w:tcPr>
            <w:tcW w:type="dxa" w:w="2160"/>
          </w:tcPr>
          <w:p>
            <w:r>
              <w:rPr>
                <w:rFonts w:ascii="Calibri" w:hAnsi="Calibri"/>
                <w:sz w:val="18"/>
              </w:rPr>
              <w:t>E — v5.0 specifieker</w:t>
            </w:r>
          </w:p>
        </w:tc>
      </w:tr>
      <w:tr>
        <w:tc>
          <w:tcPr>
            <w:tcW w:type="dxa" w:w="2160"/>
          </w:tcPr>
          <w:p>
            <w:r>
              <w:rPr>
                <w:rFonts w:ascii="Calibri" w:hAnsi="Calibri"/>
                <w:sz w:val="18"/>
              </w:rPr>
              <w:t>Seveso/BVR toetsing</w:t>
            </w:r>
          </w:p>
        </w:tc>
        <w:tc>
          <w:tcPr>
            <w:tcW w:type="dxa" w:w="2160"/>
          </w:tcPr>
          <w:p>
            <w:r>
              <w:rPr>
                <w:rFonts w:ascii="Calibri" w:hAnsi="Calibri"/>
                <w:sz w:val="18"/>
              </w:rPr>
              <w:t>Beknopt (onder drempel)</w:t>
            </w:r>
          </w:p>
        </w:tc>
        <w:tc>
          <w:tcPr>
            <w:tcW w:type="dxa" w:w="2160"/>
          </w:tcPr>
          <w:p>
            <w:r>
              <w:rPr>
                <w:rFonts w:ascii="Calibri" w:hAnsi="Calibri"/>
                <w:sz w:val="18"/>
              </w:rPr>
              <w:t>Uitgebreider met drempelwaarden per klasse</w:t>
            </w:r>
          </w:p>
        </w:tc>
        <w:tc>
          <w:tcPr>
            <w:tcW w:type="dxa" w:w="2160"/>
          </w:tcPr>
          <w:p>
            <w:r>
              <w:rPr>
                <w:rFonts w:ascii="Calibri" w:hAnsi="Calibri"/>
                <w:sz w:val="18"/>
              </w:rPr>
              <w:t>v6.0 completer op dit punt</w:t>
            </w:r>
          </w:p>
        </w:tc>
      </w:tr>
      <w:tr>
        <w:tc>
          <w:tcPr>
            <w:tcW w:type="dxa" w:w="2160"/>
          </w:tcPr>
          <w:p>
            <w:r>
              <w:rPr>
                <w:rFonts w:ascii="Calibri" w:hAnsi="Calibri"/>
                <w:sz w:val="18"/>
              </w:rPr>
              <w:t>Aanbevelingen/Prioriteitslijst</w:t>
            </w:r>
          </w:p>
        </w:tc>
        <w:tc>
          <w:tcPr>
            <w:tcW w:type="dxa" w:w="2160"/>
          </w:tcPr>
          <w:p>
            <w:r>
              <w:rPr>
                <w:rFonts w:ascii="Calibri" w:hAnsi="Calibri"/>
                <w:sz w:val="18"/>
              </w:rPr>
              <w:t>10 acties met prioriteit en deadline</w:t>
            </w:r>
          </w:p>
        </w:tc>
        <w:tc>
          <w:tcPr>
            <w:tcW w:type="dxa" w:w="2160"/>
          </w:tcPr>
          <w:p>
            <w:r>
              <w:rPr>
                <w:rFonts w:ascii="Calibri" w:hAnsi="Calibri"/>
                <w:sz w:val="18"/>
              </w:rPr>
              <w:t>ONTBREKT</w:t>
            </w:r>
          </w:p>
        </w:tc>
        <w:tc>
          <w:tcPr>
            <w:tcW w:type="dxa" w:w="2160"/>
          </w:tcPr>
          <w:p>
            <w:r>
              <w:rPr>
                <w:rFonts w:ascii="Calibri" w:hAnsi="Calibri"/>
                <w:sz w:val="18"/>
              </w:rPr>
              <w:t>E — v6.0 mist volledig</w:t>
            </w:r>
          </w:p>
        </w:tc>
      </w:tr>
      <w:tr>
        <w:tc>
          <w:tcPr>
            <w:tcW w:type="dxa" w:w="2160"/>
          </w:tcPr>
          <w:p>
            <w:r>
              <w:rPr>
                <w:rFonts w:ascii="Calibri" w:hAnsi="Calibri"/>
                <w:sz w:val="18"/>
              </w:rPr>
              <w:t>TierVerify log</w:t>
            </w:r>
          </w:p>
        </w:tc>
        <w:tc>
          <w:tcPr>
            <w:tcW w:type="dxa" w:w="2160"/>
          </w:tcPr>
          <w:p>
            <w:r>
              <w:rPr>
                <w:rFonts w:ascii="Calibri" w:hAnsi="Calibri"/>
                <w:sz w:val="18"/>
              </w:rPr>
              <w:t>10 checks geverifieerd</w:t>
            </w:r>
          </w:p>
        </w:tc>
        <w:tc>
          <w:tcPr>
            <w:tcW w:type="dxa" w:w="2160"/>
          </w:tcPr>
          <w:p>
            <w:r>
              <w:rPr>
                <w:rFonts w:ascii="Calibri" w:hAnsi="Calibri"/>
                <w:sz w:val="18"/>
              </w:rPr>
              <w:t>10 checks + engine referentie</w:t>
            </w:r>
          </w:p>
        </w:tc>
        <w:tc>
          <w:tcPr>
            <w:tcW w:type="dxa" w:w="2160"/>
          </w:tcPr>
          <w:p>
            <w:r>
              <w:rPr>
                <w:rFonts w:ascii="Calibri" w:hAnsi="Calibri"/>
                <w:sz w:val="18"/>
              </w:rPr>
              <w:t>Vergelijkbaar</w:t>
            </w:r>
          </w:p>
        </w:tc>
      </w:tr>
      <w:tr>
        <w:tc>
          <w:tcPr>
            <w:tcW w:type="dxa" w:w="2160"/>
          </w:tcPr>
          <w:p>
            <w:r>
              <w:rPr>
                <w:rFonts w:ascii="Calibri" w:hAnsi="Calibri"/>
                <w:sz w:val="18"/>
              </w:rPr>
              <w:t>Bronverwijzingen</w:t>
            </w:r>
          </w:p>
        </w:tc>
        <w:tc>
          <w:tcPr>
            <w:tcW w:type="dxa" w:w="2160"/>
          </w:tcPr>
          <w:p>
            <w:r>
              <w:rPr>
                <w:rFonts w:ascii="Calibri" w:hAnsi="Calibri"/>
                <w:sz w:val="18"/>
              </w:rPr>
              <w:t>10 referenties</w:t>
            </w:r>
          </w:p>
        </w:tc>
        <w:tc>
          <w:tcPr>
            <w:tcW w:type="dxa" w:w="2160"/>
          </w:tcPr>
          <w:p>
            <w:r>
              <w:rPr>
                <w:rFonts w:ascii="Calibri" w:hAnsi="Calibri"/>
                <w:sz w:val="18"/>
              </w:rPr>
              <w:t>10 referenties</w:t>
            </w:r>
          </w:p>
        </w:tc>
        <w:tc>
          <w:tcPr>
            <w:tcW w:type="dxa" w:w="2160"/>
          </w:tcPr>
          <w:p>
            <w:r>
              <w:rPr>
                <w:rFonts w:ascii="Calibri" w:hAnsi="Calibri"/>
                <w:sz w:val="18"/>
              </w:rPr>
              <w:t>Vergelijkbaar, v6.0 bevat Bouwbesluit 2012 ref</w:t>
            </w:r>
          </w:p>
        </w:tc>
      </w:tr>
    </w:tbl>
    <w:p>
      <w:pPr>
        <w:pStyle w:val="Heading1"/>
      </w:pPr>
      <w:r>
        <w:t>6. Oorzaakanalyse</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003366" w:val="clear"/>
          </w:tcPr>
          <w:p>
            <w:r>
              <w:rPr>
                <w:rFonts w:ascii="Calibri" w:hAnsi="Calibri"/>
                <w:b/>
                <w:color w:val="FFFFFF"/>
                <w:sz w:val="18"/>
              </w:rPr>
              <w:t>Verschil</w:t>
            </w:r>
          </w:p>
        </w:tc>
        <w:tc>
          <w:tcPr>
            <w:tcW w:type="dxa" w:w="2880"/>
            <w:shd w:fill="003366" w:val="clear"/>
          </w:tcPr>
          <w:p>
            <w:r>
              <w:rPr>
                <w:rFonts w:ascii="Calibri" w:hAnsi="Calibri"/>
                <w:b/>
                <w:color w:val="FFFFFF"/>
                <w:sz w:val="18"/>
              </w:rPr>
              <w:t>Categorie</w:t>
            </w:r>
          </w:p>
        </w:tc>
        <w:tc>
          <w:tcPr>
            <w:tcW w:type="dxa" w:w="2880"/>
            <w:shd w:fill="003366" w:val="clear"/>
          </w:tcPr>
          <w:p>
            <w:r>
              <w:rPr>
                <w:rFonts w:ascii="Calibri" w:hAnsi="Calibri"/>
                <w:b/>
                <w:color w:val="FFFFFF"/>
                <w:sz w:val="18"/>
              </w:rPr>
              <w:t>Toelichting</w:t>
            </w:r>
          </w:p>
        </w:tc>
      </w:tr>
      <w:tr>
        <w:tc>
          <w:tcPr>
            <w:tcW w:type="dxa" w:w="2880"/>
          </w:tcPr>
          <w:p>
            <w:r>
              <w:rPr>
                <w:rFonts w:ascii="Calibri" w:hAnsi="Calibri"/>
                <w:sz w:val="18"/>
              </w:rPr>
              <w:t>Hoeveelheden: geschat vs 150 kg</w:t>
            </w:r>
          </w:p>
        </w:tc>
        <w:tc>
          <w:tcPr>
            <w:tcW w:type="dxa" w:w="2880"/>
          </w:tcPr>
          <w:p>
            <w:r>
              <w:rPr>
                <w:rFonts w:ascii="Calibri" w:hAnsi="Calibri"/>
                <w:sz w:val="18"/>
              </w:rPr>
              <w:t>A</w:t>
            </w:r>
          </w:p>
        </w:tc>
        <w:tc>
          <w:tcPr>
            <w:tcW w:type="dxa" w:w="2880"/>
          </w:tcPr>
          <w:p>
            <w:r>
              <w:rPr>
                <w:rFonts w:ascii="Calibri" w:hAnsi="Calibri"/>
                <w:sz w:val="18"/>
              </w:rPr>
              <w:t>v5.0 gebruikt geschatte hoeveelheden uit Meta-Dossier v5.0. v6.0 gebruikt uniform 150 kg per product uit NEW v6 lijst.</w:t>
            </w:r>
          </w:p>
        </w:tc>
      </w:tr>
      <w:tr>
        <w:tc>
          <w:tcPr>
            <w:tcW w:type="dxa" w:w="2880"/>
          </w:tcPr>
          <w:p>
            <w:r>
              <w:rPr>
                <w:rFonts w:ascii="Calibri" w:hAnsi="Calibri"/>
                <w:sz w:val="18"/>
              </w:rPr>
              <w:t>Hydrogen peroxide: B→C</w:t>
            </w:r>
          </w:p>
        </w:tc>
        <w:tc>
          <w:tcPr>
            <w:tcW w:type="dxa" w:w="2880"/>
          </w:tcPr>
          <w:p>
            <w:r>
              <w:rPr>
                <w:rFonts w:ascii="Calibri" w:hAnsi="Calibri"/>
                <w:sz w:val="18"/>
              </w:rPr>
              <w:t>B/C</w:t>
            </w:r>
          </w:p>
        </w:tc>
        <w:tc>
          <w:tcPr>
            <w:tcW w:type="dxa" w:w="2880"/>
          </w:tcPr>
          <w:p>
            <w:r>
              <w:rPr>
                <w:rFonts w:ascii="Calibri" w:hAnsi="Calibri"/>
                <w:sz w:val="18"/>
              </w:rPr>
              <w:t>v6.0 engine interpreteert H302/H332 als "Acute toxiciteit cat. 3" en promoot naar C. Echter: H302 = Acute Tox. 4 (oraal), H332 = Acute Tox. 4 (inhalatie). Beide zijn cat. 4, NIET cat. 3. Dit is een CLASSIFICATIEFOUT in de engine (Categorie C).</w:t>
            </w:r>
          </w:p>
        </w:tc>
      </w:tr>
      <w:tr>
        <w:tc>
          <w:tcPr>
            <w:tcW w:type="dxa" w:w="2880"/>
          </w:tcPr>
          <w:p>
            <w:r>
              <w:rPr>
                <w:rFonts w:ascii="Calibri" w:hAnsi="Calibri"/>
                <w:sz w:val="18"/>
              </w:rPr>
              <w:t>Sodium persulfate: B→C</w:t>
            </w:r>
          </w:p>
        </w:tc>
        <w:tc>
          <w:tcPr>
            <w:tcW w:type="dxa" w:w="2880"/>
          </w:tcPr>
          <w:p>
            <w:r>
              <w:rPr>
                <w:rFonts w:ascii="Calibri" w:hAnsi="Calibri"/>
                <w:sz w:val="18"/>
              </w:rPr>
              <w:t>B/C</w:t>
            </w:r>
          </w:p>
        </w:tc>
        <w:tc>
          <w:tcPr>
            <w:tcW w:type="dxa" w:w="2880"/>
          </w:tcPr>
          <w:p>
            <w:r>
              <w:rPr>
                <w:rFonts w:ascii="Calibri" w:hAnsi="Calibri"/>
                <w:sz w:val="18"/>
              </w:rPr>
              <w:t>Zelfde fout als H₂O₂: engine leest H302 als "Acute Tox. 3" i.p.v. Acute Tox. 4. Scanner Engine fout (Categorie C).</w:t>
            </w:r>
          </w:p>
        </w:tc>
      </w:tr>
      <w:tr>
        <w:tc>
          <w:tcPr>
            <w:tcW w:type="dxa" w:w="2880"/>
          </w:tcPr>
          <w:p>
            <w:r>
              <w:rPr>
                <w:rFonts w:ascii="Calibri" w:hAnsi="Calibri"/>
                <w:sz w:val="18"/>
              </w:rPr>
              <w:t>Sulfuric acid: B→Buiten scope</w:t>
            </w:r>
          </w:p>
        </w:tc>
        <w:tc>
          <w:tcPr>
            <w:tcW w:type="dxa" w:w="2880"/>
          </w:tcPr>
          <w:p>
            <w:r>
              <w:rPr>
                <w:rFonts w:ascii="Calibri" w:hAnsi="Calibri"/>
                <w:sz w:val="18"/>
              </w:rPr>
              <w:t>B</w:t>
            </w:r>
          </w:p>
        </w:tc>
        <w:tc>
          <w:tcPr>
            <w:tcW w:type="dxa" w:w="2880"/>
          </w:tcPr>
          <w:p>
            <w:r>
              <w:rPr>
                <w:rFonts w:ascii="Calibri" w:hAnsi="Calibri"/>
                <w:sz w:val="18"/>
              </w:rPr>
              <w:t>v6.0 engine bepaalt dat 150 kg ADR 8 PG II onder de ondergrens valt. Dit kan correct zijn afhankelijk van PGS 15 Tabel 6 interpretatie bij 150 kg. v5.0 zegt "&lt;250 kg = Niveau B" maar citeert geen specifieke Tabel 6 rij.</w:t>
            </w:r>
          </w:p>
        </w:tc>
      </w:tr>
      <w:tr>
        <w:tc>
          <w:tcPr>
            <w:tcW w:type="dxa" w:w="2880"/>
          </w:tcPr>
          <w:p>
            <w:r>
              <w:rPr>
                <w:rFonts w:ascii="Calibri" w:hAnsi="Calibri"/>
                <w:sz w:val="18"/>
              </w:rPr>
              <w:t>Hydrochloric acid: B→Buiten scope</w:t>
            </w:r>
          </w:p>
        </w:tc>
        <w:tc>
          <w:tcPr>
            <w:tcW w:type="dxa" w:w="2880"/>
          </w:tcPr>
          <w:p>
            <w:r>
              <w:rPr>
                <w:rFonts w:ascii="Calibri" w:hAnsi="Calibri"/>
                <w:sz w:val="18"/>
              </w:rPr>
              <w:t>B</w:t>
            </w:r>
          </w:p>
        </w:tc>
        <w:tc>
          <w:tcPr>
            <w:tcW w:type="dxa" w:w="2880"/>
          </w:tcPr>
          <w:p>
            <w:r>
              <w:rPr>
                <w:rFonts w:ascii="Calibri" w:hAnsi="Calibri"/>
                <w:sz w:val="18"/>
              </w:rPr>
              <w:t>Zelfde als Sulfuric acid — 150 kg ADR 8 PG II mogelijk onder Tabel 6 ondergrens.</w:t>
            </w:r>
          </w:p>
        </w:tc>
      </w:tr>
      <w:tr>
        <w:tc>
          <w:tcPr>
            <w:tcW w:type="dxa" w:w="2880"/>
          </w:tcPr>
          <w:p>
            <w:r>
              <w:rPr>
                <w:rFonts w:ascii="Calibri" w:hAnsi="Calibri"/>
                <w:sz w:val="18"/>
              </w:rPr>
              <w:t>Sodium aluminate: B→Buiten scope + PG II→III</w:t>
            </w:r>
          </w:p>
        </w:tc>
        <w:tc>
          <w:tcPr>
            <w:tcW w:type="dxa" w:w="2880"/>
          </w:tcPr>
          <w:p>
            <w:r>
              <w:rPr>
                <w:rFonts w:ascii="Calibri" w:hAnsi="Calibri"/>
                <w:sz w:val="18"/>
              </w:rPr>
              <w:t>D</w:t>
            </w:r>
          </w:p>
        </w:tc>
        <w:tc>
          <w:tcPr>
            <w:tcW w:type="dxa" w:w="2880"/>
          </w:tcPr>
          <w:p>
            <w:r>
              <w:rPr>
                <w:rFonts w:ascii="Calibri" w:hAnsi="Calibri"/>
                <w:sz w:val="18"/>
              </w:rPr>
              <w:t>v6.0 gebruikt NEW v6 lijst met PG III i.p.v. PG II uit SDS. H290 ontbreekt eveneens. Verschil in brondata.</w:t>
            </w:r>
          </w:p>
        </w:tc>
      </w:tr>
      <w:tr>
        <w:tc>
          <w:tcPr>
            <w:tcW w:type="dxa" w:w="2880"/>
          </w:tcPr>
          <w:p>
            <w:r>
              <w:rPr>
                <w:rFonts w:ascii="Calibri" w:hAnsi="Calibri"/>
                <w:sz w:val="18"/>
              </w:rPr>
              <w:t>Vanadium electrolyte: C→Basis (contradictie)</w:t>
            </w:r>
          </w:p>
        </w:tc>
        <w:tc>
          <w:tcPr>
            <w:tcW w:type="dxa" w:w="2880"/>
          </w:tcPr>
          <w:p>
            <w:r>
              <w:rPr>
                <w:rFonts w:ascii="Calibri" w:hAnsi="Calibri"/>
                <w:sz w:val="18"/>
              </w:rPr>
              <w:t>C</w:t>
            </w:r>
          </w:p>
        </w:tc>
        <w:tc>
          <w:tcPr>
            <w:tcW w:type="dxa" w:w="2880"/>
          </w:tcPr>
          <w:p>
            <w:r>
              <w:rPr>
                <w:rFonts w:ascii="Calibri" w:hAnsi="Calibri"/>
                <w:sz w:val="18"/>
              </w:rPr>
              <w:t>Scanner engine wijst "Basis" toe in niveaubepaling, maar CMR-subroutine detecteert Repr. 2 → C. Beide waarden verschijnen in het document. Dit is een LOGISCHE FOUT in de engine: de niveaubepaling-module en CMR-module zijn niet gesynchroniseerd.</w:t>
            </w:r>
          </w:p>
        </w:tc>
      </w:tr>
      <w:tr>
        <w:tc>
          <w:tcPr>
            <w:tcW w:type="dxa" w:w="2880"/>
          </w:tcPr>
          <w:p>
            <w:r>
              <w:rPr>
                <w:rFonts w:ascii="Calibri" w:hAnsi="Calibri"/>
                <w:sz w:val="18"/>
              </w:rPr>
              <w:t>Geaggregeerd niveau: C→A (contradictie)</w:t>
            </w:r>
          </w:p>
        </w:tc>
        <w:tc>
          <w:tcPr>
            <w:tcW w:type="dxa" w:w="2880"/>
          </w:tcPr>
          <w:p>
            <w:r>
              <w:rPr>
                <w:rFonts w:ascii="Calibri" w:hAnsi="Calibri"/>
                <w:sz w:val="18"/>
              </w:rPr>
              <w:t>C</w:t>
            </w:r>
          </w:p>
        </w:tc>
        <w:tc>
          <w:tcPr>
            <w:tcW w:type="dxa" w:w="2880"/>
          </w:tcPr>
          <w:p>
            <w:r>
              <w:rPr>
                <w:rFonts w:ascii="Calibri" w:hAnsi="Calibri"/>
                <w:sz w:val="18"/>
              </w:rPr>
              <w:t>v6.0 §3.3 zegt "A", §8 zegt "C". De engine berekent het geaggregeerde niveau verkeerd in de samenvatting, maar de CMR-toetsing-output is correct. Programmafout in aggregatie-logica.</w:t>
            </w:r>
          </w:p>
        </w:tc>
      </w:tr>
      <w:tr>
        <w:tc>
          <w:tcPr>
            <w:tcW w:type="dxa" w:w="2880"/>
          </w:tcPr>
          <w:p>
            <w:r>
              <w:rPr>
                <w:rFonts w:ascii="Calibri" w:hAnsi="Calibri"/>
                <w:sz w:val="18"/>
              </w:rPr>
              <w:t>Sodium metavanadate: H341 ontbreekt</w:t>
            </w:r>
          </w:p>
        </w:tc>
        <w:tc>
          <w:tcPr>
            <w:tcW w:type="dxa" w:w="2880"/>
          </w:tcPr>
          <w:p>
            <w:r>
              <w:rPr>
                <w:rFonts w:ascii="Calibri" w:hAnsi="Calibri"/>
                <w:sz w:val="18"/>
              </w:rPr>
              <w:t>D</w:t>
            </w:r>
          </w:p>
        </w:tc>
        <w:tc>
          <w:tcPr>
            <w:tcW w:type="dxa" w:w="2880"/>
          </w:tcPr>
          <w:p>
            <w:r>
              <w:rPr>
                <w:rFonts w:ascii="Calibri" w:hAnsi="Calibri"/>
                <w:sz w:val="18"/>
              </w:rPr>
              <w:t>v6.0 stoffenlijst-tabel bevat H341 niet, maar CMR-toetsing vermeldt alleen Repr. 2. H341 (Muta. 2) was een correctie op de oorspronkelijke lijst. v6.0 lijkt deze correctie niet door te voeren in de hoofdtabel.</w:t>
            </w:r>
          </w:p>
        </w:tc>
      </w:tr>
      <w:tr>
        <w:tc>
          <w:tcPr>
            <w:tcW w:type="dxa" w:w="2880"/>
          </w:tcPr>
          <w:p>
            <w:r>
              <w:rPr>
                <w:rFonts w:ascii="Calibri" w:hAnsi="Calibri"/>
                <w:sz w:val="18"/>
              </w:rPr>
              <w:t>Opslagindeling 3 vakken ontbreekt</w:t>
            </w:r>
          </w:p>
        </w:tc>
        <w:tc>
          <w:tcPr>
            <w:tcW w:type="dxa" w:w="2880"/>
          </w:tcPr>
          <w:p>
            <w:r>
              <w:rPr>
                <w:rFonts w:ascii="Calibri" w:hAnsi="Calibri"/>
                <w:sz w:val="18"/>
              </w:rPr>
              <w:t>E</w:t>
            </w:r>
          </w:p>
        </w:tc>
        <w:tc>
          <w:tcPr>
            <w:tcW w:type="dxa" w:w="2880"/>
          </w:tcPr>
          <w:p>
            <w:r>
              <w:rPr>
                <w:rFonts w:ascii="Calibri" w:hAnsi="Calibri"/>
                <w:sz w:val="18"/>
              </w:rPr>
              <w:t>v6.0 bevat geen opslagadvies, vakverdeling of scheidingsadvies. Dit is een structureel verschil — de Scanner Engine genereert alleen niveaubepaling, geen operationeel opslagadvies.</w:t>
            </w:r>
          </w:p>
        </w:tc>
      </w:tr>
      <w:tr>
        <w:tc>
          <w:tcPr>
            <w:tcW w:type="dxa" w:w="2880"/>
          </w:tcPr>
          <w:p>
            <w:r>
              <w:rPr>
                <w:rFonts w:ascii="Calibri" w:hAnsi="Calibri"/>
                <w:sz w:val="18"/>
              </w:rPr>
              <w:t>WBDBO: 60→30 min</w:t>
            </w:r>
          </w:p>
        </w:tc>
        <w:tc>
          <w:tcPr>
            <w:tcW w:type="dxa" w:w="2880"/>
          </w:tcPr>
          <w:p>
            <w:r>
              <w:rPr>
                <w:rFonts w:ascii="Calibri" w:hAnsi="Calibri"/>
                <w:sz w:val="18"/>
              </w:rPr>
              <w:t>B</w:t>
            </w:r>
          </w:p>
        </w:tc>
        <w:tc>
          <w:tcPr>
            <w:tcW w:type="dxa" w:w="2880"/>
          </w:tcPr>
          <w:p>
            <w:r>
              <w:rPr>
                <w:rFonts w:ascii="Calibri" w:hAnsi="Calibri"/>
                <w:sz w:val="18"/>
              </w:rPr>
              <w:t>v5.0 stelt 60 min dragend vereist (Niveau C interpretatie). v6.0 stelt M21 ≥30 min. PGS 15:2025 vereist voor Niveau C inderdaad 60 min (WE₁₀₀₅₀). v5.0 is hier correcter.</w:t>
            </w:r>
          </w:p>
        </w:tc>
      </w:tr>
    </w:tbl>
    <w:p>
      <w:pPr>
        <w:pStyle w:val="Heading1"/>
      </w:pPr>
      <w:r>
        <w:t>7. Impact Assessment</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003366" w:val="clear"/>
          </w:tcPr>
          <w:p>
            <w:r>
              <w:rPr>
                <w:rFonts w:ascii="Calibri" w:hAnsi="Calibri"/>
                <w:b/>
                <w:color w:val="FFFFFF"/>
                <w:sz w:val="18"/>
              </w:rPr>
              <w:t>Verschil</w:t>
            </w:r>
          </w:p>
        </w:tc>
        <w:tc>
          <w:tcPr>
            <w:tcW w:type="dxa" w:w="2880"/>
            <w:shd w:fill="003366" w:val="clear"/>
          </w:tcPr>
          <w:p>
            <w:r>
              <w:rPr>
                <w:rFonts w:ascii="Calibri" w:hAnsi="Calibri"/>
                <w:b/>
                <w:color w:val="FFFFFF"/>
                <w:sz w:val="18"/>
              </w:rPr>
              <w:t>Impact</w:t>
            </w:r>
          </w:p>
        </w:tc>
        <w:tc>
          <w:tcPr>
            <w:tcW w:type="dxa" w:w="2880"/>
            <w:shd w:fill="003366" w:val="clear"/>
          </w:tcPr>
          <w:p>
            <w:r>
              <w:rPr>
                <w:rFonts w:ascii="Calibri" w:hAnsi="Calibri"/>
                <w:b/>
                <w:color w:val="FFFFFF"/>
                <w:sz w:val="18"/>
              </w:rPr>
              <w:t>Toelichting</w:t>
            </w:r>
          </w:p>
        </w:tc>
      </w:tr>
      <w:tr>
        <w:tc>
          <w:tcPr>
            <w:tcW w:type="dxa" w:w="2880"/>
          </w:tcPr>
          <w:p>
            <w:r>
              <w:rPr>
                <w:rFonts w:ascii="Calibri" w:hAnsi="Calibri"/>
                <w:sz w:val="18"/>
              </w:rPr>
              <w:t>Vanadium electrolyte: Basis vs C</w:t>
            </w:r>
          </w:p>
        </w:tc>
        <w:tc>
          <w:tcPr>
            <w:tcW w:type="dxa" w:w="2880"/>
          </w:tcPr>
          <w:p>
            <w:r>
              <w:rPr>
                <w:rFonts w:ascii="Calibri" w:hAnsi="Calibri"/>
                <w:sz w:val="18"/>
              </w:rPr>
              <w:t>ONACCEPTABEL — KRITIEK</w:t>
            </w:r>
          </w:p>
        </w:tc>
        <w:tc>
          <w:tcPr>
            <w:tcW w:type="dxa" w:w="2880"/>
          </w:tcPr>
          <w:p>
            <w:r>
              <w:rPr>
                <w:rFonts w:ascii="Calibri" w:hAnsi="Calibri"/>
                <w:sz w:val="18"/>
              </w:rPr>
              <w:t>CMR Repr. 2 stof op "Basis" niveau negeert Arbobesluit art. 4.1 verplichtingen. Correct niveau is C.</w:t>
            </w:r>
          </w:p>
        </w:tc>
      </w:tr>
      <w:tr>
        <w:tc>
          <w:tcPr>
            <w:tcW w:type="dxa" w:w="2880"/>
          </w:tcPr>
          <w:p>
            <w:r>
              <w:rPr>
                <w:rFonts w:ascii="Calibri" w:hAnsi="Calibri"/>
                <w:sz w:val="18"/>
              </w:rPr>
              <w:t>Geaggregeerd niveau: A vs C</w:t>
            </w:r>
          </w:p>
        </w:tc>
        <w:tc>
          <w:tcPr>
            <w:tcW w:type="dxa" w:w="2880"/>
          </w:tcPr>
          <w:p>
            <w:r>
              <w:rPr>
                <w:rFonts w:ascii="Calibri" w:hAnsi="Calibri"/>
                <w:sz w:val="18"/>
              </w:rPr>
              <w:t>ONACCEPTABEL — KRITIEK</w:t>
            </w:r>
          </w:p>
        </w:tc>
        <w:tc>
          <w:tcPr>
            <w:tcW w:type="dxa" w:w="2880"/>
          </w:tcPr>
          <w:p>
            <w:r>
              <w:rPr>
                <w:rFonts w:ascii="Calibri" w:hAnsi="Calibri"/>
                <w:sz w:val="18"/>
              </w:rPr>
              <w:t>Als gebruiker §3.3 leest, wordt Niveau A verwacht. Dit leidt tot onvoldoende maatregelen voor een Carc. 1B locatie.</w:t>
            </w:r>
          </w:p>
        </w:tc>
      </w:tr>
      <w:tr>
        <w:tc>
          <w:tcPr>
            <w:tcW w:type="dxa" w:w="2880"/>
          </w:tcPr>
          <w:p>
            <w:r>
              <w:rPr>
                <w:rFonts w:ascii="Calibri" w:hAnsi="Calibri"/>
                <w:sz w:val="18"/>
              </w:rPr>
              <w:t>H₂O₂: B→C (verkeerde Acute Tox.)</w:t>
            </w:r>
          </w:p>
        </w:tc>
        <w:tc>
          <w:tcPr>
            <w:tcW w:type="dxa" w:w="2880"/>
          </w:tcPr>
          <w:p>
            <w:r>
              <w:rPr>
                <w:rFonts w:ascii="Calibri" w:hAnsi="Calibri"/>
                <w:sz w:val="18"/>
              </w:rPr>
              <w:t>ONACCEPTABEL — KRITIEK</w:t>
            </w:r>
          </w:p>
        </w:tc>
        <w:tc>
          <w:tcPr>
            <w:tcW w:type="dxa" w:w="2880"/>
          </w:tcPr>
          <w:p>
            <w:r>
              <w:rPr>
                <w:rFonts w:ascii="Calibri" w:hAnsi="Calibri"/>
                <w:sz w:val="18"/>
              </w:rPr>
              <w:t>Engine leest H302 als Acute Tox. 3 i.p.v. 4. Resultaat (C) is strenger dan nodig, dus aan veilige kant — MAAR de onderbouwing is feitelijk fout.</w:t>
            </w:r>
          </w:p>
        </w:tc>
      </w:tr>
      <w:tr>
        <w:tc>
          <w:tcPr>
            <w:tcW w:type="dxa" w:w="2880"/>
          </w:tcPr>
          <w:p>
            <w:r>
              <w:rPr>
                <w:rFonts w:ascii="Calibri" w:hAnsi="Calibri"/>
                <w:sz w:val="18"/>
              </w:rPr>
              <w:t>Na₂S₂O₈: B→C (verkeerde Acute Tox.)</w:t>
            </w:r>
          </w:p>
        </w:tc>
        <w:tc>
          <w:tcPr>
            <w:tcW w:type="dxa" w:w="2880"/>
          </w:tcPr>
          <w:p>
            <w:r>
              <w:rPr>
                <w:rFonts w:ascii="Calibri" w:hAnsi="Calibri"/>
                <w:sz w:val="18"/>
              </w:rPr>
              <w:t>ONACCEPTABEL — KRITIEK</w:t>
            </w:r>
          </w:p>
        </w:tc>
        <w:tc>
          <w:tcPr>
            <w:tcW w:type="dxa" w:w="2880"/>
          </w:tcPr>
          <w:p>
            <w:r>
              <w:rPr>
                <w:rFonts w:ascii="Calibri" w:hAnsi="Calibri"/>
                <w:sz w:val="18"/>
              </w:rPr>
              <w:t>Zelfde fout als H₂O₂. Niveau C is conservatiever dan nodig, maar de rationale is onjuist.</w:t>
            </w:r>
          </w:p>
        </w:tc>
      </w:tr>
      <w:tr>
        <w:tc>
          <w:tcPr>
            <w:tcW w:type="dxa" w:w="2880"/>
          </w:tcPr>
          <w:p>
            <w:r>
              <w:rPr>
                <w:rFonts w:ascii="Calibri" w:hAnsi="Calibri"/>
                <w:sz w:val="18"/>
              </w:rPr>
              <w:t>Sulfuric acid: B→Buiten scope</w:t>
            </w:r>
          </w:p>
        </w:tc>
        <w:tc>
          <w:tcPr>
            <w:tcW w:type="dxa" w:w="2880"/>
          </w:tcPr>
          <w:p>
            <w:r>
              <w:rPr>
                <w:rFonts w:ascii="Calibri" w:hAnsi="Calibri"/>
                <w:sz w:val="18"/>
              </w:rPr>
              <w:t>MEDIUM — VERDER ONDERZOEK</w:t>
            </w:r>
          </w:p>
        </w:tc>
        <w:tc>
          <w:tcPr>
            <w:tcW w:type="dxa" w:w="2880"/>
          </w:tcPr>
          <w:p>
            <w:r>
              <w:rPr>
                <w:rFonts w:ascii="Calibri" w:hAnsi="Calibri"/>
                <w:sz w:val="18"/>
              </w:rPr>
              <w:t>150 kg ADR 8 PG II kan inderdaad onder Tabel 6 ondergrens vallen. Vereist verificatie tegen PGS 15:2025 Tabel 6 specifieke drempelwaarden.</w:t>
            </w:r>
          </w:p>
        </w:tc>
      </w:tr>
      <w:tr>
        <w:tc>
          <w:tcPr>
            <w:tcW w:type="dxa" w:w="2880"/>
          </w:tcPr>
          <w:p>
            <w:r>
              <w:rPr>
                <w:rFonts w:ascii="Calibri" w:hAnsi="Calibri"/>
                <w:sz w:val="18"/>
              </w:rPr>
              <w:t>HCl: B→Buiten scope</w:t>
            </w:r>
          </w:p>
        </w:tc>
        <w:tc>
          <w:tcPr>
            <w:tcW w:type="dxa" w:w="2880"/>
          </w:tcPr>
          <w:p>
            <w:r>
              <w:rPr>
                <w:rFonts w:ascii="Calibri" w:hAnsi="Calibri"/>
                <w:sz w:val="18"/>
              </w:rPr>
              <w:t>MEDIUM — VERDER ONDERZOEK</w:t>
            </w:r>
          </w:p>
        </w:tc>
        <w:tc>
          <w:tcPr>
            <w:tcW w:type="dxa" w:w="2880"/>
          </w:tcPr>
          <w:p>
            <w:r>
              <w:rPr>
                <w:rFonts w:ascii="Calibri" w:hAnsi="Calibri"/>
                <w:sz w:val="18"/>
              </w:rPr>
              <w:t>Zelfde als Sulfuric acid.</w:t>
            </w:r>
          </w:p>
        </w:tc>
      </w:tr>
      <w:tr>
        <w:tc>
          <w:tcPr>
            <w:tcW w:type="dxa" w:w="2880"/>
          </w:tcPr>
          <w:p>
            <w:r>
              <w:rPr>
                <w:rFonts w:ascii="Calibri" w:hAnsi="Calibri"/>
                <w:sz w:val="18"/>
              </w:rPr>
              <w:t>NaAlO₂: PG II→III + B→Buiten scope</w:t>
            </w:r>
          </w:p>
        </w:tc>
        <w:tc>
          <w:tcPr>
            <w:tcW w:type="dxa" w:w="2880"/>
          </w:tcPr>
          <w:p>
            <w:r>
              <w:rPr>
                <w:rFonts w:ascii="Calibri" w:hAnsi="Calibri"/>
                <w:sz w:val="18"/>
              </w:rPr>
              <w:t>MEDIUM</w:t>
            </w:r>
          </w:p>
        </w:tc>
        <w:tc>
          <w:tcPr>
            <w:tcW w:type="dxa" w:w="2880"/>
          </w:tcPr>
          <w:p>
            <w:r>
              <w:rPr>
                <w:rFonts w:ascii="Calibri" w:hAnsi="Calibri"/>
                <w:sz w:val="18"/>
              </w:rPr>
              <w:t>PG-wijziging beïnvloedt niveau. Bronverificatie nodig: is PG II of PG III correct?</w:t>
            </w:r>
          </w:p>
        </w:tc>
      </w:tr>
      <w:tr>
        <w:tc>
          <w:tcPr>
            <w:tcW w:type="dxa" w:w="2880"/>
          </w:tcPr>
          <w:p>
            <w:r>
              <w:rPr>
                <w:rFonts w:ascii="Calibri" w:hAnsi="Calibri"/>
                <w:sz w:val="18"/>
              </w:rPr>
              <w:t>UN-nummers ontbreken in v6.0</w:t>
            </w:r>
          </w:p>
        </w:tc>
        <w:tc>
          <w:tcPr>
            <w:tcW w:type="dxa" w:w="2880"/>
          </w:tcPr>
          <w:p>
            <w:r>
              <w:rPr>
                <w:rFonts w:ascii="Calibri" w:hAnsi="Calibri"/>
                <w:sz w:val="18"/>
              </w:rPr>
              <w:t>COSMETISCH</w:t>
            </w:r>
          </w:p>
        </w:tc>
        <w:tc>
          <w:tcPr>
            <w:tcW w:type="dxa" w:w="2880"/>
          </w:tcPr>
          <w:p>
            <w:r>
              <w:rPr>
                <w:rFonts w:ascii="Calibri" w:hAnsi="Calibri"/>
                <w:sz w:val="18"/>
              </w:rPr>
              <w:t>Geen invloed op niveau, wel op volledigheid.</w:t>
            </w:r>
          </w:p>
        </w:tc>
      </w:tr>
      <w:tr>
        <w:tc>
          <w:tcPr>
            <w:tcW w:type="dxa" w:w="2880"/>
          </w:tcPr>
          <w:p>
            <w:r>
              <w:rPr>
                <w:rFonts w:ascii="Calibri" w:hAnsi="Calibri"/>
                <w:sz w:val="18"/>
              </w:rPr>
              <w:t>Opslagindeling ontbreekt in v6.0</w:t>
            </w:r>
          </w:p>
        </w:tc>
        <w:tc>
          <w:tcPr>
            <w:tcW w:type="dxa" w:w="2880"/>
          </w:tcPr>
          <w:p>
            <w:r>
              <w:rPr>
                <w:rFonts w:ascii="Calibri" w:hAnsi="Calibri"/>
                <w:sz w:val="18"/>
              </w:rPr>
              <w:t>MEDIUM — FUNCTIONEEL</w:t>
            </w:r>
          </w:p>
        </w:tc>
        <w:tc>
          <w:tcPr>
            <w:tcW w:type="dxa" w:w="2880"/>
          </w:tcPr>
          <w:p>
            <w:r>
              <w:rPr>
                <w:rFonts w:ascii="Calibri" w:hAnsi="Calibri"/>
                <w:sz w:val="18"/>
              </w:rPr>
              <w:t>v6.0 is geen compleet document voor praktische uitvoering zonder opslagadvies.</w:t>
            </w:r>
          </w:p>
        </w:tc>
      </w:tr>
      <w:tr>
        <w:tc>
          <w:tcPr>
            <w:tcW w:type="dxa" w:w="2880"/>
          </w:tcPr>
          <w:p>
            <w:r>
              <w:rPr>
                <w:rFonts w:ascii="Calibri" w:hAnsi="Calibri"/>
                <w:sz w:val="18"/>
              </w:rPr>
              <w:t>WBDBO 60→30 min</w:t>
            </w:r>
          </w:p>
        </w:tc>
        <w:tc>
          <w:tcPr>
            <w:tcW w:type="dxa" w:w="2880"/>
          </w:tcPr>
          <w:p>
            <w:r>
              <w:rPr>
                <w:rFonts w:ascii="Calibri" w:hAnsi="Calibri"/>
                <w:sz w:val="18"/>
              </w:rPr>
              <w:t>MEDIUM</w:t>
            </w:r>
          </w:p>
        </w:tc>
        <w:tc>
          <w:tcPr>
            <w:tcW w:type="dxa" w:w="2880"/>
          </w:tcPr>
          <w:p>
            <w:r>
              <w:rPr>
                <w:rFonts w:ascii="Calibri" w:hAnsi="Calibri"/>
                <w:sz w:val="18"/>
              </w:rPr>
              <w:t>v6.0 stelt 30 min (M21 minimum) i.p.v. 60 min (Niveau C vereiste). Verschil beïnvloedt constructieve eisen.</w:t>
            </w:r>
          </w:p>
        </w:tc>
      </w:tr>
    </w:tbl>
    <w:p>
      <w:pPr>
        <w:pStyle w:val="Heading1"/>
      </w:pPr>
      <w:r>
        <w:t>8. Aanbevelingen</w:t>
      </w:r>
    </w:p>
    <w:p>
      <w:pPr>
        <w:pStyle w:val="Heading2"/>
      </w:pPr>
      <w:r>
        <w:t>8.1 Leidend document</w:t>
      </w:r>
    </w:p>
    <w:p>
      <w:r>
        <w:rPr>
          <w:rFonts w:ascii="Calibri" w:hAnsi="Calibri"/>
          <w:b w:val="0"/>
          <w:sz w:val="22"/>
        </w:rPr>
        <w:t>v5.0 is het leidend document voor praktische uitvoering. Het bevat de operationele opslagindeling, scheidingsadviezen, CMR-maatregelen per stof en prioriteitslijst. v6.0 kan dienen als validatie-instrument MITS de Scanner Engine is gecorrigeerd.</w:t>
      </w:r>
    </w:p>
    <w:p>
      <w:pPr>
        <w:pStyle w:val="Heading2"/>
      </w:pPr>
      <w:r>
        <w:t>8.2 Vereiste correcties Scanner Engine</w:t>
      </w:r>
    </w:p>
    <w:p>
      <w:r>
        <w:rPr>
          <w:rFonts w:ascii="Calibri" w:hAnsi="Calibri"/>
          <w:b w:val="0"/>
          <w:sz w:val="22"/>
        </w:rPr>
        <w:t>De PGS-15 Scanner Engine (pgs15_compliance_engine_v1.py) vereist correctie op minimaal de volgende punten:</w:t>
      </w:r>
    </w:p>
    <w:p>
      <w:r>
        <w:rPr>
          <w:rFonts w:ascii="Calibri" w:hAnsi="Calibri"/>
          <w:b w:val="0"/>
          <w:sz w:val="22"/>
        </w:rPr>
        <w:t>1. H302/H332 interpretatie: H302 = Acute Tox. 4 (oraal), H332 = Acute Tox. 4 (inhalatie). NIET Acute Tox. 3. Dit moet worden gecorrigeerd in de Acute Toxiciteits-module.</w:t>
      </w:r>
    </w:p>
    <w:p>
      <w:r>
        <w:rPr>
          <w:rFonts w:ascii="Calibri" w:hAnsi="Calibri"/>
          <w:b w:val="0"/>
          <w:sz w:val="22"/>
        </w:rPr>
        <w:t>2. Niveaubepaling vs CMR-route synchronisatie: De engine moet eerst CMR-check uitvoeren en het CMR-niveau laten prevaleren boven de standaard niveaubepaling. Vanadium electrolyte (Repr. 2) moet Niveau C krijgen, NIET "Basis".</w:t>
      </w:r>
    </w:p>
    <w:p>
      <w:r>
        <w:rPr>
          <w:rFonts w:ascii="Calibri" w:hAnsi="Calibri"/>
          <w:b w:val="0"/>
          <w:sz w:val="22"/>
        </w:rPr>
        <w:t>3. Geaggregeerd niveau berekening: §3.3 samenvatting moet het hoogste niveau uit de individuele toetsingen gebruiken, inclusief CMR-resultaten. "A" is incorrect wanneer er CMR-stoffen met Niveau C zijn.</w:t>
      </w:r>
    </w:p>
    <w:p>
      <w:r>
        <w:rPr>
          <w:rFonts w:ascii="Calibri" w:hAnsi="Calibri"/>
          <w:b w:val="0"/>
          <w:sz w:val="22"/>
        </w:rPr>
        <w:t>4. Consistente H-code verwerking: H341 (Muta. 2) moet worden overgenomen uit de stoffenlijst in alle modules (niveaubepaling, CMR-toetsing, stoffenoverzicht tabel).</w:t>
      </w:r>
    </w:p>
    <w:p>
      <w:pPr>
        <w:pStyle w:val="Heading2"/>
      </w:pPr>
      <w:r>
        <w:t>8.3 Verificatie vereist</w:t>
      </w:r>
    </w:p>
    <w:p>
      <w:r>
        <w:rPr>
          <w:rFonts w:ascii="Calibri" w:hAnsi="Calibri"/>
          <w:b w:val="0"/>
          <w:sz w:val="22"/>
        </w:rPr>
        <w:t>De volgende punten vereisen handmatige verificatie tegen PGS 15:2025 Tabel 6:</w:t>
      </w:r>
    </w:p>
    <w:p>
      <w:r>
        <w:rPr>
          <w:rFonts w:ascii="Calibri" w:hAnsi="Calibri"/>
          <w:b w:val="0"/>
          <w:sz w:val="22"/>
        </w:rPr>
        <w:t>• Ondergrens ADR 8 PG II bij 150 kg — is dit daadwerkelijk "buiten scope" of Niveau B?</w:t>
      </w:r>
    </w:p>
    <w:p>
      <w:r>
        <w:rPr>
          <w:rFonts w:ascii="Calibri" w:hAnsi="Calibri"/>
          <w:b w:val="0"/>
          <w:sz w:val="22"/>
        </w:rPr>
        <w:t>• Ondergrens ADR 8 PG III bij 150 kg (NaAlO₂) — idem</w:t>
      </w:r>
    </w:p>
    <w:p>
      <w:r>
        <w:rPr>
          <w:rFonts w:ascii="Calibri" w:hAnsi="Calibri"/>
          <w:b w:val="0"/>
          <w:sz w:val="22"/>
        </w:rPr>
        <w:t>• Sodium aluminate: PG II (SDS) vs PG III (NEW v6 lijst) — welke is autoritatief?</w:t>
      </w:r>
    </w:p>
    <w:p>
      <w:pPr>
        <w:pStyle w:val="Heading2"/>
      </w:pPr>
      <w:r>
        <w:t>8.4 Impact op andere projectdocumenten</w:t>
      </w:r>
    </w:p>
    <w:p>
      <w:r>
        <w:rPr>
          <w:rFonts w:ascii="Calibri" w:hAnsi="Calibri"/>
          <w:b w:val="0"/>
          <w:sz w:val="22"/>
        </w:rPr>
        <w:t>Indien de Scanner Engine wordt gecorrigeerd:</w:t>
      </w:r>
    </w:p>
    <w:p>
      <w:r>
        <w:rPr>
          <w:rFonts w:ascii="Calibri" w:hAnsi="Calibri"/>
          <w:b w:val="0"/>
          <w:sz w:val="22"/>
        </w:rPr>
        <w:t>• v6.0 moet volledig worden hergegenereerd</w:t>
      </w:r>
    </w:p>
    <w:p>
      <w:r>
        <w:rPr>
          <w:rFonts w:ascii="Calibri" w:hAnsi="Calibri"/>
          <w:b w:val="0"/>
          <w:sz w:val="22"/>
        </w:rPr>
        <w:t>• Het Meta-Dossier Pilot Plant moet worden geüpdatet met de NEW v6 stoffenlijst indien deze afwijkt</w:t>
      </w:r>
    </w:p>
    <w:p>
      <w:r>
        <w:rPr>
          <w:rFonts w:ascii="Calibri" w:hAnsi="Calibri"/>
          <w:b w:val="0"/>
          <w:sz w:val="22"/>
        </w:rPr>
        <w:t>• De RI&amp;E moet aansluiten bij het leidende document (v5.0 + correcties)</w:t>
      </w:r>
    </w:p>
    <w:p>
      <w:r>
        <w:rPr>
          <w:rFonts w:ascii="Calibri" w:hAnsi="Calibri"/>
          <w:b w:val="0"/>
          <w:sz w:val="22"/>
        </w:rPr>
        <w:t>• BVR/Seveso toetsing moet opnieuw worden uitgevoerd met geverifieerde hoeveelheden</w:t>
      </w:r>
    </w:p>
    <w:p>
      <w:pPr>
        <w:pStyle w:val="Heading1"/>
      </w:pPr>
      <w:r>
        <w:t>9. Bronverwijzingen</w:t>
      </w:r>
    </w:p>
    <w:p>
      <w:r>
        <w:rPr>
          <w:rFonts w:ascii="Calibri" w:hAnsi="Calibri"/>
          <w:b w:val="0"/>
          <w:sz w:val="22"/>
        </w:rPr>
        <w:t>[1] PGS 15 Compliance Toetsing v5.0 — Kas/HSEQ Division, 6 mei 2026 (320 alinea's, 11 tabellen)</w:t>
      </w:r>
    </w:p>
    <w:p>
      <w:r>
        <w:rPr>
          <w:rFonts w:ascii="Calibri" w:hAnsi="Calibri"/>
          <w:b w:val="0"/>
          <w:sz w:val="22"/>
        </w:rPr>
        <w:t>[2] PGS 15 Compliance Toetsing Scanner Validatie v6.0 — PGS-15 Engine, 7 mei 2026 (171 alinea's, 17 tabellen)</w:t>
      </w:r>
    </w:p>
    <w:p>
      <w:r>
        <w:rPr>
          <w:rFonts w:ascii="Calibri" w:hAnsi="Calibri"/>
          <w:b w:val="0"/>
          <w:sz w:val="22"/>
        </w:rPr>
        <w:t>[3] PGS 15:2025 — Publicatie 565, maart 2025. Ministerie van I&amp;W.</w:t>
      </w:r>
    </w:p>
    <w:p>
      <w:r>
        <w:rPr>
          <w:rFonts w:ascii="Calibri" w:hAnsi="Calibri"/>
          <w:b w:val="0"/>
          <w:sz w:val="22"/>
        </w:rPr>
        <w:t>[4] CLP Verordening (EG) Nr. 1272/2008 — Classificatie, etikettering en verpakking.</w:t>
      </w:r>
    </w:p>
    <w:p>
      <w:r>
        <w:rPr>
          <w:rFonts w:ascii="Calibri" w:hAnsi="Calibri"/>
          <w:b w:val="0"/>
          <w:sz w:val="22"/>
        </w:rPr>
        <w:t>[5] ADR 2025 — Europees Akoord betreffende het internationaal vervoer van gevaarlijke goederen.</w:t>
      </w:r>
    </w:p>
    <w:p>
      <w:r>
        <w:rPr>
          <w:rFonts w:ascii="Calibri" w:hAnsi="Calibri"/>
          <w:b w:val="0"/>
          <w:sz w:val="22"/>
        </w:rPr>
        <w:t>[6] Arbobesluit — Artikel 4.1 (CMR-stoffen), Artikel 3.17, Artikel 18.</w:t>
      </w:r>
    </w:p>
    <w:p>
      <w:r>
        <w:rPr>
          <w:rFonts w:ascii="Calibri" w:hAnsi="Calibri"/>
          <w:b w:val="0"/>
          <w:sz w:val="22"/>
        </w:rPr>
        <w:t>[7] Brzo 2015 / Seveso III — Drempelwaarden gevaarlijke stoffen.</w:t>
      </w:r>
    </w:p>
    <w:p>
      <w:r>
        <w:rPr>
          <w:rFonts w:ascii="Calibri" w:hAnsi="Calibri"/>
          <w:b w:val="0"/>
          <w:sz w:val="22"/>
        </w:rPr>
        <w:t>[8] Meta-Dossier Pilot Plant v5.0 — Phoenix Metals B.V.</w:t>
      </w:r>
    </w:p>
    <w:p>
      <w:r>
        <w:rPr>
          <w:rFonts w:ascii="Calibri" w:hAnsi="Calibri"/>
          <w:b w:val="0"/>
          <w:sz w:val="22"/>
        </w:rPr>
        <w:t>[9] List of chemicals used NEW v6 — Phoenix Metals B.V.</w:t>
      </w:r>
    </w:p>
    <w:p>
      <w:r>
        <w:rPr>
          <w:rFonts w:ascii="Calibri" w:hAnsi="Calibri"/>
          <w:b w:val="0"/>
          <w:sz w:val="22"/>
        </w:rPr>
        <w:t>[10] PGS-15 Compliance Engine v1 (pgs15_compliance_engine_v1.py) — JvG Consultancy.</w:t>
      </w:r>
    </w:p>
    <w:p/>
    <w:p>
      <w:pPr>
        <w:jc w:val="center"/>
      </w:pPr>
      <w:r>
        <w:rPr>
          <w:color w:val="808080"/>
          <w:sz w:val="18"/>
        </w:rPr>
        <w:t>JvG Consultancy | Safety • Governance • Advisory | © 2026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