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jc w:val="center"/>
      </w:pPr>
      <w:r>
        <w:drawing>
          <wp:inline xmlns:a="http://schemas.openxmlformats.org/drawingml/2006/main" xmlns:pic="http://schemas.openxmlformats.org/drawingml/2006/picture">
            <wp:extent cx="2286000" cy="2049517"/>
            <wp:docPr id="1" name="Picture 1"/>
            <wp:cNvGraphicFramePr>
              <a:graphicFrameLocks noChangeAspect="1"/>
            </wp:cNvGraphicFramePr>
            <a:graphic>
              <a:graphicData uri="http://schemas.openxmlformats.org/drawingml/2006/picture">
                <pic:pic>
                  <pic:nvPicPr>
                    <pic:cNvPr id="0" name="jvg-consultancy-logo.jpg"/>
                    <pic:cNvPicPr/>
                  </pic:nvPicPr>
                  <pic:blipFill>
                    <a:blip r:embed="rId11"/>
                    <a:stretch>
                      <a:fillRect/>
                    </a:stretch>
                  </pic:blipFill>
                  <pic:spPr>
                    <a:xfrm>
                      <a:off x="0" y="0"/>
                      <a:ext cx="2286000" cy="2049517"/>
                    </a:xfrm>
                    <a:prstGeom prst="rect"/>
                  </pic:spPr>
                </pic:pic>
              </a:graphicData>
            </a:graphic>
          </wp:inline>
        </w:drawing>
      </w:r>
    </w:p>
    <w:p>
      <w:pPr>
        <w:jc w:val="center"/>
      </w:pPr>
      <w:r>
        <w:rPr>
          <w:rFonts w:ascii="Calibri" w:hAnsi="Calibri"/>
          <w:b/>
          <w:color w:val="003366"/>
          <w:sz w:val="64"/>
        </w:rPr>
        <w:t>PGS-15 STUDIEGIDS</w:t>
      </w:r>
    </w:p>
    <w:p>
      <w:pPr>
        <w:jc w:val="center"/>
      </w:pPr>
      <w:r>
        <w:rPr>
          <w:rFonts w:ascii="Calibri" w:hAnsi="Calibri"/>
          <w:color w:val="374151"/>
          <w:sz w:val="32"/>
        </w:rPr>
        <w:t>Voor Medewerkers zonder HSEQ-achtergrond</w:t>
      </w:r>
    </w:p>
    <w:p>
      <w:pPr>
        <w:jc w:val="center"/>
      </w:pPr>
      <w:r>
        <w:rPr>
          <w:rFonts w:ascii="Calibri" w:hAnsi="Calibri"/>
          <w:b/>
          <w:color w:val="003366"/>
          <w:sz w:val="28"/>
        </w:rPr>
        <w:t>Phoenix Metals IJmuiden</w:t>
      </w:r>
    </w:p>
    <w:p/>
    <w:tbl>
      <w:tblPr>
        <w:tblW w:type="auto" w:w="0"/>
        <w:jc w:val="center"/>
        <w:tblLook w:firstColumn="1" w:firstRow="1" w:lastColumn="0" w:lastRow="0" w:noHBand="0" w:noVBand="1" w:val="04A0"/>
      </w:tblPr>
      <w:tblGrid>
        <w:gridCol w:w="4703"/>
        <w:gridCol w:w="4703"/>
      </w:tblGrid>
      <w:tr>
        <w:tc>
          <w:tcPr>
            <w:tcW w:type="dxa" w:w="4703"/>
            <w:shd w:fill="003366"/>
          </w:tcPr>
          <w:p>
            <w:r/>
            <w:r>
              <w:rPr>
                <w:rFonts w:ascii="Calibri" w:hAnsi="Calibri"/>
                <w:b/>
                <w:color w:val="FFFFFF"/>
                <w:sz w:val="20"/>
              </w:rPr>
              <w:t>Project</w:t>
            </w:r>
          </w:p>
        </w:tc>
        <w:tc>
          <w:tcPr>
            <w:tcW w:type="dxa" w:w="4703"/>
          </w:tcPr>
          <w:p>
            <w:r/>
            <w:r>
              <w:rPr>
                <w:rFonts w:ascii="Calibri" w:hAnsi="Calibri"/>
                <w:color w:val="1F2937"/>
                <w:sz w:val="20"/>
              </w:rPr>
              <w:t>PGS-15 Compliance Phoenix Metals</w:t>
            </w:r>
          </w:p>
        </w:tc>
      </w:tr>
      <w:tr>
        <w:tc>
          <w:tcPr>
            <w:tcW w:type="dxa" w:w="4703"/>
            <w:shd w:fill="003366"/>
          </w:tcPr>
          <w:p>
            <w:r/>
            <w:r>
              <w:rPr>
                <w:rFonts w:ascii="Calibri" w:hAnsi="Calibri"/>
                <w:b/>
                <w:color w:val="FFFFFF"/>
                <w:sz w:val="20"/>
              </w:rPr>
              <w:t>Document</w:t>
            </w:r>
          </w:p>
        </w:tc>
        <w:tc>
          <w:tcPr>
            <w:tcW w:type="dxa" w:w="4703"/>
          </w:tcPr>
          <w:p>
            <w:r/>
            <w:r>
              <w:rPr>
                <w:rFonts w:ascii="Calibri" w:hAnsi="Calibri"/>
                <w:color w:val="1F2937"/>
                <w:sz w:val="20"/>
              </w:rPr>
              <w:t>Studiegids Non-Experts</w:t>
            </w:r>
          </w:p>
        </w:tc>
      </w:tr>
      <w:tr>
        <w:tc>
          <w:tcPr>
            <w:tcW w:type="dxa" w:w="4703"/>
            <w:shd w:fill="003366"/>
          </w:tcPr>
          <w:p>
            <w:r/>
            <w:r>
              <w:rPr>
                <w:rFonts w:ascii="Calibri" w:hAnsi="Calibri"/>
                <w:b/>
                <w:color w:val="FFFFFF"/>
                <w:sz w:val="20"/>
              </w:rPr>
              <w:t>Versie</w:t>
            </w:r>
          </w:p>
        </w:tc>
        <w:tc>
          <w:tcPr>
            <w:tcW w:type="dxa" w:w="4703"/>
          </w:tcPr>
          <w:p>
            <w:r/>
            <w:r>
              <w:rPr>
                <w:rFonts w:ascii="Calibri" w:hAnsi="Calibri"/>
                <w:color w:val="1F2937"/>
                <w:sz w:val="20"/>
              </w:rPr>
              <w:t>1.0</w:t>
            </w:r>
          </w:p>
        </w:tc>
      </w:tr>
      <w:tr>
        <w:tc>
          <w:tcPr>
            <w:tcW w:type="dxa" w:w="4703"/>
            <w:shd w:fill="003366"/>
          </w:tcPr>
          <w:p>
            <w:r/>
            <w:r>
              <w:rPr>
                <w:rFonts w:ascii="Calibri" w:hAnsi="Calibri"/>
                <w:b/>
                <w:color w:val="FFFFFF"/>
                <w:sz w:val="20"/>
              </w:rPr>
              <w:t>Datum</w:t>
            </w:r>
          </w:p>
        </w:tc>
        <w:tc>
          <w:tcPr>
            <w:tcW w:type="dxa" w:w="4703"/>
          </w:tcPr>
          <w:p>
            <w:r/>
            <w:r>
              <w:rPr>
                <w:rFonts w:ascii="Calibri" w:hAnsi="Calibri"/>
                <w:color w:val="1F2937"/>
                <w:sz w:val="20"/>
              </w:rPr>
              <w:t>26 april 2026</w:t>
            </w:r>
          </w:p>
        </w:tc>
      </w:tr>
      <w:tr>
        <w:tc>
          <w:tcPr>
            <w:tcW w:type="dxa" w:w="4703"/>
            <w:shd w:fill="003366"/>
          </w:tcPr>
          <w:p>
            <w:r/>
            <w:r>
              <w:rPr>
                <w:rFonts w:ascii="Calibri" w:hAnsi="Calibri"/>
                <w:b/>
                <w:color w:val="FFFFFF"/>
                <w:sz w:val="20"/>
              </w:rPr>
              <w:t>Auteur</w:t>
            </w:r>
          </w:p>
        </w:tc>
        <w:tc>
          <w:tcPr>
            <w:tcW w:type="dxa" w:w="4703"/>
          </w:tcPr>
          <w:p>
            <w:r/>
            <w:r>
              <w:rPr>
                <w:rFonts w:ascii="Calibri" w:hAnsi="Calibri"/>
                <w:color w:val="1F2937"/>
                <w:sz w:val="20"/>
              </w:rPr>
              <w:t>JvG Consultancy — HSEQ Divisie</w:t>
            </w:r>
          </w:p>
        </w:tc>
      </w:tr>
      <w:tr>
        <w:tc>
          <w:tcPr>
            <w:tcW w:type="dxa" w:w="4703"/>
            <w:shd w:fill="003366"/>
          </w:tcPr>
          <w:p>
            <w:r/>
            <w:r>
              <w:rPr>
                <w:rFonts w:ascii="Calibri" w:hAnsi="Calibri"/>
                <w:b/>
                <w:color w:val="FFFFFF"/>
                <w:sz w:val="20"/>
              </w:rPr>
              <w:t>Classificatie</w:t>
            </w:r>
          </w:p>
        </w:tc>
        <w:tc>
          <w:tcPr>
            <w:tcW w:type="dxa" w:w="4703"/>
          </w:tcPr>
          <w:p>
            <w:r/>
            <w:r>
              <w:rPr>
                <w:rFonts w:ascii="Calibri" w:hAnsi="Calibri"/>
                <w:color w:val="1F2937"/>
                <w:sz w:val="20"/>
              </w:rPr>
              <w:t>Vertrouwelijk — Intern gebruik</w:t>
            </w:r>
          </w:p>
        </w:tc>
      </w:tr>
    </w:tbl>
    <w:p/>
    <w:p>
      <w:pPr>
        <w:pBdr>
          <w:left w:val="single" w:sz="24" w:space="8" w:color="EF4444"/>
        </w:pBdr>
        <w:ind w:left="360" w:right="360"/>
      </w:pPr>
      <w:r>
        <w:rPr>
          <w:rFonts w:ascii="Calibri" w:hAnsi="Calibri"/>
          <w:b/>
          <w:color w:val="003366"/>
          <w:sz w:val="22"/>
        </w:rPr>
        <w:t xml:space="preserve">🔒 Vertrouwelijk: </w:t>
      </w:r>
      <w:r>
        <w:rPr>
          <w:rFonts w:ascii="Calibri" w:hAnsi="Calibri"/>
          <w:color w:val="1F2937"/>
          <w:sz w:val="22"/>
        </w:rPr>
        <w:t>Dit document is uitsluitend bestemd voor medewerkers van Phoenix Metals IJmuiden. Reproductie of distributie buiten de organisatie is niet toegestaan zonder schriftelijke toestemming van JvG Consultancy.</w:t>
      </w:r>
    </w:p>
    <w:p>
      <w:r>
        <w:br w:type="page"/>
      </w:r>
    </w:p>
    <w:p>
      <w:pPr>
        <w:pStyle w:val="Heading1"/>
      </w:pPr>
      <w:r>
        <w:rPr>
          <w:rFonts w:ascii="Calibri" w:hAnsi="Calibri"/>
          <w:color w:val="003366"/>
        </w:rPr>
        <w:t>Inhoudsopgave</w:t>
      </w:r>
    </w:p>
    <w:p>
      <w:pPr>
        <w:spacing w:after="80"/>
        <w:ind w:left="567"/>
      </w:pPr>
      <w:r>
        <w:t>1. Waarom deze studiegids?</w:t>
      </w:r>
    </w:p>
    <w:p>
      <w:pPr>
        <w:spacing w:after="80"/>
        <w:ind w:left="567"/>
      </w:pPr>
      <w:r>
        <w:t>2. Wat is PGS 15?</w:t>
      </w:r>
    </w:p>
    <w:p>
      <w:pPr>
        <w:spacing w:after="80"/>
        <w:ind w:left="567"/>
      </w:pPr>
      <w:r>
        <w:t>3. Welke stoffen heeft Phoenix Metals?</w:t>
      </w:r>
    </w:p>
    <w:p>
      <w:pPr>
        <w:spacing w:after="80"/>
        <w:ind w:left="567"/>
      </w:pPr>
      <w:r>
        <w:t>4. Wat zijn ADR-klassen?</w:t>
      </w:r>
    </w:p>
    <w:p>
      <w:pPr>
        <w:spacing w:after="80"/>
        <w:ind w:left="567"/>
      </w:pPr>
      <w:r>
        <w:t>5. Veiligheidsniveaus uitgelegd</w:t>
      </w:r>
    </w:p>
    <w:p>
      <w:pPr>
        <w:spacing w:after="80"/>
        <w:ind w:left="567"/>
      </w:pPr>
      <w:r>
        <w:t>6. De belangrijkste regel: Stoffenscheiding</w:t>
      </w:r>
    </w:p>
    <w:p>
      <w:pPr>
        <w:spacing w:after="80"/>
        <w:ind w:left="567"/>
      </w:pPr>
      <w:r>
        <w:t>7. Wat betekent dit voor jou als medewerker?</w:t>
      </w:r>
    </w:p>
    <w:p>
      <w:pPr>
        <w:spacing w:after="80"/>
        <w:ind w:left="567"/>
      </w:pPr>
      <w:r>
        <w:t>8. Wat te doen bij een incident</w:t>
      </w:r>
    </w:p>
    <w:p>
      <w:pPr>
        <w:spacing w:after="80"/>
        <w:ind w:left="567"/>
      </w:pPr>
      <w:r>
        <w:t>9. Woordenlijst</w:t>
      </w:r>
    </w:p>
    <w:p>
      <w:pPr>
        <w:spacing w:after="80"/>
        <w:ind w:left="567"/>
      </w:pPr>
      <w:r>
        <w:t>10. Zelftest</w:t>
      </w:r>
    </w:p>
    <w:p>
      <w:r>
        <w:br w:type="page"/>
      </w:r>
    </w:p>
    <w:p>
      <w:pPr>
        <w:pStyle w:val="Heading1"/>
      </w:pPr>
      <w:r>
        <w:rPr>
          <w:rFonts w:ascii="Calibri" w:hAnsi="Calibri"/>
          <w:color w:val="003366"/>
        </w:rPr>
        <w:t>1. Waarom deze studiegids?</w:t>
      </w:r>
    </w:p>
    <w:p>
      <w:r>
        <w:t>Phoenix Metals IJmuiden werkt dagelijks met gevaarlijke stoffen. Niet alleen de HSEQ-afdeling, maar elke medewerker die in de buurt komt van de opslaglocaties moet weten wat daar staat, waarom de regels zijn zoals ze zijn, en wat je moet doen als er iets misgaat.</w:t>
      </w:r>
    </w:p>
    <w:p>
      <w:r>
        <w:t>Deze studiegids legt de belangrijkste regels uit in gewone taal. Na het lezen weet je welke stoffen er op je werkplek staan, waarom ze gescheiden moeten worden bewaard, en welke vijf gouden regels je elke dag moet onthouden.</w:t>
      </w:r>
    </w:p>
    <w:p>
      <w:pPr>
        <w:pBdr>
          <w:left w:val="single" w:sz="24" w:space="8" w:color="F59E0B"/>
        </w:pBdr>
        <w:ind w:left="360" w:right="360"/>
      </w:pPr>
      <w:r>
        <w:rPr>
          <w:rFonts w:ascii="Calibri" w:hAnsi="Calibri"/>
          <w:b/>
          <w:color w:val="003366"/>
          <w:sz w:val="22"/>
        </w:rPr>
        <w:t xml:space="preserve">📌 Leerdoelen: </w:t>
      </w:r>
      <w:r>
        <w:rPr>
          <w:rFonts w:ascii="Calibri" w:hAnsi="Calibri"/>
          <w:color w:val="1F2937"/>
          <w:sz w:val="22"/>
        </w:rPr>
        <w:t>Na het lezen van deze gids kun je (1) de zes stoffen bij Phoenix Metals benoemen, (2) uitleggen waarom stoffenscheiding belangrijk is, (3) de vijf gouden regels toepassen, en (4) weten wat je bij een incident moet doen.</w:t>
      </w:r>
    </w:p>
    <w:p>
      <w:pPr>
        <w:pStyle w:val="Heading1"/>
      </w:pPr>
      <w:r>
        <w:rPr>
          <w:rFonts w:ascii="Calibri" w:hAnsi="Calibri"/>
          <w:color w:val="003366"/>
        </w:rPr>
        <w:t>2. Wat is PGS 15?</w:t>
      </w:r>
    </w:p>
    <w:p>
      <w:r>
        <w:t>PGS 15 is een Nederlandse richtlijn die precies beschrijft hoe je gevaarlijke stoffen veilig kunt opslaan. PGS staat voor Publicatiereeks Gevaarlijke Stoffen. Het is geen wettelijke plicht op zich, maar als bedrijf ben je volgens de Omgevingswet en de Arbowet verplicht om aan te tonen dat je opslag veilig is. PGS 15 is daarvan de meest geaccepteerde manier. [1]</w:t>
      </w:r>
    </w:p>
    <w:p>
      <w:r>
        <w:t>De richtlijn bestaat omdat er in het verleden ernstige incidenten zijn geweest met opslag van gevaarlijke stoffen: branden, ontploffingen en chemische reacties die medewerkers en omwonenden in gevaar brachten. Door duidelijke regels te hanteren — over hoe je stoffen scheidt, welke lekbakken je nodig hebt, en hoe groot een opslagruimte mag zijn — wordt het risico geminimaliseerd.</w:t>
      </w:r>
    </w:p>
    <w:p>
      <w:r>
        <w:t>PGS 15 geldt voor elk bedrijf in Nederland dat gevaarlijke stoffen in verpakking opslaat: van kleine metaalverwerkende bedrijven zoals Phoenix Metals tot grote chemische fabrieken. De regels schalen mee: een bedrijf met 300 liter bijtende stoffen hoeft veel minder maatregelen te treffen dan een bedrijf met 20.000 liter, maar de basisregels gelden altijd.</w:t>
      </w:r>
    </w:p>
    <w:p>
      <w:r>
        <w:t>De nieuwste versie van PGS 15 dateert uit 2025 en bevat 238 pagina's aan richtlijnen, tabellen en bijlagen. Voor Phoenix Metals zijn vooral de hoofdstukken over stoffenscheiding (Bijlage E, Tabel 9), vloeistofopvang (maatregel M30) en drempelwaarden (Tabel 6 en 7) relevant. De volledige tekst is beschikbaar via de bedrijfsleiding of de HSEQ-adviseur.</w:t>
      </w:r>
    </w:p>
    <w:p>
      <w:r>
        <w:t>Een belangrijk uitgangspunt van PGS 15 is de zogeheten zorgplicht (maatregel MW1): de werkgever moet aantoonbaar zorgen dat de opslag veilig is. Dat betekent niet alleen dat de juiste lekbakken aanwezig zijn, maar ook dat medewerkers weten welke stoffen er staan, wat de gevaren zijn en wat ze bij een incident moeten doen. Daarom is deze studiegids belangrijk: het is onderdeel van de zorgplicht.</w:t>
      </w:r>
    </w:p>
    <w:p>
      <w:pPr>
        <w:pStyle w:val="Heading1"/>
      </w:pPr>
      <w:r>
        <w:rPr>
          <w:rFonts w:ascii="Calibri" w:hAnsi="Calibri"/>
          <w:color w:val="003366"/>
        </w:rPr>
        <w:t>3. Welke stoffen heeft Phoenix Metals?</w:t>
      </w:r>
    </w:p>
    <w:p>
      <w:r>
        <w:t>Phoenix Metals IJmuiden heeft zes stoffen op de opslaglocatie (rack voor het lab). In totaal gaat het om ongeveer 315 kg/l verdeeld over jerrycans en canisters. De meeste stoffen zijn vloeibaar en verpakt in jerrycans van 10 of 25 liter. Twee stoffen zijn vast (poeder) en zitten in canisters. Hieronder een overzicht.</w:t>
      </w:r>
    </w:p>
    <w:tbl>
      <w:tblPr>
        <w:tblW w:type="auto" w:w="0"/>
        <w:jc w:val="center"/>
        <w:tblLook w:firstColumn="1" w:firstRow="1" w:lastColumn="0" w:lastRow="0" w:noHBand="0" w:noVBand="1" w:val="04A0"/>
      </w:tblPr>
      <w:tblGrid>
        <w:gridCol w:w="2351"/>
        <w:gridCol w:w="2351"/>
        <w:gridCol w:w="2351"/>
        <w:gridCol w:w="2351"/>
      </w:tblGrid>
      <w:tr>
        <w:tc>
          <w:tcPr>
            <w:tcW w:type="dxa" w:w="2351"/>
            <w:shd w:fill="003366"/>
          </w:tcPr>
          <w:p>
            <w:pPr>
              <w:jc w:val="left"/>
            </w:pPr>
            <w:r/>
            <w:r>
              <w:rPr>
                <w:rFonts w:ascii="Calibri" w:hAnsi="Calibri"/>
                <w:b/>
                <w:color w:val="FFFFFF"/>
                <w:sz w:val="22"/>
              </w:rPr>
              <w:t>Stof</w:t>
            </w:r>
          </w:p>
        </w:tc>
        <w:tc>
          <w:tcPr>
            <w:tcW w:type="dxa" w:w="2351"/>
            <w:shd w:fill="003366"/>
          </w:tcPr>
          <w:p>
            <w:pPr>
              <w:jc w:val="left"/>
            </w:pPr>
            <w:r/>
            <w:r>
              <w:rPr>
                <w:rFonts w:ascii="Calibri" w:hAnsi="Calibri"/>
                <w:b/>
                <w:color w:val="FFFFFF"/>
                <w:sz w:val="22"/>
              </w:rPr>
              <w:t>Gevaar</w:t>
            </w:r>
          </w:p>
        </w:tc>
        <w:tc>
          <w:tcPr>
            <w:tcW w:type="dxa" w:w="2351"/>
            <w:shd w:fill="003366"/>
          </w:tcPr>
          <w:p>
            <w:pPr>
              <w:jc w:val="left"/>
            </w:pPr>
            <w:r/>
            <w:r>
              <w:rPr>
                <w:rFonts w:ascii="Calibri" w:hAnsi="Calibri"/>
                <w:b/>
                <w:color w:val="FFFFFF"/>
                <w:sz w:val="22"/>
              </w:rPr>
              <w:t>Hoe herken je het?</w:t>
            </w:r>
          </w:p>
        </w:tc>
        <w:tc>
          <w:tcPr>
            <w:tcW w:type="dxa" w:w="2351"/>
            <w:shd w:fill="003366"/>
          </w:tcPr>
          <w:p>
            <w:pPr>
              <w:jc w:val="left"/>
            </w:pPr>
            <w:r/>
            <w:r>
              <w:rPr>
                <w:rFonts w:ascii="Calibri" w:hAnsi="Calibri"/>
                <w:b/>
                <w:color w:val="FFFFFF"/>
                <w:sz w:val="22"/>
              </w:rPr>
              <w:t>Volume</w:t>
            </w:r>
          </w:p>
        </w:tc>
      </w:tr>
      <w:tr>
        <w:tc>
          <w:tcPr>
            <w:tcW w:type="dxa" w:w="2351"/>
          </w:tcPr>
          <w:p>
            <w:r/>
            <w:r>
              <w:rPr>
                <w:rFonts w:ascii="Calibri" w:hAnsi="Calibri"/>
                <w:b/>
                <w:color w:val="1F2937"/>
                <w:sz w:val="20"/>
              </w:rPr>
              <w:t>Natriumhydroxide (NaOH) 50%</w:t>
            </w:r>
          </w:p>
        </w:tc>
        <w:tc>
          <w:tcPr>
            <w:tcW w:type="dxa" w:w="2351"/>
          </w:tcPr>
          <w:p>
            <w:r/>
            <w:r>
              <w:rPr>
                <w:rFonts w:ascii="Calibri" w:hAnsi="Calibri"/>
                <w:color w:val="1F2937"/>
                <w:sz w:val="20"/>
              </w:rPr>
              <w:t>Bijtend (base)</w:t>
            </w:r>
          </w:p>
        </w:tc>
        <w:tc>
          <w:tcPr>
            <w:tcW w:type="dxa" w:w="2351"/>
          </w:tcPr>
          <w:p>
            <w:r/>
            <w:r>
              <w:rPr>
                <w:rFonts w:ascii="Calibri" w:hAnsi="Calibri"/>
                <w:color w:val="1F2937"/>
                <w:sz w:val="20"/>
              </w:rPr>
              <w:t>Jerrycan, etiket met corrosie-symbool (🔥🧪 vloeistof op hand)</w:t>
            </w:r>
          </w:p>
        </w:tc>
        <w:tc>
          <w:tcPr>
            <w:tcW w:type="dxa" w:w="2351"/>
          </w:tcPr>
          <w:p>
            <w:r/>
            <w:r>
              <w:rPr>
                <w:rFonts w:ascii="Calibri" w:hAnsi="Calibri"/>
                <w:color w:val="1F2937"/>
                <w:sz w:val="20"/>
              </w:rPr>
              <w:t>4×25 l = 100 l</w:t>
            </w:r>
          </w:p>
        </w:tc>
      </w:tr>
      <w:tr>
        <w:tc>
          <w:tcPr>
            <w:tcW w:type="dxa" w:w="2351"/>
            <w:shd w:fill="F8F9FA"/>
          </w:tcPr>
          <w:p>
            <w:r/>
            <w:r>
              <w:rPr>
                <w:rFonts w:ascii="Calibri" w:hAnsi="Calibri"/>
                <w:b/>
                <w:color w:val="1F2937"/>
                <w:sz w:val="20"/>
              </w:rPr>
              <w:t>Zwavelzuur (H₂SO₄) 75%</w:t>
            </w:r>
          </w:p>
        </w:tc>
        <w:tc>
          <w:tcPr>
            <w:tcW w:type="dxa" w:w="2351"/>
            <w:shd w:fill="F8F9FA"/>
          </w:tcPr>
          <w:p>
            <w:r/>
            <w:r>
              <w:rPr>
                <w:rFonts w:ascii="Calibri" w:hAnsi="Calibri"/>
                <w:color w:val="1F2937"/>
                <w:sz w:val="20"/>
              </w:rPr>
              <w:t>Bijtend (zuur)</w:t>
            </w:r>
          </w:p>
        </w:tc>
        <w:tc>
          <w:tcPr>
            <w:tcW w:type="dxa" w:w="2351"/>
            <w:shd w:fill="F8F9FA"/>
          </w:tcPr>
          <w:p>
            <w:r/>
            <w:r>
              <w:rPr>
                <w:rFonts w:ascii="Calibri" w:hAnsi="Calibri"/>
                <w:color w:val="1F2937"/>
                <w:sz w:val="20"/>
              </w:rPr>
              <w:t>Jerrycan, etiket met corrosie-symbool</w:t>
            </w:r>
          </w:p>
        </w:tc>
        <w:tc>
          <w:tcPr>
            <w:tcW w:type="dxa" w:w="2351"/>
            <w:shd w:fill="F8F9FA"/>
          </w:tcPr>
          <w:p>
            <w:r/>
            <w:r>
              <w:rPr>
                <w:rFonts w:ascii="Calibri" w:hAnsi="Calibri"/>
                <w:color w:val="1F2937"/>
                <w:sz w:val="20"/>
              </w:rPr>
              <w:t>3×10 l = 30 l</w:t>
            </w:r>
          </w:p>
        </w:tc>
      </w:tr>
      <w:tr>
        <w:tc>
          <w:tcPr>
            <w:tcW w:type="dxa" w:w="2351"/>
          </w:tcPr>
          <w:p>
            <w:r/>
            <w:r>
              <w:rPr>
                <w:rFonts w:ascii="Calibri" w:hAnsi="Calibri"/>
                <w:b/>
                <w:color w:val="1F2937"/>
                <w:sz w:val="20"/>
              </w:rPr>
              <w:t>Zwavelzuur (H₂SO₄) 50%</w:t>
            </w:r>
          </w:p>
        </w:tc>
        <w:tc>
          <w:tcPr>
            <w:tcW w:type="dxa" w:w="2351"/>
          </w:tcPr>
          <w:p>
            <w:r/>
            <w:r>
              <w:rPr>
                <w:rFonts w:ascii="Calibri" w:hAnsi="Calibri"/>
                <w:color w:val="1F2937"/>
                <w:sz w:val="20"/>
              </w:rPr>
              <w:t>Bijtend (zuur)</w:t>
            </w:r>
          </w:p>
        </w:tc>
        <w:tc>
          <w:tcPr>
            <w:tcW w:type="dxa" w:w="2351"/>
          </w:tcPr>
          <w:p>
            <w:r/>
            <w:r>
              <w:rPr>
                <w:rFonts w:ascii="Calibri" w:hAnsi="Calibri"/>
                <w:color w:val="1F2937"/>
                <w:sz w:val="20"/>
              </w:rPr>
              <w:t>Jerrycan, etiket met corrosie-symbool</w:t>
            </w:r>
          </w:p>
        </w:tc>
        <w:tc>
          <w:tcPr>
            <w:tcW w:type="dxa" w:w="2351"/>
          </w:tcPr>
          <w:p>
            <w:r/>
            <w:r>
              <w:rPr>
                <w:rFonts w:ascii="Calibri" w:hAnsi="Calibri"/>
                <w:color w:val="1F2937"/>
                <w:sz w:val="20"/>
              </w:rPr>
              <w:t>7×10 l = 70 l</w:t>
            </w:r>
          </w:p>
        </w:tc>
      </w:tr>
      <w:tr>
        <w:tc>
          <w:tcPr>
            <w:tcW w:type="dxa" w:w="2351"/>
            <w:shd w:fill="F8F9FA"/>
          </w:tcPr>
          <w:p>
            <w:r/>
            <w:r>
              <w:rPr>
                <w:rFonts w:ascii="Calibri" w:hAnsi="Calibri"/>
                <w:b/>
                <w:color w:val="1F2937"/>
                <w:sz w:val="20"/>
              </w:rPr>
              <w:t>Zwavelzuur (H₂SO₄) 25%</w:t>
            </w:r>
          </w:p>
        </w:tc>
        <w:tc>
          <w:tcPr>
            <w:tcW w:type="dxa" w:w="2351"/>
            <w:shd w:fill="F8F9FA"/>
          </w:tcPr>
          <w:p>
            <w:r/>
            <w:r>
              <w:rPr>
                <w:rFonts w:ascii="Calibri" w:hAnsi="Calibri"/>
                <w:color w:val="1F2937"/>
                <w:sz w:val="20"/>
              </w:rPr>
              <w:t>Bijtend (zuur, verdund)</w:t>
            </w:r>
          </w:p>
        </w:tc>
        <w:tc>
          <w:tcPr>
            <w:tcW w:type="dxa" w:w="2351"/>
            <w:shd w:fill="F8F9FA"/>
          </w:tcPr>
          <w:p>
            <w:r/>
            <w:r>
              <w:rPr>
                <w:rFonts w:ascii="Calibri" w:hAnsi="Calibri"/>
                <w:color w:val="1F2937"/>
                <w:sz w:val="20"/>
              </w:rPr>
              <w:t>Jerrycan, etiket met corrosie-symbool</w:t>
            </w:r>
          </w:p>
        </w:tc>
        <w:tc>
          <w:tcPr>
            <w:tcW w:type="dxa" w:w="2351"/>
            <w:shd w:fill="F8F9FA"/>
          </w:tcPr>
          <w:p>
            <w:r/>
            <w:r>
              <w:rPr>
                <w:rFonts w:ascii="Calibri" w:hAnsi="Calibri"/>
                <w:color w:val="1F2937"/>
                <w:sz w:val="20"/>
              </w:rPr>
              <w:t>4×25 l = 100 l</w:t>
            </w:r>
          </w:p>
        </w:tc>
      </w:tr>
      <w:tr>
        <w:tc>
          <w:tcPr>
            <w:tcW w:type="dxa" w:w="2351"/>
          </w:tcPr>
          <w:p>
            <w:r/>
            <w:r>
              <w:rPr>
                <w:rFonts w:ascii="Calibri" w:hAnsi="Calibri"/>
                <w:b/>
                <w:color w:val="1F2937"/>
                <w:sz w:val="20"/>
              </w:rPr>
              <w:t>Aluminiumsulfaat</w:t>
            </w:r>
          </w:p>
        </w:tc>
        <w:tc>
          <w:tcPr>
            <w:tcW w:type="dxa" w:w="2351"/>
          </w:tcPr>
          <w:p>
            <w:r/>
            <w:r>
              <w:rPr>
                <w:rFonts w:ascii="Calibri" w:hAnsi="Calibri"/>
                <w:color w:val="1F2937"/>
                <w:sz w:val="20"/>
              </w:rPr>
              <w:t>Niet-ADR (zout)</w:t>
            </w:r>
          </w:p>
        </w:tc>
        <w:tc>
          <w:tcPr>
            <w:tcW w:type="dxa" w:w="2351"/>
          </w:tcPr>
          <w:p>
            <w:r/>
            <w:r>
              <w:rPr>
                <w:rFonts w:ascii="Calibri" w:hAnsi="Calibri"/>
                <w:color w:val="1F2937"/>
                <w:sz w:val="20"/>
              </w:rPr>
              <w:t>Canister, wit poeder/korrel</w:t>
            </w:r>
          </w:p>
        </w:tc>
        <w:tc>
          <w:tcPr>
            <w:tcW w:type="dxa" w:w="2351"/>
          </w:tcPr>
          <w:p>
            <w:r/>
            <w:r>
              <w:rPr>
                <w:rFonts w:ascii="Calibri" w:hAnsi="Calibri"/>
                <w:color w:val="1F2937"/>
                <w:sz w:val="20"/>
              </w:rPr>
              <w:t>2×2,5 kg = 5 kg</w:t>
            </w:r>
          </w:p>
        </w:tc>
      </w:tr>
      <w:tr>
        <w:tc>
          <w:tcPr>
            <w:tcW w:type="dxa" w:w="2351"/>
            <w:shd w:fill="F8F9FA"/>
          </w:tcPr>
          <w:p>
            <w:r/>
            <w:r>
              <w:rPr>
                <w:rFonts w:ascii="Calibri" w:hAnsi="Calibri"/>
                <w:b/>
                <w:color w:val="1F2937"/>
                <w:sz w:val="20"/>
              </w:rPr>
              <w:t>Calciumoxide (CaO)</w:t>
            </w:r>
          </w:p>
        </w:tc>
        <w:tc>
          <w:tcPr>
            <w:tcW w:type="dxa" w:w="2351"/>
            <w:shd w:fill="F8F9FA"/>
          </w:tcPr>
          <w:p>
            <w:r/>
            <w:r>
              <w:rPr>
                <w:rFonts w:ascii="Calibri" w:hAnsi="Calibri"/>
                <w:color w:val="1F2937"/>
                <w:sz w:val="20"/>
              </w:rPr>
              <w:t>Bijtend (reageert met water)</w:t>
            </w:r>
          </w:p>
        </w:tc>
        <w:tc>
          <w:tcPr>
            <w:tcW w:type="dxa" w:w="2351"/>
            <w:shd w:fill="F8F9FA"/>
          </w:tcPr>
          <w:p>
            <w:r/>
            <w:r>
              <w:rPr>
                <w:rFonts w:ascii="Calibri" w:hAnsi="Calibri"/>
                <w:color w:val="1F2937"/>
                <w:sz w:val="20"/>
              </w:rPr>
              <w:t>Canister, wit poeder</w:t>
            </w:r>
          </w:p>
        </w:tc>
        <w:tc>
          <w:tcPr>
            <w:tcW w:type="dxa" w:w="2351"/>
            <w:shd w:fill="F8F9FA"/>
          </w:tcPr>
          <w:p>
            <w:r/>
            <w:r>
              <w:rPr>
                <w:rFonts w:ascii="Calibri" w:hAnsi="Calibri"/>
                <w:color w:val="1F2937"/>
                <w:sz w:val="20"/>
              </w:rPr>
              <w:t>2×5 kg = 10 kg</w:t>
            </w:r>
          </w:p>
        </w:tc>
      </w:tr>
    </w:tbl>
    <w:p/>
    <w:p>
      <w:pPr>
        <w:pBdr>
          <w:left w:val="single" w:sz="24" w:space="8" w:color="EF4444"/>
        </w:pBdr>
        <w:ind w:left="360" w:right="360"/>
      </w:pPr>
      <w:r>
        <w:rPr>
          <w:rFonts w:ascii="Calibri" w:hAnsi="Calibri"/>
          <w:b/>
          <w:color w:val="003366"/>
          <w:sz w:val="22"/>
        </w:rPr>
        <w:t xml:space="preserve">⛔ WAARSCHUWING — NOOIT mengen: </w:t>
      </w:r>
      <w:r>
        <w:rPr>
          <w:rFonts w:ascii="Calibri" w:hAnsi="Calibri"/>
          <w:color w:val="1F2937"/>
          <w:sz w:val="22"/>
        </w:rPr>
        <w:t>Deze stoffen mogen NOOIT met elkaar gemengd worden. Natriumhydroxide (base) en zwavelzuur (zuur) reageren heftig met elkaar. Dat kan leiden tot spatten, hitteontwikkeling en vrijkomen van gevaarlijke dampen. Zelfs de restanten in een lekbak kunnen al een reactie veroorzaken.</w:t>
      </w:r>
    </w:p>
    <w:p/>
    <w:p>
      <w:r>
        <w:t>Herken de stoffen aan het etiket op de verpakking. Elk etiket toont gevarensymbolen (pictogrammen met rode ruitjes) en de naam van de stof. Twijfel je? Vraag het je leidinggevende.</w:t>
      </w:r>
    </w:p>
    <w:p>
      <w:r>
        <w:t>Wat doen deze stoffen bij Phoenix Metals? Natriumhydroxide en zwavelzuur worden gebruikt in het metaalverwerkingsproces, onder andere voor het reinigen en etsen van metalen oppervlakken. Aluminiumsulfaat dient als hulpstof in het proces. Calciumoxide wordt gebruikt voor pH-correctie en als droogmiddel. Hoewel de volumes beperkt zijn (maximaal 100 liter per stof), zijn de gevaren reëel: bijtend voor huid en ogen, en reactief bij menging.</w:t>
      </w:r>
    </w:p>
    <w:p>
      <w:r>
        <w:t>Belangrijk: de concentratie van zwavelzuur varieert (25%, 50%, 75%). Hoe hoger het percentage, hoe agressiever het zuur. Maar zelfs het 25% zwavelzuur kan bijtend zijn en mag niet onderschat worden. Behandel elke jerrycan met hetzelfde respect, ongeacht de concentratie.</w:t>
      </w:r>
    </w:p>
    <w:p>
      <w:pPr>
        <w:pStyle w:val="Heading1"/>
      </w:pPr>
      <w:r>
        <w:rPr>
          <w:rFonts w:ascii="Calibri" w:hAnsi="Calibri"/>
          <w:color w:val="003366"/>
        </w:rPr>
        <w:t>4. Wat zijn ADR-klassen?</w:t>
      </w:r>
    </w:p>
    <w:p>
      <w:r>
        <w:t>ADR-klassen zijn een soort postcode-systeem voor gevaarlijke stoffen. Het ADR (Accord européen) is een Europees verdrag dat regelt hoe gevaarlijke stoffen worden vervoerd — en die classificatie wordt ook gebruikt voor opslag. [2] Elke stof krijgt een klasse op basis van het belangrijkste gevaar. Net als dat een postcode vertelt in welke wijk een huis staat, vertelt de ADR-klasse welk type gevaar je kunt verwachten.</w:t>
      </w:r>
    </w:p>
    <w:p>
      <w:r>
        <w:t>Er zijn 9 ADR-klassen, elk voor een ander type gevaar:</w:t>
      </w:r>
    </w:p>
    <w:p>
      <w:pPr>
        <w:pStyle w:val="ListBullet"/>
        <w:spacing w:after="40"/>
      </w:pPr>
      <w:r>
        <w:t>Klasse 1 — Explosieven</w:t>
      </w:r>
    </w:p>
    <w:p>
      <w:pPr>
        <w:pStyle w:val="ListBullet"/>
        <w:spacing w:after="40"/>
      </w:pPr>
      <w:r>
        <w:t>Klasse 2 — Gassen</w:t>
      </w:r>
    </w:p>
    <w:p>
      <w:pPr>
        <w:pStyle w:val="ListBullet"/>
        <w:spacing w:after="40"/>
      </w:pPr>
      <w:r>
        <w:t>Klasse 3 — Brandbare vloeistoffen</w:t>
      </w:r>
    </w:p>
    <w:p>
      <w:pPr>
        <w:pStyle w:val="ListBullet"/>
        <w:spacing w:after="40"/>
      </w:pPr>
      <w:r>
        <w:t>Klasse 4 — Brandbare vaste stoffen</w:t>
      </w:r>
    </w:p>
    <w:p>
      <w:pPr>
        <w:pStyle w:val="ListBullet"/>
        <w:spacing w:after="40"/>
      </w:pPr>
      <w:r>
        <w:t>Klasse 5 — Oxiderende stoffen</w:t>
      </w:r>
    </w:p>
    <w:p>
      <w:pPr>
        <w:pStyle w:val="ListBullet"/>
        <w:spacing w:after="40"/>
      </w:pPr>
      <w:r>
        <w:t>Klasse 6 — Giftige en infectieuze stoffen</w:t>
      </w:r>
    </w:p>
    <w:p>
      <w:pPr>
        <w:pStyle w:val="ListBullet"/>
        <w:spacing w:after="40"/>
      </w:pPr>
      <w:r>
        <w:t>Klasse 7 — Radioactieve stoffen</w:t>
      </w:r>
    </w:p>
    <w:p>
      <w:pPr>
        <w:pStyle w:val="ListBullet"/>
        <w:spacing w:after="40"/>
      </w:pPr>
      <w:r>
        <w:t>Klasse 8 — Bijtende stoffen</w:t>
      </w:r>
    </w:p>
    <w:p>
      <w:pPr>
        <w:pStyle w:val="ListBullet"/>
        <w:spacing w:after="40"/>
      </w:pPr>
      <w:r>
        <w:t>Klasse 9 — Overige gevaarlijke stoffen</w:t>
      </w:r>
    </w:p>
    <w:p>
      <w:pPr>
        <w:pBdr>
          <w:left w:val="single" w:sz="24" w:space="8" w:color="F59E0B"/>
        </w:pBdr>
        <w:ind w:left="360" w:right="360"/>
      </w:pPr>
      <w:r>
        <w:rPr>
          <w:rFonts w:ascii="Calibri" w:hAnsi="Calibri"/>
          <w:b/>
          <w:color w:val="003366"/>
          <w:sz w:val="22"/>
        </w:rPr>
        <w:t xml:space="preserve">💡 Voor Phoenix Metals: </w:t>
      </w:r>
      <w:r>
        <w:rPr>
          <w:rFonts w:ascii="Calibri" w:hAnsi="Calibri"/>
          <w:color w:val="1F2937"/>
          <w:sz w:val="22"/>
        </w:rPr>
        <w:t>Alleen klasse 8 (bijtende stoffen) is relevant. Natriumhydroxide en zwavelzuur zijn allebei bijtend — ze kunnen de huid, ogen en materialen aantasten. Aluminiumsulfaat en calciumoxide vallen buiten het ADR-systeem, maar vereisen toch voorzichtigheid.</w:t>
      </w:r>
    </w:p>
    <w:p>
      <w:r>
        <w:br w:type="page"/>
      </w:r>
    </w:p>
    <w:p>
      <w:pPr>
        <w:pStyle w:val="Heading1"/>
      </w:pPr>
      <w:r>
        <w:rPr>
          <w:rFonts w:ascii="Calibri" w:hAnsi="Calibri"/>
          <w:color w:val="003366"/>
        </w:rPr>
        <w:t>5. Veiligheidsniveaus uitgelegd</w:t>
      </w:r>
    </w:p>
    <w:p>
      <w:r>
        <w:t>PGS 15 kent verschillende veiligheidsniveaus, afhankelijk van hoeveel je opslaat. Hoe meer je hebt, hoe strenger de regels. Dit is logisch: 100 liter bijtend spul is minder risico dan 20.000 liter. De niveaus worden bepaald door de zogeheten drempelwaarden uit Tabel 6 en Tabel 7 van PGS 15. [3]</w:t>
      </w:r>
    </w:p>
    <w:p>
      <w:r>
        <w:t>De drempelwaarden verschillen per ADR-klasse en per verpakkinggroep (PG I, II, III). Voor ADR-klasse 8, verpakkinggroep II (waar de meeste Phoenix Metals-stoffen onder vallen), gelden de volgende grenzen: onder 10.000 kg is het basisniveau voldoende, tussen 10.000 en 20.000 kg moet niveau B worden toegepast, en boven 20.000 kg is niveau A verplicht.</w:t>
      </w:r>
    </w:p>
    <w:tbl>
      <w:tblPr>
        <w:tblW w:type="auto" w:w="0"/>
        <w:jc w:val="center"/>
        <w:tblLook w:firstColumn="1" w:firstRow="1" w:lastColumn="0" w:lastRow="0" w:noHBand="0" w:noVBand="1" w:val="04A0"/>
      </w:tblPr>
      <w:tblGrid>
        <w:gridCol w:w="3135"/>
        <w:gridCol w:w="3135"/>
        <w:gridCol w:w="3135"/>
      </w:tblGrid>
      <w:tr>
        <w:tc>
          <w:tcPr>
            <w:tcW w:type="dxa" w:w="3135"/>
            <w:shd w:fill="003366"/>
          </w:tcPr>
          <w:p>
            <w:pPr>
              <w:jc w:val="left"/>
            </w:pPr>
            <w:r/>
            <w:r>
              <w:rPr>
                <w:rFonts w:ascii="Calibri" w:hAnsi="Calibri"/>
                <w:b/>
                <w:color w:val="FFFFFF"/>
                <w:sz w:val="22"/>
              </w:rPr>
              <w:t>Niveau</w:t>
            </w:r>
          </w:p>
        </w:tc>
        <w:tc>
          <w:tcPr>
            <w:tcW w:type="dxa" w:w="3135"/>
            <w:shd w:fill="003366"/>
          </w:tcPr>
          <w:p>
            <w:pPr>
              <w:jc w:val="left"/>
            </w:pPr>
            <w:r/>
            <w:r>
              <w:rPr>
                <w:rFonts w:ascii="Calibri" w:hAnsi="Calibri"/>
                <w:b/>
                <w:color w:val="FFFFFF"/>
                <w:sz w:val="22"/>
              </w:rPr>
              <w:t>Wanneer?</w:t>
            </w:r>
          </w:p>
        </w:tc>
        <w:tc>
          <w:tcPr>
            <w:tcW w:type="dxa" w:w="3135"/>
            <w:shd w:fill="003366"/>
          </w:tcPr>
          <w:p>
            <w:pPr>
              <w:jc w:val="left"/>
            </w:pPr>
            <w:r/>
            <w:r>
              <w:rPr>
                <w:rFonts w:ascii="Calibri" w:hAnsi="Calibri"/>
                <w:b/>
                <w:color w:val="FFFFFF"/>
                <w:sz w:val="22"/>
              </w:rPr>
              <w:t>Wat betekent het?</w:t>
            </w:r>
          </w:p>
        </w:tc>
      </w:tr>
      <w:tr>
        <w:tc>
          <w:tcPr>
            <w:tcW w:type="dxa" w:w="3135"/>
          </w:tcPr>
          <w:p>
            <w:r/>
            <w:r>
              <w:rPr>
                <w:rFonts w:ascii="Calibri" w:hAnsi="Calibri"/>
                <w:b/>
                <w:color w:val="1F2937"/>
                <w:sz w:val="20"/>
              </w:rPr>
              <w:t>Basis</w:t>
            </w:r>
          </w:p>
        </w:tc>
        <w:tc>
          <w:tcPr>
            <w:tcW w:type="dxa" w:w="3135"/>
          </w:tcPr>
          <w:p>
            <w:r/>
            <w:r>
              <w:rPr>
                <w:rFonts w:ascii="Calibri" w:hAnsi="Calibri"/>
                <w:color w:val="1F2937"/>
                <w:sz w:val="20"/>
              </w:rPr>
              <w:t>&lt; 10.000 kg ADR 8</w:t>
            </w:r>
          </w:p>
        </w:tc>
        <w:tc>
          <w:tcPr>
            <w:tcW w:type="dxa" w:w="3135"/>
          </w:tcPr>
          <w:p>
            <w:r/>
            <w:r>
              <w:rPr>
                <w:rFonts w:ascii="Calibri" w:hAnsi="Calibri"/>
                <w:color w:val="1F2937"/>
                <w:sz w:val="20"/>
              </w:rPr>
              <w:t>Lekbakken, scheiding, ventilatie, goede verpakking</w:t>
            </w:r>
          </w:p>
        </w:tc>
      </w:tr>
      <w:tr>
        <w:tc>
          <w:tcPr>
            <w:tcW w:type="dxa" w:w="3135"/>
            <w:shd w:fill="F8F9FA"/>
          </w:tcPr>
          <w:p>
            <w:r/>
            <w:r>
              <w:rPr>
                <w:rFonts w:ascii="Calibri" w:hAnsi="Calibri"/>
                <w:b/>
                <w:color w:val="1F2937"/>
                <w:sz w:val="20"/>
              </w:rPr>
              <w:t>VN-B</w:t>
            </w:r>
          </w:p>
        </w:tc>
        <w:tc>
          <w:tcPr>
            <w:tcW w:type="dxa" w:w="3135"/>
            <w:shd w:fill="F8F9FA"/>
          </w:tcPr>
          <w:p>
            <w:r/>
            <w:r>
              <w:rPr>
                <w:rFonts w:ascii="Calibri" w:hAnsi="Calibri"/>
                <w:color w:val="1F2937"/>
                <w:sz w:val="20"/>
              </w:rPr>
              <w:t>10.000 – 20.000 kg</w:t>
            </w:r>
          </w:p>
        </w:tc>
        <w:tc>
          <w:tcPr>
            <w:tcW w:type="dxa" w:w="3135"/>
            <w:shd w:fill="F8F9FA"/>
          </w:tcPr>
          <w:p>
            <w:r/>
            <w:r>
              <w:rPr>
                <w:rFonts w:ascii="Calibri" w:hAnsi="Calibri"/>
                <w:color w:val="1F2937"/>
                <w:sz w:val="20"/>
              </w:rPr>
              <w:t>Basis + brandwerende constructie (60 min), blussysteem</w:t>
            </w:r>
          </w:p>
        </w:tc>
      </w:tr>
      <w:tr>
        <w:tc>
          <w:tcPr>
            <w:tcW w:type="dxa" w:w="3135"/>
          </w:tcPr>
          <w:p>
            <w:r/>
            <w:r>
              <w:rPr>
                <w:rFonts w:ascii="Calibri" w:hAnsi="Calibri"/>
                <w:b/>
                <w:color w:val="1F2937"/>
                <w:sz w:val="20"/>
              </w:rPr>
              <w:t>VN-A</w:t>
            </w:r>
          </w:p>
        </w:tc>
        <w:tc>
          <w:tcPr>
            <w:tcW w:type="dxa" w:w="3135"/>
          </w:tcPr>
          <w:p>
            <w:r/>
            <w:r>
              <w:rPr>
                <w:rFonts w:ascii="Calibri" w:hAnsi="Calibri"/>
                <w:color w:val="1F2937"/>
                <w:sz w:val="20"/>
              </w:rPr>
              <w:t>&gt; 20.000 kg</w:t>
            </w:r>
          </w:p>
        </w:tc>
        <w:tc>
          <w:tcPr>
            <w:tcW w:type="dxa" w:w="3135"/>
          </w:tcPr>
          <w:p>
            <w:r/>
            <w:r>
              <w:rPr>
                <w:rFonts w:ascii="Calibri" w:hAnsi="Calibri"/>
                <w:color w:val="1F2937"/>
                <w:sz w:val="20"/>
              </w:rPr>
              <w:t>VN-B + automatische blussing, branddetectie met doormelding</w:t>
            </w:r>
          </w:p>
        </w:tc>
      </w:tr>
    </w:tbl>
    <w:p/>
    <w:p>
      <w:pPr>
        <w:pBdr>
          <w:left w:val="single" w:sz="24" w:space="8" w:color="F59E0B"/>
        </w:pBdr>
        <w:ind w:left="360" w:right="360"/>
      </w:pPr>
      <w:r>
        <w:rPr>
          <w:rFonts w:ascii="Calibri" w:hAnsi="Calibri"/>
          <w:b/>
          <w:color w:val="003366"/>
          <w:sz w:val="22"/>
        </w:rPr>
        <w:t xml:space="preserve">✅ Goed nieuws voor Phoenix Metals: </w:t>
      </w:r>
      <w:r>
        <w:rPr>
          <w:rFonts w:ascii="Calibri" w:hAnsi="Calibri"/>
          <w:color w:val="1F2937"/>
          <w:sz w:val="22"/>
        </w:rPr>
        <w:t>Met ongeveer 390 kg aan bijtende stoffen valt Phoenix Metals ver onder de drempel van 10.000 kg. Dat betekent dat het basisveiligheidsniveau volstaat. Geen brandwerende muren of blusinstallaties nodig. Maar let op: de regel voor stoffenscheiding (hoofdstuk 6) geldt ALTIJD, ongeacht het niveau. [3]</w:t>
      </w:r>
    </w:p>
    <w:p/>
    <w:p>
      <w:r>
        <w:t>Wat het basisniveau in de praktijk betekent voor Phoenix Metals:</w:t>
      </w:r>
    </w:p>
    <w:p>
      <w:pPr>
        <w:pStyle w:val="ListBullet"/>
        <w:spacing w:after="80"/>
      </w:pPr>
      <w:r>
        <w:t>Alle vloeibare stoffen staan in lekbakken (minimaal 110% van het grootste verpakkingsvolume)</w:t>
      </w:r>
    </w:p>
    <w:p>
      <w:pPr>
        <w:pStyle w:val="ListBullet"/>
        <w:spacing w:after="80"/>
      </w:pPr>
      <w:r>
        <w:t>Natriumhydroxide en zwavelzuur staan in aparte lekbakken met minimaal 2 meter afstand</w:t>
      </w:r>
    </w:p>
    <w:p>
      <w:pPr>
        <w:pStyle w:val="ListBullet"/>
        <w:spacing w:after="80"/>
      </w:pPr>
      <w:r>
        <w:t>De opslagruimte is voldoende geventileerd (voorkom gasophoping)</w:t>
      </w:r>
    </w:p>
    <w:p>
      <w:pPr>
        <w:pStyle w:val="ListBullet"/>
        <w:spacing w:after="80"/>
      </w:pPr>
      <w:r>
        <w:t>Verpakkingen zijn intact en goed gesloten</w:t>
      </w:r>
    </w:p>
    <w:p>
      <w:pPr>
        <w:pStyle w:val="ListBullet"/>
        <w:spacing w:after="80"/>
      </w:pPr>
      <w:r>
        <w:t>Er is een instructiekaart aanwezig bij het rack met informatie over de stoffen</w:t>
      </w:r>
    </w:p>
    <w:p>
      <w:pPr>
        <w:pStyle w:val="Heading1"/>
      </w:pPr>
      <w:r>
        <w:rPr>
          <w:rFonts w:ascii="Calibri" w:hAnsi="Calibri"/>
          <w:color w:val="003366"/>
        </w:rPr>
        <w:t>6. De belangrijkste regel: Stoffenscheiding</w:t>
      </w:r>
    </w:p>
    <w:p>
      <w:pPr>
        <w:pStyle w:val="Heading2"/>
      </w:pPr>
      <w:r>
        <w:rPr>
          <w:color w:val="003366"/>
        </w:rPr>
        <w:t>Waarom is scheiding zo belangrijk?</w:t>
      </w:r>
    </w:p>
    <w:p>
      <w:r>
        <w:t>Somminge gevaarlijke stoffen reageren met elkaar als ze in contact komen. De gevaarlijkste combinatie bij Phoenix Metals is natriumhydroxide (een base) en zwavelzuur (een zuur). Als deze twee stoffen mengen — bijvoorbeeld door lekkage in dezelfde lekbak — ontstaat een exotherme reactie: er komt veel warmte vrij, het kan spatten en er ontstaan gevaarlijke dampen.</w:t>
      </w:r>
    </w:p>
    <w:p>
      <w:pPr>
        <w:pBdr>
          <w:left w:val="single" w:sz="24" w:space="8" w:color="EF4444"/>
        </w:pBdr>
        <w:ind w:left="360" w:right="360"/>
      </w:pPr>
      <w:r>
        <w:rPr>
          <w:rFonts w:ascii="Calibri" w:hAnsi="Calibri"/>
          <w:b/>
          <w:color w:val="003366"/>
          <w:sz w:val="22"/>
        </w:rPr>
        <w:t xml:space="preserve">⛔ CRUCIALE REGEL: </w:t>
      </w:r>
      <w:r>
        <w:rPr>
          <w:rFonts w:ascii="Calibri" w:hAnsi="Calibri"/>
          <w:color w:val="1F2937"/>
          <w:sz w:val="22"/>
        </w:rPr>
        <w:t>Natriumhydroxide (NaOH) en zwavelzuur (H₂SO₄) mogen NOOIT in hetzelfde rack-vak staan. Ze vereisen aparte lekbakken en minimaal 2 meter afstand van elkaar. Ook calciumoxide moet apart van zwavelzuur worden opgeslagen.</w:t>
      </w:r>
    </w:p>
    <w:p>
      <w:pPr>
        <w:pStyle w:val="Heading2"/>
      </w:pPr>
      <w:r>
        <w:rPr>
          <w:color w:val="003366"/>
        </w:rPr>
        <w:t>Wat mag wel en niet samen?</w:t>
      </w:r>
    </w:p>
    <w:tbl>
      <w:tblPr>
        <w:tblW w:type="auto" w:w="0"/>
        <w:jc w:val="center"/>
        <w:tblLook w:firstColumn="1" w:firstRow="1" w:lastColumn="0" w:lastRow="0" w:noHBand="0" w:noVBand="1" w:val="04A0"/>
      </w:tblPr>
      <w:tblGrid>
        <w:gridCol w:w="2351"/>
        <w:gridCol w:w="2351"/>
        <w:gridCol w:w="2351"/>
        <w:gridCol w:w="2351"/>
      </w:tblGrid>
      <w:tr>
        <w:tc>
          <w:tcPr>
            <w:tcW w:type="dxa" w:w="2351"/>
            <w:shd w:fill="003366"/>
          </w:tcPr>
          <w:p>
            <w:pPr>
              <w:jc w:val="left"/>
            </w:pPr>
            <w:r/>
            <w:r>
              <w:rPr>
                <w:rFonts w:ascii="Calibri" w:hAnsi="Calibri"/>
                <w:b/>
                <w:color w:val="FFFFFF"/>
                <w:sz w:val="22"/>
              </w:rPr>
              <w:t>Stof A</w:t>
            </w:r>
          </w:p>
        </w:tc>
        <w:tc>
          <w:tcPr>
            <w:tcW w:type="dxa" w:w="2351"/>
            <w:shd w:fill="003366"/>
          </w:tcPr>
          <w:p>
            <w:pPr>
              <w:jc w:val="left"/>
            </w:pPr>
            <w:r/>
            <w:r>
              <w:rPr>
                <w:rFonts w:ascii="Calibri" w:hAnsi="Calibri"/>
                <w:b/>
                <w:color w:val="FFFFFF"/>
                <w:sz w:val="22"/>
              </w:rPr>
              <w:t>Stof B</w:t>
            </w:r>
          </w:p>
        </w:tc>
        <w:tc>
          <w:tcPr>
            <w:tcW w:type="dxa" w:w="2351"/>
            <w:shd w:fill="003366"/>
          </w:tcPr>
          <w:p>
            <w:pPr>
              <w:jc w:val="left"/>
            </w:pPr>
            <w:r/>
            <w:r>
              <w:rPr>
                <w:rFonts w:ascii="Calibri" w:hAnsi="Calibri"/>
                <w:b/>
                <w:color w:val="FFFFFF"/>
                <w:sz w:val="22"/>
              </w:rPr>
              <w:t>Samen?</w:t>
            </w:r>
          </w:p>
        </w:tc>
        <w:tc>
          <w:tcPr>
            <w:tcW w:type="dxa" w:w="2351"/>
            <w:shd w:fill="003366"/>
          </w:tcPr>
          <w:p>
            <w:pPr>
              <w:jc w:val="left"/>
            </w:pPr>
            <w:r/>
            <w:r>
              <w:rPr>
                <w:rFonts w:ascii="Calibri" w:hAnsi="Calibri"/>
                <w:b/>
                <w:color w:val="FFFFFF"/>
                <w:sz w:val="22"/>
              </w:rPr>
              <w:t>Waarom?</w:t>
            </w:r>
          </w:p>
        </w:tc>
      </w:tr>
      <w:tr>
        <w:tc>
          <w:tcPr>
            <w:tcW w:type="dxa" w:w="2351"/>
          </w:tcPr>
          <w:p>
            <w:r/>
            <w:r>
              <w:rPr>
                <w:rFonts w:ascii="Calibri" w:hAnsi="Calibri"/>
                <w:b/>
                <w:color w:val="1F2937"/>
                <w:sz w:val="20"/>
              </w:rPr>
              <w:t>H₂SO₄ 75%</w:t>
            </w:r>
          </w:p>
        </w:tc>
        <w:tc>
          <w:tcPr>
            <w:tcW w:type="dxa" w:w="2351"/>
          </w:tcPr>
          <w:p>
            <w:r/>
            <w:r>
              <w:rPr>
                <w:rFonts w:ascii="Calibri" w:hAnsi="Calibri"/>
                <w:color w:val="1F2937"/>
                <w:sz w:val="20"/>
              </w:rPr>
              <w:t>H₂SO₄ 50% / 25%</w:t>
            </w:r>
          </w:p>
        </w:tc>
        <w:tc>
          <w:tcPr>
            <w:tcW w:type="dxa" w:w="2351"/>
          </w:tcPr>
          <w:p>
            <w:r/>
            <w:r>
              <w:rPr>
                <w:rFonts w:ascii="Calibri" w:hAnsi="Calibri"/>
                <w:color w:val="1F2937"/>
                <w:sz w:val="20"/>
              </w:rPr>
              <w:t>✅ Ja</w:t>
            </w:r>
          </w:p>
        </w:tc>
        <w:tc>
          <w:tcPr>
            <w:tcW w:type="dxa" w:w="2351"/>
          </w:tcPr>
          <w:p>
            <w:r/>
            <w:r>
              <w:rPr>
                <w:rFonts w:ascii="Calibri" w:hAnsi="Calibri"/>
                <w:color w:val="1F2937"/>
                <w:sz w:val="20"/>
              </w:rPr>
              <w:t>Zelfde stof, zelfde gevarenklasse</w:t>
            </w:r>
          </w:p>
        </w:tc>
      </w:tr>
      <w:tr>
        <w:tc>
          <w:tcPr>
            <w:tcW w:type="dxa" w:w="2351"/>
            <w:shd w:fill="F8F9FA"/>
          </w:tcPr>
          <w:p>
            <w:r/>
            <w:r>
              <w:rPr>
                <w:rFonts w:ascii="Calibri" w:hAnsi="Calibri"/>
                <w:b/>
                <w:color w:val="1F2937"/>
                <w:sz w:val="20"/>
              </w:rPr>
              <w:t>NaOH 50%</w:t>
            </w:r>
          </w:p>
        </w:tc>
        <w:tc>
          <w:tcPr>
            <w:tcW w:type="dxa" w:w="2351"/>
            <w:shd w:fill="F8F9FA"/>
          </w:tcPr>
          <w:p>
            <w:r/>
            <w:r>
              <w:rPr>
                <w:rFonts w:ascii="Calibri" w:hAnsi="Calibri"/>
                <w:color w:val="1F2937"/>
                <w:sz w:val="20"/>
              </w:rPr>
              <w:t>H₂SO₄ (alle concentraties)</w:t>
            </w:r>
          </w:p>
        </w:tc>
        <w:tc>
          <w:tcPr>
            <w:tcW w:type="dxa" w:w="2351"/>
            <w:shd w:fill="F8F9FA"/>
          </w:tcPr>
          <w:p>
            <w:r/>
            <w:r>
              <w:rPr>
                <w:rFonts w:ascii="Calibri" w:hAnsi="Calibri"/>
                <w:color w:val="1F2937"/>
                <w:sz w:val="20"/>
              </w:rPr>
              <w:t>⛔ Nee</w:t>
            </w:r>
          </w:p>
        </w:tc>
        <w:tc>
          <w:tcPr>
            <w:tcW w:type="dxa" w:w="2351"/>
            <w:shd w:fill="F8F9FA"/>
          </w:tcPr>
          <w:p>
            <w:r/>
            <w:r>
              <w:rPr>
                <w:rFonts w:ascii="Calibri" w:hAnsi="Calibri"/>
                <w:color w:val="1F2937"/>
                <w:sz w:val="20"/>
              </w:rPr>
              <w:t>Zuur + base = gevaarlijke reactie</w:t>
            </w:r>
          </w:p>
        </w:tc>
      </w:tr>
      <w:tr>
        <w:tc>
          <w:tcPr>
            <w:tcW w:type="dxa" w:w="2351"/>
          </w:tcPr>
          <w:p>
            <w:r/>
            <w:r>
              <w:rPr>
                <w:rFonts w:ascii="Calibri" w:hAnsi="Calibri"/>
                <w:b/>
                <w:color w:val="1F2937"/>
                <w:sz w:val="20"/>
              </w:rPr>
              <w:t>NaOH 50%</w:t>
            </w:r>
          </w:p>
        </w:tc>
        <w:tc>
          <w:tcPr>
            <w:tcW w:type="dxa" w:w="2351"/>
          </w:tcPr>
          <w:p>
            <w:r/>
            <w:r>
              <w:rPr>
                <w:rFonts w:ascii="Calibri" w:hAnsi="Calibri"/>
                <w:color w:val="1F2937"/>
                <w:sz w:val="20"/>
              </w:rPr>
              <w:t>Aluminiumsulfaat</w:t>
            </w:r>
          </w:p>
        </w:tc>
        <w:tc>
          <w:tcPr>
            <w:tcW w:type="dxa" w:w="2351"/>
          </w:tcPr>
          <w:p>
            <w:r/>
            <w:r>
              <w:rPr>
                <w:rFonts w:ascii="Calibri" w:hAnsi="Calibri"/>
                <w:color w:val="1F2937"/>
                <w:sz w:val="20"/>
              </w:rPr>
              <w:t>⚠️ Beoordelen</w:t>
            </w:r>
          </w:p>
        </w:tc>
        <w:tc>
          <w:tcPr>
            <w:tcW w:type="dxa" w:w="2351"/>
          </w:tcPr>
          <w:p>
            <w:r/>
            <w:r>
              <w:rPr>
                <w:rFonts w:ascii="Calibri" w:hAnsi="Calibri"/>
                <w:color w:val="1F2937"/>
                <w:sz w:val="20"/>
              </w:rPr>
              <w:t>Base + zout, laat over aan specialist</w:t>
            </w:r>
          </w:p>
        </w:tc>
      </w:tr>
      <w:tr>
        <w:tc>
          <w:tcPr>
            <w:tcW w:type="dxa" w:w="2351"/>
            <w:shd w:fill="F8F9FA"/>
          </w:tcPr>
          <w:p>
            <w:r/>
            <w:r>
              <w:rPr>
                <w:rFonts w:ascii="Calibri" w:hAnsi="Calibri"/>
                <w:b/>
                <w:color w:val="1F2937"/>
                <w:sz w:val="20"/>
              </w:rPr>
              <w:t>H₂SO₄</w:t>
            </w:r>
          </w:p>
        </w:tc>
        <w:tc>
          <w:tcPr>
            <w:tcW w:type="dxa" w:w="2351"/>
            <w:shd w:fill="F8F9FA"/>
          </w:tcPr>
          <w:p>
            <w:r/>
            <w:r>
              <w:rPr>
                <w:rFonts w:ascii="Calibri" w:hAnsi="Calibri"/>
                <w:color w:val="1F2937"/>
                <w:sz w:val="20"/>
              </w:rPr>
              <w:t>Calciumoxide (CaO)</w:t>
            </w:r>
          </w:p>
        </w:tc>
        <w:tc>
          <w:tcPr>
            <w:tcW w:type="dxa" w:w="2351"/>
            <w:shd w:fill="F8F9FA"/>
          </w:tcPr>
          <w:p>
            <w:r/>
            <w:r>
              <w:rPr>
                <w:rFonts w:ascii="Calibri" w:hAnsi="Calibri"/>
                <w:color w:val="1F2937"/>
                <w:sz w:val="20"/>
              </w:rPr>
              <w:t>⛔ Nee</w:t>
            </w:r>
          </w:p>
        </w:tc>
        <w:tc>
          <w:tcPr>
            <w:tcW w:type="dxa" w:w="2351"/>
            <w:shd w:fill="F8F9FA"/>
          </w:tcPr>
          <w:p>
            <w:r/>
            <w:r>
              <w:rPr>
                <w:rFonts w:ascii="Calibri" w:hAnsi="Calibri"/>
                <w:color w:val="1F2937"/>
                <w:sz w:val="20"/>
              </w:rPr>
              <w:t>Zuur + base (CaO is sterk basisch)</w:t>
            </w:r>
          </w:p>
        </w:tc>
      </w:tr>
    </w:tbl>
    <w:p/>
    <w:p>
      <w:pPr>
        <w:pStyle w:val="Heading2"/>
      </w:pPr>
      <w:r>
        <w:rPr>
          <w:color w:val="003366"/>
        </w:rPr>
        <w:t>Hoe wordt de scheiding gerealiseerd?</w:t>
      </w:r>
    </w:p>
    <w:p>
      <w:pPr>
        <w:spacing w:after="80"/>
      </w:pPr>
      <w:r>
        <w:t>1. NaOH 50% staat in een eigen lekbak, in een gemarkeerd vak op het rack</w:t>
      </w:r>
    </w:p>
    <w:p>
      <w:pPr>
        <w:spacing w:after="80"/>
      </w:pPr>
      <w:r>
        <w:t>2. Alle zwavelzuur-concentraties (75%, 50%, 25%) staan samen in een andere lekbak, in een apart vak</w:t>
      </w:r>
    </w:p>
    <w:p>
      <w:pPr>
        <w:spacing w:after="80"/>
      </w:pPr>
      <w:r>
        <w:t>3. De afstand tussen het NaOH-vak en het H₂SO₄-vak is minimaal 2 meter</w:t>
      </w:r>
    </w:p>
    <w:p>
      <w:pPr>
        <w:spacing w:after="80"/>
      </w:pPr>
      <w:r>
        <w:t>4. Calciumoxide wordt apart opgeslagen, weg van alle zwavelzuurproducten</w:t>
      </w:r>
    </w:p>
    <w:p>
      <w:pPr>
        <w:spacing w:after="80"/>
      </w:pPr>
      <w:r>
        <w:t>5. Elk vak is gemarkeerd met tape of verf op de vloer</w:t>
      </w:r>
    </w:p>
    <w:p>
      <w:r>
        <w:t>De reden voor de 2 meter afstand is dat bij een lekkage de vloeistof niet in de andere lekbak kan stromen. Zelfs als een jerrycan omvalt en lekt, blijft de lekbak de vloeistof opvangen. De afstand zorgt ervoor dat er geen kruisbesmetting kan optreden.</w:t>
      </w:r>
    </w:p>
    <w:p>
      <w:r>
        <w:t>De stoffenscheidingseis komt uit PGS 15 Bijlage E (Tabel 9). Deze tabel geeft voor elke combinatie van ADR-klassen aan of stoffen samen opgeslagen mogen worden. Voor ADR-klasse 8 ten opzichte van ADR-klasse 8 is het scheidingniveau 'A': apart brandcompartiment of 5 meter vrije zone. Omdat Phoenix Metals minder dan 10.000 kg opslaat, mag volgens uitzondering E.3 worden volstaan met 2 meter afstand en aparte lekbakken. Dat is de huidige oplossing.</w:t>
      </w:r>
    </w:p>
    <w:p>
      <w:r>
        <w:t>De markering op de vloer is essentieel. Zonder duidelijke markering weet je niet waar het ene vak ophoudt en het andere begint. Gebruik felle tape (geel/zwart of rood/wit) en plaats borden bij elk vak met de naam van de stof en het bijbehorende gevarensymbool. Dit maakt het voor iedereen direct duidelijk welke stoffen waar staan.</w:t>
      </w:r>
    </w:p>
    <w:p>
      <w:r>
        <w:br w:type="page"/>
      </w:r>
    </w:p>
    <w:p>
      <w:pPr>
        <w:pStyle w:val="Heading1"/>
      </w:pPr>
      <w:r>
        <w:rPr>
          <w:rFonts w:ascii="Calibri" w:hAnsi="Calibri"/>
          <w:color w:val="003366"/>
        </w:rPr>
        <w:t>7. Wat betekent dit voor jou als medewerker?</w:t>
      </w:r>
    </w:p>
    <w:p>
      <w:r>
        <w:t>Je hoeft geen chemicus te zijn om veilig te werken met de stoffen bij Phoenix Metals. Houd je aan deze vijf gouden regels en je bent al een heel eind. Deze regels zijn afgeleid uit de PGS 15-basismaatregelen en gelden voor elke medewerker die in de buurt van de opslaglocatie komt — ook als je er alleen maar langs loopt.</w:t>
      </w:r>
    </w:p>
    <w:tbl>
      <w:tblPr>
        <w:tblW w:type="auto" w:w="0"/>
        <w:jc w:val="center"/>
        <w:tblLook w:firstColumn="1" w:firstRow="1" w:lastColumn="0" w:lastRow="0" w:noHBand="0" w:noVBand="1" w:val="04A0"/>
      </w:tblPr>
      <w:tblGrid>
        <w:gridCol w:w="4703"/>
        <w:gridCol w:w="4703"/>
      </w:tblGrid>
      <w:tr>
        <w:tc>
          <w:tcPr>
            <w:tcW w:type="dxa" w:w="4703"/>
            <w:shd w:fill="003366"/>
          </w:tcPr>
          <w:p>
            <w:pPr>
              <w:jc w:val="left"/>
            </w:pPr>
            <w:r/>
            <w:r>
              <w:rPr>
                <w:rFonts w:ascii="Calibri" w:hAnsi="Calibri"/>
                <w:b/>
                <w:color w:val="FFFFFF"/>
                <w:sz w:val="22"/>
              </w:rPr>
              <w:t>#</w:t>
            </w:r>
          </w:p>
        </w:tc>
        <w:tc>
          <w:tcPr>
            <w:tcW w:type="dxa" w:w="4703"/>
            <w:shd w:fill="003366"/>
          </w:tcPr>
          <w:p>
            <w:pPr>
              <w:jc w:val="left"/>
            </w:pPr>
            <w:r/>
            <w:r>
              <w:rPr>
                <w:rFonts w:ascii="Calibri" w:hAnsi="Calibri"/>
                <w:b/>
                <w:color w:val="FFFFFF"/>
                <w:sz w:val="22"/>
              </w:rPr>
              <w:t>Gouden Regel</w:t>
            </w:r>
          </w:p>
        </w:tc>
      </w:tr>
      <w:tr>
        <w:tc>
          <w:tcPr>
            <w:tcW w:type="dxa" w:w="4703"/>
          </w:tcPr>
          <w:p>
            <w:r/>
            <w:r>
              <w:rPr>
                <w:rFonts w:ascii="Calibri" w:hAnsi="Calibri"/>
                <w:color w:val="1F2937"/>
                <w:sz w:val="20"/>
              </w:rPr>
              <w:t>1️⃣</w:t>
            </w:r>
          </w:p>
        </w:tc>
        <w:tc>
          <w:tcPr>
            <w:tcW w:type="dxa" w:w="4703"/>
          </w:tcPr>
          <w:p>
            <w:r/>
            <w:r>
              <w:rPr>
                <w:rFonts w:ascii="Calibri" w:hAnsi="Calibri"/>
                <w:color w:val="1F2937"/>
                <w:sz w:val="20"/>
              </w:rPr>
              <w:t>NOOIT stoffen mengen — Zuur en base gaan niet samen. Ook niet in lekbakken.</w:t>
            </w:r>
          </w:p>
        </w:tc>
      </w:tr>
      <w:tr>
        <w:tc>
          <w:tcPr>
            <w:tcW w:type="dxa" w:w="4703"/>
            <w:shd w:fill="F8F9FA"/>
          </w:tcPr>
          <w:p>
            <w:r/>
            <w:r>
              <w:rPr>
                <w:rFonts w:ascii="Calibri" w:hAnsi="Calibri"/>
                <w:color w:val="1F2937"/>
                <w:sz w:val="20"/>
              </w:rPr>
              <w:t>2️⃣</w:t>
            </w:r>
          </w:p>
        </w:tc>
        <w:tc>
          <w:tcPr>
            <w:tcW w:type="dxa" w:w="4703"/>
            <w:shd w:fill="F8F9FA"/>
          </w:tcPr>
          <w:p>
            <w:r/>
            <w:r>
              <w:rPr>
                <w:rFonts w:ascii="Calibri" w:hAnsi="Calibri"/>
                <w:color w:val="1F2937"/>
                <w:sz w:val="20"/>
              </w:rPr>
              <w:t>Lekbakken controleren — Controleer dagelijks of lekbakken schoon en leeg zijn. Bij lekkage: direct melden.</w:t>
            </w:r>
          </w:p>
        </w:tc>
      </w:tr>
      <w:tr>
        <w:tc>
          <w:tcPr>
            <w:tcW w:type="dxa" w:w="4703"/>
          </w:tcPr>
          <w:p>
            <w:r/>
            <w:r>
              <w:rPr>
                <w:rFonts w:ascii="Calibri" w:hAnsi="Calibri"/>
                <w:color w:val="1F2937"/>
                <w:sz w:val="20"/>
              </w:rPr>
              <w:t>3️⃣</w:t>
            </w:r>
          </w:p>
        </w:tc>
        <w:tc>
          <w:tcPr>
            <w:tcW w:type="dxa" w:w="4703"/>
          </w:tcPr>
          <w:p>
            <w:r/>
            <w:r>
              <w:rPr>
                <w:rFonts w:ascii="Calibri" w:hAnsi="Calibri"/>
                <w:color w:val="1F2937"/>
                <w:sz w:val="20"/>
              </w:rPr>
              <w:t>PBM dragen — Draag altijd handschoenen en veiligheidsbril als je in de buurt van de opslag komt.</w:t>
            </w:r>
          </w:p>
        </w:tc>
      </w:tr>
      <w:tr>
        <w:tc>
          <w:tcPr>
            <w:tcW w:type="dxa" w:w="4703"/>
            <w:shd w:fill="F8F9FA"/>
          </w:tcPr>
          <w:p>
            <w:r/>
            <w:r>
              <w:rPr>
                <w:rFonts w:ascii="Calibri" w:hAnsi="Calibri"/>
                <w:color w:val="1F2937"/>
                <w:sz w:val="20"/>
              </w:rPr>
              <w:t>4️⃣</w:t>
            </w:r>
          </w:p>
        </w:tc>
        <w:tc>
          <w:tcPr>
            <w:tcW w:type="dxa" w:w="4703"/>
            <w:shd w:fill="F8F9FA"/>
          </w:tcPr>
          <w:p>
            <w:r/>
            <w:r>
              <w:rPr>
                <w:rFonts w:ascii="Calibri" w:hAnsi="Calibri"/>
                <w:color w:val="1F2937"/>
                <w:sz w:val="20"/>
              </w:rPr>
              <w:t>Morsen = melden — Een kleine mors kan groot worden. Meld het altijd, ook als je het zelf hebt opgeruimd.</w:t>
            </w:r>
          </w:p>
        </w:tc>
      </w:tr>
      <w:tr>
        <w:tc>
          <w:tcPr>
            <w:tcW w:type="dxa" w:w="4703"/>
          </w:tcPr>
          <w:p>
            <w:r/>
            <w:r>
              <w:rPr>
                <w:rFonts w:ascii="Calibri" w:hAnsi="Calibri"/>
                <w:color w:val="1F2937"/>
                <w:sz w:val="20"/>
              </w:rPr>
              <w:t>5️⃣</w:t>
            </w:r>
          </w:p>
        </w:tc>
        <w:tc>
          <w:tcPr>
            <w:tcW w:type="dxa" w:w="4703"/>
          </w:tcPr>
          <w:p>
            <w:r/>
            <w:r>
              <w:rPr>
                <w:rFonts w:ascii="Calibri" w:hAnsi="Calibri"/>
                <w:color w:val="1F2937"/>
                <w:sz w:val="20"/>
              </w:rPr>
              <w:t>Vragen stellen — Twijfel je over iets? Vraag het. Geen vraag is te simpel als het om veiligheid gaat.</w:t>
            </w:r>
          </w:p>
        </w:tc>
      </w:tr>
    </w:tbl>
    <w:p/>
    <w:p>
      <w:pPr>
        <w:pStyle w:val="Heading2"/>
      </w:pPr>
      <w:r>
        <w:rPr>
          <w:color w:val="003366"/>
        </w:rPr>
        <w:t>Dagelijkse checklist</w:t>
      </w:r>
    </w:p>
    <w:p>
      <w:pPr>
        <w:spacing w:after="80"/>
        <w:ind w:left="567"/>
      </w:pPr>
      <w:r>
        <w:t>☐  Zijn alle jerrycans goed gesloten en staan ze rechtop?</w:t>
      </w:r>
    </w:p>
    <w:p>
      <w:pPr>
        <w:spacing w:after="80"/>
        <w:ind w:left="567"/>
      </w:pPr>
      <w:r>
        <w:t>☐  Zijn de lekbakken schoon en niet overvol?</w:t>
      </w:r>
    </w:p>
    <w:p>
      <w:pPr>
        <w:spacing w:after="80"/>
        <w:ind w:left="567"/>
      </w:pPr>
      <w:r>
        <w:t>☐  Staat elke stof in de juiste lekbak (geen menging)?</w:t>
      </w:r>
    </w:p>
    <w:p>
      <w:pPr>
        <w:spacing w:after="80"/>
        <w:ind w:left="567"/>
      </w:pPr>
      <w:r>
        <w:t>☐  Is de markering op de vloer nog zichtbaar?</w:t>
      </w:r>
    </w:p>
    <w:p>
      <w:pPr>
        <w:spacing w:after="80"/>
        <w:ind w:left="567"/>
      </w:pPr>
      <w:r>
        <w:t>☐  Zijn er geen schade of lekkage zichtbaar aan verpakkingen?</w:t>
      </w:r>
    </w:p>
    <w:p>
      <w:pPr>
        <w:spacing w:after="80"/>
        <w:ind w:left="567"/>
      </w:pPr>
      <w:r>
        <w:t>☐  Is de toegang tot het rack vrij (geen obstakels)?</w:t>
      </w:r>
    </w:p>
    <w:p>
      <w:pPr>
        <w:pStyle w:val="Heading1"/>
      </w:pPr>
      <w:r>
        <w:rPr>
          <w:rFonts w:ascii="Calibri" w:hAnsi="Calibri"/>
          <w:color w:val="003366"/>
        </w:rPr>
        <w:t>8. Wat te doen bij een incident</w:t>
      </w:r>
    </w:p>
    <w:p>
      <w:r>
        <w:t>Als er iets misgaat — lekkage, morsen, of een reactie tussen stoffen — volg dan dit stappenplan:</w:t>
      </w:r>
    </w:p>
    <w:p>
      <w:pPr>
        <w:spacing w:after="120"/>
        <w:ind w:left="567"/>
      </w:pPr>
      <w:r>
        <w:rPr>
          <w:rFonts w:ascii="Calibri" w:hAnsi="Calibri"/>
          <w:b/>
          <w:color w:val="1F2937"/>
          <w:sz w:val="24"/>
        </w:rPr>
        <w:t>🛑  STOP wat je aan het doen bent</w:t>
      </w:r>
    </w:p>
    <w:p>
      <w:pPr>
        <w:spacing w:after="120"/>
        <w:ind w:left="567"/>
      </w:pPr>
      <w:r>
        <w:rPr>
          <w:rFonts w:ascii="Calibri" w:hAnsi="Calibri"/>
          <w:b/>
          <w:color w:val="1F2937"/>
          <w:sz w:val="24"/>
        </w:rPr>
        <w:t>🏃  VERWIJDER jezelf uit de directe omgeving (minimaal 5 meter afstand)</w:t>
      </w:r>
    </w:p>
    <w:p>
      <w:pPr>
        <w:spacing w:after="120"/>
        <w:ind w:left="567"/>
      </w:pPr>
      <w:r>
        <w:rPr>
          <w:rFonts w:ascii="Calibri" w:hAnsi="Calibri"/>
          <w:b/>
          <w:color w:val="1F2937"/>
          <w:sz w:val="24"/>
        </w:rPr>
        <w:t>📞  BEL de noodcoördinator of je leidinggevende</w:t>
      </w:r>
    </w:p>
    <w:p>
      <w:pPr>
        <w:spacing w:after="120"/>
        <w:ind w:left="567"/>
      </w:pPr>
      <w:r>
        <w:rPr>
          <w:rFonts w:ascii="Calibri" w:hAnsi="Calibri"/>
          <w:b/>
          <w:color w:val="1F2937"/>
          <w:sz w:val="24"/>
        </w:rPr>
        <w:t>🧯  LAAT de opschoning over aan getraind personeel — ruim NIET zelf op</w:t>
      </w:r>
    </w:p>
    <w:p>
      <w:pPr>
        <w:spacing w:after="120"/>
        <w:ind w:left="567"/>
      </w:pPr>
      <w:r>
        <w:rPr>
          <w:rFonts w:ascii="Calibri" w:hAnsi="Calibri"/>
          <w:b/>
          <w:color w:val="1F2937"/>
          <w:sz w:val="24"/>
        </w:rPr>
        <w:t>⏳  WACHT op instructies voordat je terugkeert naar de werkplek</w:t>
      </w:r>
    </w:p>
    <w:p/>
    <w:p>
      <w:pPr>
        <w:pBdr>
          <w:left w:val="single" w:sz="24" w:space="8" w:color="EF4444"/>
        </w:pBdr>
        <w:ind w:left="360" w:right="360"/>
      </w:pPr>
      <w:r>
        <w:rPr>
          <w:rFonts w:ascii="Calibri" w:hAnsi="Calibri"/>
          <w:b/>
          <w:color w:val="003366"/>
          <w:sz w:val="22"/>
        </w:rPr>
        <w:t xml:space="preserve">📞 Noodnummers: </w:t>
      </w:r>
      <w:r>
        <w:rPr>
          <w:rFonts w:ascii="Calibri" w:hAnsi="Calibri"/>
          <w:color w:val="1F2937"/>
          <w:sz w:val="22"/>
        </w:rPr>
        <w:t>Interne noodcoördinator: [in te vullen door Phoenix Metals]</w:t>
        <w:br/>
        <w:t>Bedrijfsnoodnummer: [in te vullen]</w:t>
        <w:br/>
        <w:t>Nationale hulpdiensten: 112</w:t>
      </w:r>
    </w:p>
    <w:p>
      <w:r>
        <w:t>Bel altijd 112 als er mensen gewond zijn, als er grote hoeveelheden vloeistof lekken, of als je het niet meer onder controle hebt.</w:t>
      </w:r>
    </w:p>
    <w:p>
      <w:r>
        <w:t>Een incident kan zich op verschillende manieren voordoen: een jerrycan lekt, een container valt om, of er ontstaat een onverwachte reactie tussen stoffen. Ook kleine morsingen kunnen ernstige consequenties hebben als ze niet direct worden opgepakt. Daarom is dagelijks controleren van lekbakken en verpakkingen zo belangrijk — een kleine lekkage is makkelijker op te lossen dan een grote ramp.</w:t>
      </w:r>
    </w:p>
    <w:p>
      <w:r>
        <w:t>Phoenix Metals heeft een gedetailleerd calamiteitenplan. Hierin staat precies wat er moet gebeuren bij een incident: wie er gebeld moet worden, wie de decontaminatie uitvoert, waar de verzamelplek is, en welke externe hulpdiensten ingeschakeld moeten worden. Het plan is opgesteld volgens de eisen van de Omgevingswet en Arbowet en wordt jaarlijks getoetst.</w:t>
      </w:r>
    </w:p>
    <w:p>
      <w:pPr>
        <w:pStyle w:val="Heading1"/>
      </w:pPr>
      <w:r>
        <w:rPr>
          <w:rFonts w:ascii="Calibri" w:hAnsi="Calibri"/>
          <w:color w:val="003366"/>
        </w:rPr>
        <w:t>9. Woordenlijst</w:t>
      </w:r>
    </w:p>
    <w:tbl>
      <w:tblPr>
        <w:tblW w:type="auto" w:w="0"/>
        <w:jc w:val="center"/>
        <w:tblLook w:firstColumn="1" w:firstRow="1" w:lastColumn="0" w:lastRow="0" w:noHBand="0" w:noVBand="1" w:val="04A0"/>
      </w:tblPr>
      <w:tblGrid>
        <w:gridCol w:w="4703"/>
        <w:gridCol w:w="4703"/>
      </w:tblGrid>
      <w:tr>
        <w:tc>
          <w:tcPr>
            <w:tcW w:type="dxa" w:w="4703"/>
            <w:shd w:fill="003366"/>
          </w:tcPr>
          <w:p>
            <w:pPr>
              <w:jc w:val="left"/>
            </w:pPr>
            <w:r/>
            <w:r>
              <w:rPr>
                <w:rFonts w:ascii="Calibri" w:hAnsi="Calibri"/>
                <w:b/>
                <w:color w:val="FFFFFF"/>
                <w:sz w:val="22"/>
              </w:rPr>
              <w:t>Term</w:t>
            </w:r>
          </w:p>
        </w:tc>
        <w:tc>
          <w:tcPr>
            <w:tcW w:type="dxa" w:w="4703"/>
            <w:shd w:fill="003366"/>
          </w:tcPr>
          <w:p>
            <w:pPr>
              <w:jc w:val="left"/>
            </w:pPr>
            <w:r/>
            <w:r>
              <w:rPr>
                <w:rFonts w:ascii="Calibri" w:hAnsi="Calibri"/>
                <w:b/>
                <w:color w:val="FFFFFF"/>
                <w:sz w:val="22"/>
              </w:rPr>
              <w:t>Uitleg in gewone taal</w:t>
            </w:r>
          </w:p>
        </w:tc>
      </w:tr>
      <w:tr>
        <w:tc>
          <w:tcPr>
            <w:tcW w:type="dxa" w:w="4703"/>
          </w:tcPr>
          <w:p>
            <w:r/>
            <w:r>
              <w:rPr>
                <w:rFonts w:ascii="Calibri" w:hAnsi="Calibri"/>
                <w:b/>
                <w:color w:val="1F2937"/>
                <w:sz w:val="20"/>
              </w:rPr>
              <w:t>ADR</w:t>
            </w:r>
          </w:p>
        </w:tc>
        <w:tc>
          <w:tcPr>
            <w:tcW w:type="dxa" w:w="4703"/>
          </w:tcPr>
          <w:p>
            <w:r/>
            <w:r>
              <w:rPr>
                <w:rFonts w:ascii="Calibri" w:hAnsi="Calibri"/>
                <w:color w:val="1F2937"/>
                <w:sz w:val="20"/>
              </w:rPr>
              <w:t>Accord européen — Europees verdrag voor vervoer van gevaarlijke stoffen. Bepaalt de 'klasse' van een stof.</w:t>
            </w:r>
          </w:p>
        </w:tc>
      </w:tr>
      <w:tr>
        <w:tc>
          <w:tcPr>
            <w:tcW w:type="dxa" w:w="4703"/>
            <w:shd w:fill="F8F9FA"/>
          </w:tcPr>
          <w:p>
            <w:r/>
            <w:r>
              <w:rPr>
                <w:rFonts w:ascii="Calibri" w:hAnsi="Calibri"/>
                <w:b/>
                <w:color w:val="1F2937"/>
                <w:sz w:val="20"/>
              </w:rPr>
              <w:t>PGS</w:t>
            </w:r>
          </w:p>
        </w:tc>
        <w:tc>
          <w:tcPr>
            <w:tcW w:type="dxa" w:w="4703"/>
            <w:shd w:fill="F8F9FA"/>
          </w:tcPr>
          <w:p>
            <w:r/>
            <w:r>
              <w:rPr>
                <w:rFonts w:ascii="Calibri" w:hAnsi="Calibri"/>
                <w:color w:val="1F2937"/>
                <w:sz w:val="20"/>
              </w:rPr>
              <w:t>Publicatiereeks Gevaarlijke Stoffen — Nederlandse richtlijnen voor veilige opslag en gebruik.</w:t>
            </w:r>
          </w:p>
        </w:tc>
      </w:tr>
      <w:tr>
        <w:tc>
          <w:tcPr>
            <w:tcW w:type="dxa" w:w="4703"/>
          </w:tcPr>
          <w:p>
            <w:r/>
            <w:r>
              <w:rPr>
                <w:rFonts w:ascii="Calibri" w:hAnsi="Calibri"/>
                <w:b/>
                <w:color w:val="1F2937"/>
                <w:sz w:val="20"/>
              </w:rPr>
              <w:t>SDS / VIB</w:t>
            </w:r>
          </w:p>
        </w:tc>
        <w:tc>
          <w:tcPr>
            <w:tcW w:type="dxa" w:w="4703"/>
          </w:tcPr>
          <w:p>
            <w:r/>
            <w:r>
              <w:rPr>
                <w:rFonts w:ascii="Calibri" w:hAnsi="Calibri"/>
                <w:color w:val="1F2937"/>
                <w:sz w:val="20"/>
              </w:rPr>
              <w:t>Safety Data Sheet / Veiligheidsinformatieblad — Document met alle veiligheidsinfo over een stof.</w:t>
            </w:r>
          </w:p>
        </w:tc>
      </w:tr>
      <w:tr>
        <w:tc>
          <w:tcPr>
            <w:tcW w:type="dxa" w:w="4703"/>
            <w:shd w:fill="F8F9FA"/>
          </w:tcPr>
          <w:p>
            <w:r/>
            <w:r>
              <w:rPr>
                <w:rFonts w:ascii="Calibri" w:hAnsi="Calibri"/>
                <w:b/>
                <w:color w:val="1F2937"/>
                <w:sz w:val="20"/>
              </w:rPr>
              <w:t>PBM</w:t>
            </w:r>
          </w:p>
        </w:tc>
        <w:tc>
          <w:tcPr>
            <w:tcW w:type="dxa" w:w="4703"/>
            <w:shd w:fill="F8F9FA"/>
          </w:tcPr>
          <w:p>
            <w:r/>
            <w:r>
              <w:rPr>
                <w:rFonts w:ascii="Calibri" w:hAnsi="Calibri"/>
                <w:color w:val="1F2937"/>
                <w:sz w:val="20"/>
              </w:rPr>
              <w:t>Persoonlijke Beschermingsmiddelen — Handschoenen, bril, schort, etc.</w:t>
            </w:r>
          </w:p>
        </w:tc>
      </w:tr>
      <w:tr>
        <w:tc>
          <w:tcPr>
            <w:tcW w:type="dxa" w:w="4703"/>
          </w:tcPr>
          <w:p>
            <w:r/>
            <w:r>
              <w:rPr>
                <w:rFonts w:ascii="Calibri" w:hAnsi="Calibri"/>
                <w:b/>
                <w:color w:val="1F2937"/>
                <w:sz w:val="20"/>
              </w:rPr>
              <w:t>Lekbak</w:t>
            </w:r>
          </w:p>
        </w:tc>
        <w:tc>
          <w:tcPr>
            <w:tcW w:type="dxa" w:w="4703"/>
          </w:tcPr>
          <w:p>
            <w:r/>
            <w:r>
              <w:rPr>
                <w:rFonts w:ascii="Calibri" w:hAnsi="Calibri"/>
                <w:color w:val="1F2937"/>
                <w:sz w:val="20"/>
              </w:rPr>
              <w:t>Een bak onder de verpakking die lekkende vloeistof opvangt. Moet minimaal 110% van het grootste verpakkingsvolume bevatten.</w:t>
            </w:r>
          </w:p>
        </w:tc>
      </w:tr>
      <w:tr>
        <w:tc>
          <w:tcPr>
            <w:tcW w:type="dxa" w:w="4703"/>
            <w:shd w:fill="F8F9FA"/>
          </w:tcPr>
          <w:p>
            <w:r/>
            <w:r>
              <w:rPr>
                <w:rFonts w:ascii="Calibri" w:hAnsi="Calibri"/>
                <w:b/>
                <w:color w:val="1F2937"/>
                <w:sz w:val="20"/>
              </w:rPr>
              <w:t>ADR-klasse 8</w:t>
            </w:r>
          </w:p>
        </w:tc>
        <w:tc>
          <w:tcPr>
            <w:tcW w:type="dxa" w:w="4703"/>
            <w:shd w:fill="F8F9FA"/>
          </w:tcPr>
          <w:p>
            <w:r/>
            <w:r>
              <w:rPr>
                <w:rFonts w:ascii="Calibri" w:hAnsi="Calibri"/>
                <w:color w:val="1F2937"/>
                <w:sz w:val="20"/>
              </w:rPr>
              <w:t>Bijtende stoffen — stoffen die huid, ogen en materialen kunnen aantasten.</w:t>
            </w:r>
          </w:p>
        </w:tc>
      </w:tr>
      <w:tr>
        <w:tc>
          <w:tcPr>
            <w:tcW w:type="dxa" w:w="4703"/>
          </w:tcPr>
          <w:p>
            <w:r/>
            <w:r>
              <w:rPr>
                <w:rFonts w:ascii="Calibri" w:hAnsi="Calibri"/>
                <w:b/>
                <w:color w:val="1F2937"/>
                <w:sz w:val="20"/>
              </w:rPr>
              <w:t>Base</w:t>
            </w:r>
          </w:p>
        </w:tc>
        <w:tc>
          <w:tcPr>
            <w:tcW w:type="dxa" w:w="4703"/>
          </w:tcPr>
          <w:p>
            <w:r/>
            <w:r>
              <w:rPr>
                <w:rFonts w:ascii="Calibri" w:hAnsi="Calibri"/>
                <w:color w:val="1F2937"/>
                <w:sz w:val="20"/>
              </w:rPr>
              <w:t>Een stof die in water een hoge pH geeft (zoals natriumhydroxide). Tegenovergestelde van zuur.</w:t>
            </w:r>
          </w:p>
        </w:tc>
      </w:tr>
      <w:tr>
        <w:tc>
          <w:tcPr>
            <w:tcW w:type="dxa" w:w="4703"/>
            <w:shd w:fill="F8F9FA"/>
          </w:tcPr>
          <w:p>
            <w:r/>
            <w:r>
              <w:rPr>
                <w:rFonts w:ascii="Calibri" w:hAnsi="Calibri"/>
                <w:b/>
                <w:color w:val="1F2937"/>
                <w:sz w:val="20"/>
              </w:rPr>
              <w:t>Zuur</w:t>
            </w:r>
          </w:p>
        </w:tc>
        <w:tc>
          <w:tcPr>
            <w:tcW w:type="dxa" w:w="4703"/>
            <w:shd w:fill="F8F9FA"/>
          </w:tcPr>
          <w:p>
            <w:r/>
            <w:r>
              <w:rPr>
                <w:rFonts w:ascii="Calibri" w:hAnsi="Calibri"/>
                <w:color w:val="1F2937"/>
                <w:sz w:val="20"/>
              </w:rPr>
              <w:t>Een stof die in water een lage pH geeft (zoals zwavelzuur). Tegenovergestelde van base.</w:t>
            </w:r>
          </w:p>
        </w:tc>
      </w:tr>
      <w:tr>
        <w:tc>
          <w:tcPr>
            <w:tcW w:type="dxa" w:w="4703"/>
          </w:tcPr>
          <w:p>
            <w:r/>
            <w:r>
              <w:rPr>
                <w:rFonts w:ascii="Calibri" w:hAnsi="Calibri"/>
                <w:b/>
                <w:color w:val="1F2937"/>
                <w:sz w:val="20"/>
              </w:rPr>
              <w:t>Exotherme reactie</w:t>
            </w:r>
          </w:p>
        </w:tc>
        <w:tc>
          <w:tcPr>
            <w:tcW w:type="dxa" w:w="4703"/>
          </w:tcPr>
          <w:p>
            <w:r/>
            <w:r>
              <w:rPr>
                <w:rFonts w:ascii="Calibri" w:hAnsi="Calibri"/>
                <w:color w:val="1F2937"/>
                <w:sz w:val="20"/>
              </w:rPr>
              <w:t>Een chemische reactie waarbij warmte vrijkomt. Kan leiden tot spatten of brand.</w:t>
            </w:r>
          </w:p>
        </w:tc>
      </w:tr>
      <w:tr>
        <w:tc>
          <w:tcPr>
            <w:tcW w:type="dxa" w:w="4703"/>
            <w:shd w:fill="F8F9FA"/>
          </w:tcPr>
          <w:p>
            <w:r/>
            <w:r>
              <w:rPr>
                <w:rFonts w:ascii="Calibri" w:hAnsi="Calibri"/>
                <w:b/>
                <w:color w:val="1F2937"/>
                <w:sz w:val="20"/>
              </w:rPr>
              <w:t>Brandcompartiment</w:t>
            </w:r>
          </w:p>
        </w:tc>
        <w:tc>
          <w:tcPr>
            <w:tcW w:type="dxa" w:w="4703"/>
            <w:shd w:fill="F8F9FA"/>
          </w:tcPr>
          <w:p>
            <w:r/>
            <w:r>
              <w:rPr>
                <w:rFonts w:ascii="Calibri" w:hAnsi="Calibri"/>
                <w:color w:val="1F2937"/>
                <w:sz w:val="20"/>
              </w:rPr>
              <w:t>Een ruimte die door brandwerende muren/vloeren gescheiden is van andere ruimtes.</w:t>
            </w:r>
          </w:p>
        </w:tc>
      </w:tr>
      <w:tr>
        <w:tc>
          <w:tcPr>
            <w:tcW w:type="dxa" w:w="4703"/>
          </w:tcPr>
          <w:p>
            <w:r/>
            <w:r>
              <w:rPr>
                <w:rFonts w:ascii="Calibri" w:hAnsi="Calibri"/>
                <w:b/>
                <w:color w:val="1F2937"/>
                <w:sz w:val="20"/>
              </w:rPr>
              <w:t>Compatibiliteitsmatrix</w:t>
            </w:r>
          </w:p>
        </w:tc>
        <w:tc>
          <w:tcPr>
            <w:tcW w:type="dxa" w:w="4703"/>
          </w:tcPr>
          <w:p>
            <w:r/>
            <w:r>
              <w:rPr>
                <w:rFonts w:ascii="Calibri" w:hAnsi="Calibri"/>
                <w:color w:val="1F2937"/>
                <w:sz w:val="20"/>
              </w:rPr>
              <w:t>Een tabel die laat zien welke stoffen wel en niet samen opgeslagen mogen worden.</w:t>
            </w:r>
          </w:p>
        </w:tc>
      </w:tr>
      <w:tr>
        <w:tc>
          <w:tcPr>
            <w:tcW w:type="dxa" w:w="4703"/>
            <w:shd w:fill="F8F9FA"/>
          </w:tcPr>
          <w:p>
            <w:r/>
            <w:r>
              <w:rPr>
                <w:rFonts w:ascii="Calibri" w:hAnsi="Calibri"/>
                <w:b/>
                <w:color w:val="1F2937"/>
                <w:sz w:val="20"/>
              </w:rPr>
              <w:t>Verpakkinggroep (PG)</w:t>
            </w:r>
          </w:p>
        </w:tc>
        <w:tc>
          <w:tcPr>
            <w:tcW w:type="dxa" w:w="4703"/>
            <w:shd w:fill="F8F9FA"/>
          </w:tcPr>
          <w:p>
            <w:r/>
            <w:r>
              <w:rPr>
                <w:rFonts w:ascii="Calibri" w:hAnsi="Calibri"/>
                <w:color w:val="1F2937"/>
                <w:sz w:val="20"/>
              </w:rPr>
              <w:t>Geeft het risiconiveau aan: PG I = hoog, PG II = gemiddeld, PG III = laag.</w:t>
            </w:r>
          </w:p>
        </w:tc>
      </w:tr>
    </w:tbl>
    <w:p/>
    <w:p>
      <w:pPr>
        <w:pStyle w:val="Heading1"/>
      </w:pPr>
      <w:r>
        <w:rPr>
          <w:rFonts w:ascii="Calibri" w:hAnsi="Calibri"/>
          <w:color w:val="003366"/>
        </w:rPr>
        <w:t>10. Zelftest</w:t>
      </w:r>
    </w:p>
    <w:p>
      <w:r>
        <w:t>Test je kennis met deze vijf vragen. Noteer je antwoord en controleer met de antwoorden onderaan.</w:t>
      </w:r>
    </w:p>
    <w:p>
      <w:r>
        <w:t>De vragen gaan over de kernpunten van deze studiegids. Als je antwoorden niet alle antwoorden goed hebt, is dat geen probleem — dat betekent gewoon dat je de studiegids nogmaals moet doornemen. Veiligheid draait om voortdurende leer en alertness. Elke dag opnieuw bewust zijn van de gevaren is belangrijker dan perfect scoren op een test.</w:t>
      </w:r>
    </w:p>
    <w:p>
      <w:r>
        <w:t>Denk eraan: deze test is geen eindstation, maar een startpunt. Veiligheid is geen cijfer op een lijst, maat een continue houding. Naarmate je meer ervaring opdoet met de stoffen, zul je beter voelen wat wel en niet veilig is. Laat je bij twijfel altijd adviseren door een ervaren collega of de HSEQ-adviseur.</w:t>
      </w:r>
    </w:p>
    <w:p>
      <w:pPr>
        <w:spacing w:after="120"/>
        <w:ind w:left="567"/>
      </w:pPr>
      <w:r>
        <w:t>1. Natriumhydroxide en zwavelzuur mogen in dezelfde lekbak staan. (Ja/Nee)</w:t>
      </w:r>
    </w:p>
    <w:p>
      <w:pPr>
        <w:spacing w:after="120"/>
        <w:ind w:left="567"/>
      </w:pPr>
      <w:r>
        <w:t>2. Phoenix Metals valt onder het hoogste veiligheidsniveau (VN-A) van PGS 15. (Ja/Nee)</w:t>
      </w:r>
    </w:p>
    <w:p>
      <w:pPr>
        <w:spacing w:after="120"/>
        <w:ind w:left="567"/>
      </w:pPr>
      <w:r>
        <w:t>3. Bij een lekkage moet je de rommel zelf zo snel mogelijk opruimen. (Ja/Nee)</w:t>
      </w:r>
    </w:p>
    <w:p>
      <w:pPr>
        <w:spacing w:after="120"/>
        <w:ind w:left="567"/>
      </w:pPr>
      <w:r>
        <w:t>4. Je moet altijd handschoenen en een veiligheidsbril dragen bij de opslaglocatie. (Ja/Nee)</w:t>
      </w:r>
    </w:p>
    <w:p>
      <w:pPr>
        <w:spacing w:after="120"/>
        <w:ind w:left="567"/>
      </w:pPr>
      <w:r>
        <w:t>5. Als je twijfelt over een stof, kun je het beste even aan je leidinggevende vragen. (Ja/Nee)</w:t>
      </w:r>
    </w:p>
    <w:p/>
    <w:p>
      <w:r>
        <w:rPr>
          <w:rFonts w:ascii="Calibri" w:hAnsi="Calibri"/>
          <w:b/>
          <w:color w:val="003366"/>
        </w:rPr>
        <w:t xml:space="preserve">Antwoorden: </w:t>
      </w:r>
      <w:r>
        <w:rPr>
          <w:rFonts w:ascii="Calibri" w:hAnsi="Calibri"/>
          <w:color w:val="1F2937"/>
        </w:rPr>
        <w:t>1. Nee  |  2. Nee  |  3. Nee  |  4. Ja  |  5. Ja</w:t>
      </w:r>
    </w:p>
    <w:p/>
    <w:p/>
    <w:p>
      <w:pPr>
        <w:pStyle w:val="Heading2"/>
      </w:pPr>
      <w:r>
        <w:rPr>
          <w:color w:val="003366"/>
        </w:rPr>
        <w:t>Bronnen</w:t>
      </w:r>
    </w:p>
    <w:p>
      <w:pPr>
        <w:spacing w:after="40"/>
      </w:pPr>
      <w:r>
        <w:rPr>
          <w:rFonts w:ascii="Calibri" w:hAnsi="Calibri"/>
          <w:sz w:val="18"/>
        </w:rPr>
        <w:t>[1] PGS 15:2025 — Publicatiereeks Gevaarlijke Stoffen, Opslag van verpakte gevaarlijke stoffen</w:t>
      </w:r>
    </w:p>
    <w:p>
      <w:pPr>
        <w:spacing w:after="40"/>
      </w:pPr>
      <w:r>
        <w:rPr>
          <w:rFonts w:ascii="Calibri" w:hAnsi="Calibri"/>
          <w:sz w:val="18"/>
        </w:rPr>
        <w:t>[2] ADR — Accord européen relatif au transport international des marchandises Dangereuses par Route</w:t>
      </w:r>
    </w:p>
    <w:p>
      <w:pPr>
        <w:spacing w:after="40"/>
      </w:pPr>
      <w:r>
        <w:rPr>
          <w:rFonts w:ascii="Calibri" w:hAnsi="Calibri"/>
          <w:sz w:val="18"/>
        </w:rPr>
        <w:t>[3] PGS 15:2025, Tabel 6 &amp; Tabel 7 — Drempelwaarden veiligheidsniveaus</w:t>
      </w:r>
    </w:p>
    <w:p>
      <w:pPr>
        <w:spacing w:after="40"/>
      </w:pPr>
      <w:r>
        <w:rPr>
          <w:rFonts w:ascii="Calibri" w:hAnsi="Calibri"/>
          <w:sz w:val="18"/>
        </w:rPr>
        <w:t>[4] Omgevingswet — Artikel 1.1, zorgplicht en Artikel 8.7, externe veiligheid</w:t>
      </w:r>
    </w:p>
    <w:p>
      <w:pPr>
        <w:spacing w:after="40"/>
      </w:pPr>
      <w:r>
        <w:rPr>
          <w:rFonts w:ascii="Calibri" w:hAnsi="Calibri"/>
          <w:sz w:val="18"/>
        </w:rPr>
        <w:t>[5] Arbowet — Artikel 4.1c, verplichting veilige werkomstandigheden</w:t>
      </w:r>
    </w:p>
    <w:sectPr w:rsidR="00FC693F" w:rsidRPr="0006063C" w:rsidSect="00034616">
      <w:headerReference w:type="default" r:id="rId9"/>
      <w:footerReference w:type="default" r:id="rId10"/>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374151"/>
        <w:sz w:val="16"/>
      </w:rPr>
      <w:t>© 2026 JvG Consultancy | HSEQ | 26 april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374151"/>
        <w:sz w:val="16"/>
      </w:rPr>
      <w:t>JvG Consultancy | PGS-15 Studiegids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