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drawing>
          <wp:inline xmlns:a="http://schemas.openxmlformats.org/drawingml/2006/main" xmlns:pic="http://schemas.openxmlformats.org/drawingml/2006/picture">
            <wp:extent cx="2286000" cy="2049517"/>
            <wp:docPr id="1" name="Picture 1"/>
            <wp:cNvGraphicFramePr>
              <a:graphicFrameLocks noChangeAspect="1"/>
            </wp:cNvGraphicFramePr>
            <a:graphic>
              <a:graphicData uri="http://schemas.openxmlformats.org/drawingml/2006/picture">
                <pic:pic>
                  <pic:nvPicPr>
                    <pic:cNvPr id="0" name="jvg-consultancy-logo.jpg"/>
                    <pic:cNvPicPr/>
                  </pic:nvPicPr>
                  <pic:blipFill>
                    <a:blip r:embed="rId9"/>
                    <a:stretch>
                      <a:fillRect/>
                    </a:stretch>
                  </pic:blipFill>
                  <pic:spPr>
                    <a:xfrm>
                      <a:off x="0" y="0"/>
                      <a:ext cx="2286000" cy="2049517"/>
                    </a:xfrm>
                    <a:prstGeom prst="rect"/>
                  </pic:spPr>
                </pic:pic>
              </a:graphicData>
            </a:graphic>
          </wp:inline>
        </w:drawing>
      </w:r>
    </w:p>
    <w:p/>
    <w:p>
      <w:pPr>
        <w:jc w:val="center"/>
      </w:pPr>
      <w:r>
        <w:rPr>
          <w:rFonts w:ascii="Calibri" w:hAnsi="Calibri"/>
          <w:b/>
          <w:color w:val="003366"/>
          <w:sz w:val="56"/>
        </w:rPr>
        <w:t>PGS-15 COMPLIANCE</w:t>
      </w:r>
    </w:p>
    <w:p>
      <w:pPr>
        <w:jc w:val="center"/>
      </w:pPr>
      <w:r>
        <w:rPr>
          <w:rFonts w:ascii="Calibri" w:hAnsi="Calibri"/>
          <w:b/>
          <w:color w:val="003366"/>
          <w:sz w:val="56"/>
        </w:rPr>
        <w:t>KENNISDOSSIER</w:t>
      </w:r>
    </w:p>
    <w:p/>
    <w:p>
      <w:pPr>
        <w:jc w:val="center"/>
      </w:pPr>
      <w:r>
        <w:rPr>
          <w:rFonts w:ascii="Calibri" w:hAnsi="Calibri"/>
          <w:b/>
          <w:color w:val="374151"/>
          <w:sz w:val="36"/>
        </w:rPr>
        <w:t>Phoenix Metals IJmuiden</w:t>
      </w:r>
    </w:p>
    <w:p>
      <w:pPr>
        <w:jc w:val="center"/>
      </w:pPr>
      <w:r>
        <w:rPr>
          <w:rFonts w:ascii="Calibri" w:hAnsi="Calibri"/>
          <w:b w:val="0"/>
          <w:color w:val="374151"/>
          <w:sz w:val="28"/>
        </w:rPr>
        <w:t>Opslag van Verpakte Gevaarlijke Stoffen</w:t>
      </w:r>
    </w:p>
    <w:p/>
    <w:p>
      <w:pPr>
        <w:jc w:val="center"/>
      </w:pPr>
      <w:r>
        <w:rPr>
          <w:rFonts w:ascii="Calibri" w:hAnsi="Calibri"/>
          <w:b/>
          <w:sz w:val="22"/>
        </w:rPr>
        <w:t xml:space="preserve">Project: </w:t>
      </w:r>
      <w:r>
        <w:rPr>
          <w:rFonts w:ascii="Calibri" w:hAnsi="Calibri"/>
          <w:sz w:val="22"/>
        </w:rPr>
        <w:t>2026-pgs15-phoenix-metals</w:t>
      </w:r>
    </w:p>
    <w:p>
      <w:pPr>
        <w:jc w:val="center"/>
      </w:pPr>
      <w:r>
        <w:rPr>
          <w:rFonts w:ascii="Calibri" w:hAnsi="Calibri"/>
          <w:b/>
          <w:sz w:val="22"/>
        </w:rPr>
        <w:t xml:space="preserve">Opdrachtgever: </w:t>
      </w:r>
      <w:r>
        <w:rPr>
          <w:rFonts w:ascii="Calibri" w:hAnsi="Calibri"/>
          <w:sz w:val="22"/>
        </w:rPr>
        <w:t>Phoenix Metals IJmuiden</w:t>
      </w:r>
    </w:p>
    <w:p>
      <w:pPr>
        <w:jc w:val="center"/>
      </w:pPr>
      <w:r>
        <w:rPr>
          <w:rFonts w:ascii="Calibri" w:hAnsi="Calibri"/>
          <w:b/>
          <w:sz w:val="22"/>
        </w:rPr>
        <w:t xml:space="preserve">Adviseur: </w:t>
      </w:r>
      <w:r>
        <w:rPr>
          <w:rFonts w:ascii="Calibri" w:hAnsi="Calibri"/>
          <w:sz w:val="22"/>
        </w:rPr>
        <w:t>JvG Consultancy — HSEQ Divisie</w:t>
      </w:r>
    </w:p>
    <w:p>
      <w:pPr>
        <w:jc w:val="center"/>
      </w:pPr>
      <w:r>
        <w:rPr>
          <w:rFonts w:ascii="Calibri" w:hAnsi="Calibri"/>
          <w:b/>
          <w:sz w:val="22"/>
        </w:rPr>
        <w:t xml:space="preserve">Versie: </w:t>
      </w:r>
      <w:r>
        <w:rPr>
          <w:rFonts w:ascii="Calibri" w:hAnsi="Calibri"/>
          <w:sz w:val="22"/>
        </w:rPr>
        <w:t>1.0</w:t>
      </w:r>
    </w:p>
    <w:p>
      <w:pPr>
        <w:jc w:val="center"/>
      </w:pPr>
      <w:r>
        <w:rPr>
          <w:rFonts w:ascii="Calibri" w:hAnsi="Calibri"/>
          <w:b/>
          <w:sz w:val="22"/>
        </w:rPr>
        <w:t xml:space="preserve">Datum: </w:t>
      </w:r>
      <w:r>
        <w:rPr>
          <w:rFonts w:ascii="Calibri" w:hAnsi="Calibri"/>
          <w:sz w:val="22"/>
        </w:rPr>
        <w:t>26 april 2026</w:t>
      </w:r>
    </w:p>
    <w:p>
      <w:pPr>
        <w:jc w:val="center"/>
      </w:pPr>
      <w:r>
        <w:rPr>
          <w:rFonts w:ascii="Calibri" w:hAnsi="Calibri"/>
          <w:b/>
          <w:sz w:val="22"/>
        </w:rPr>
        <w:t xml:space="preserve">Classificatie: </w:t>
      </w:r>
      <w:r>
        <w:rPr>
          <w:rFonts w:ascii="Calibri" w:hAnsi="Calibri"/>
          <w:sz w:val="22"/>
        </w:rPr>
        <w:t>Vertrouwelijk</w:t>
      </w:r>
    </w:p>
    <w:p>
      <w:pPr>
        <w:jc w:val="center"/>
      </w:pPr>
      <w:r>
        <w:rPr>
          <w:rFonts w:ascii="Calibri" w:hAnsi="Calibri"/>
          <w:b/>
          <w:sz w:val="22"/>
        </w:rPr>
        <w:t xml:space="preserve">Bron: </w:t>
      </w:r>
      <w:r>
        <w:rPr>
          <w:rFonts w:ascii="Calibri" w:hAnsi="Calibri"/>
          <w:sz w:val="22"/>
        </w:rPr>
        <w:t>PGS 15:2025 versie 1.0 (januari 2025)</w:t>
      </w:r>
    </w:p>
    <w:p>
      <w:pPr>
        <w:jc w:val="center"/>
      </w:pPr>
      <w:r>
        <w:rPr>
          <w:rFonts w:ascii="Calibri" w:hAnsi="Calibri"/>
          <w:b/>
          <w:sz w:val="22"/>
        </w:rPr>
        <w:t xml:space="preserve">Status: </w:t>
      </w:r>
      <w:r>
        <w:rPr>
          <w:rFonts w:ascii="Calibri" w:hAnsi="Calibri"/>
          <w:sz w:val="22"/>
        </w:rPr>
        <w:t>Definitief</w:t>
      </w:r>
    </w:p>
    <w:p/>
    <w:p>
      <w:pPr>
        <w:jc w:val="center"/>
      </w:pPr>
      <w:r>
        <w:rPr>
          <w:b/>
          <w:color w:val="FF6D00"/>
          <w:sz w:val="24"/>
        </w:rPr>
        <w:t>⚠️ VERTROUWELIJK</w:t>
      </w:r>
    </w:p>
    <w:p/>
    <w:p>
      <w:pPr>
        <w:jc w:val="center"/>
      </w:pPr>
      <w:r>
        <w:rPr>
          <w:rFonts w:ascii="Calibri" w:hAnsi="Calibri"/>
          <w:b w:val="0"/>
          <w:color w:val="374151"/>
          <w:sz w:val="20"/>
        </w:rPr>
        <w:t>Dit document is vertrouwelijk en uitsluitend bestemd voor Phoenix Metals IJmuiden en JvG Consultancy. Ongeautoriseerde verspreiding is verboden.</w:t>
      </w:r>
    </w:p>
    <w:p>
      <w:r>
        <w:br w:type="page"/>
      </w:r>
    </w:p>
    <w:p>
      <w:pPr>
        <w:pStyle w:val="Heading1"/>
      </w:pPr>
      <w:r>
        <w:t>Management Samenvatting</w:t>
      </w:r>
    </w:p>
    <w:p>
      <w:r>
        <w:rPr>
          <w:rFonts w:ascii="Calibri" w:hAnsi="Calibri"/>
          <w:b w:val="0"/>
          <w:sz w:val="22"/>
        </w:rPr>
        <w:t>Dit kennisdossier biedt een uitgebreid inzicht in de PGS 15:2025 compliance-verplichtingen voor Phoenix Metals IJmuiden, specifiek gericht op de opslag van verpakte gevaarlijke stoffen.</w:t>
      </w:r>
    </w:p>
    <w:p/>
    <w:p>
      <w:r>
        <w:rPr>
          <w:rFonts w:ascii="Calibri" w:hAnsi="Calibri"/>
          <w:b/>
          <w:sz w:val="22"/>
        </w:rPr>
        <w:t>Kernbevindingen:</w:t>
      </w:r>
    </w:p>
    <w:p>
      <w:pPr>
        <w:pStyle w:val="ListBullet"/>
        <w:ind w:left="850"/>
      </w:pPr>
      <w:r>
        <w:t>Phoenix Metals hanteert momenteel 6 gevaarlijke stoffen (totaal ~300 liter / ~390 kg), uitsluitend ADR-klasse 8 (bijtende stoffen) en niet-ADR-goederen.</w:t>
      </w:r>
    </w:p>
    <w:p>
      <w:pPr>
        <w:pStyle w:val="ListBullet"/>
        <w:ind w:left="850"/>
      </w:pPr>
      <w:r>
        <w:t>Het totaal volume zit ver onder alle PGS 15 drempelwaarden. Basisveiligheidsniveau volstaat — geen aanvullend veiligheidsniveau (A/B/C) vereist.</w:t>
      </w:r>
    </w:p>
    <w:p>
      <w:pPr>
        <w:pStyle w:val="ListBullet"/>
        <w:ind w:left="850"/>
      </w:pPr>
      <w:r>
        <w:t>KRITIEK: Natriumhydroxide (base) en Zwavelzuur (zuur) staan momenteel op hetzelfde rack. Dit is niet-compliant met PGS 15 Bijlage E, Tabel 9 (ADR 8 ↔ ADR 8 = A-scheiding vereist).</w:t>
      </w:r>
    </w:p>
    <w:p/>
    <w:p>
      <w:r>
        <w:rPr>
          <w:rFonts w:ascii="Calibri" w:hAnsi="Calibri"/>
          <w:b/>
          <w:color w:val="FF6D00"/>
          <w:sz w:val="22"/>
        </w:rPr>
        <w:t>Directe actiepunten:</w:t>
      </w:r>
    </w:p>
    <w:p>
      <w:pPr>
        <w:pStyle w:val="ListBullet"/>
        <w:ind w:left="850"/>
      </w:pPr>
      <w:r>
        <w:t>Actie 1: Scheiden van NaOH en H₂SO₄ in aparte lekbakken met minimaal 2 meter afstand</w:t>
      </w:r>
    </w:p>
    <w:p>
      <w:pPr>
        <w:pStyle w:val="ListBullet"/>
        <w:ind w:left="850"/>
      </w:pPr>
      <w:r>
        <w:t>Actie 2: Calcium oxide apart opslaan van alle zwavelzuurproducten</w:t>
      </w:r>
    </w:p>
    <w:p>
      <w:pPr>
        <w:pStyle w:val="ListBullet"/>
        <w:ind w:left="850"/>
      </w:pPr>
      <w:r>
        <w:t>Actie 3: Vloeistofopvang (lekbakken) installeren voor alle jerrycans (minimaal 110% van grootste verpakking)</w:t>
      </w:r>
    </w:p>
    <w:p>
      <w:r>
        <w:br w:type="page"/>
      </w:r>
    </w:p>
    <w:p>
      <w:pPr>
        <w:pStyle w:val="Heading1"/>
      </w:pPr>
      <w:r>
        <w:t>1. Introductie PGS 15:2025</w:t>
      </w:r>
    </w:p>
    <w:p>
      <w:pPr>
        <w:pStyle w:val="Heading2"/>
      </w:pPr>
      <w:r>
        <w:t>1.1 Doel en Reikwijdte</w:t>
      </w:r>
    </w:p>
    <w:p>
      <w:r>
        <w:rPr>
          <w:rFonts w:ascii="Calibri" w:hAnsi="Calibri"/>
          <w:b w:val="0"/>
          <w:sz w:val="22"/>
        </w:rPr>
        <w:t>PGS 15 is de Publicatiereeks Gevaarlijke Stoffen-richtlijn voor de opslag van verpakte gevaarlijke stoffen. De richtlijn biedt een systematiek van doelen en maatregelen om de risico's van opslag van gevaarlijke stoffen te beheersen [1].</w:t>
      </w:r>
    </w:p>
    <w:p>
      <w:r>
        <w:rPr>
          <w:rFonts w:ascii="Calibri" w:hAnsi="Calibri"/>
          <w:b w:val="0"/>
          <w:sz w:val="22"/>
        </w:rPr>
        <w:t>De huidige versie, PGS 15:2025 versie 1.0 (januari 2025), vervangt de eerdere versies en bevat bijgewerkte veiligheidsniveaus, drempelwaarden en maatregelen [1].</w:t>
      </w:r>
    </w:p>
    <w:p>
      <w:pPr>
        <w:pStyle w:val="Heading2"/>
      </w:pPr>
      <w:r>
        <w:t>1.2 Juridische Status</w:t>
      </w:r>
    </w:p>
    <w:p>
      <w:r>
        <w:rPr>
          <w:rFonts w:ascii="Calibri" w:hAnsi="Calibri"/>
          <w:b w:val="0"/>
          <w:sz w:val="22"/>
        </w:rPr>
        <w:t>PGS 15 heeft een informatieve juridische status. De richtlijn is geen wet op zich, maar fungeert als referentiekader binnen het stelsel van de Omgevingswet:</w:t>
      </w:r>
    </w:p>
    <w:p>
      <w:pPr>
        <w:pStyle w:val="ListBullet"/>
        <w:ind w:left="850"/>
      </w:pPr>
      <w:r>
        <w:t>Bouwbesluit leefomgeving (Bbl): Brandcompartimentering en constructieve eisen</w:t>
      </w:r>
    </w:p>
    <w:p>
      <w:pPr>
        <w:pStyle w:val="ListBullet"/>
        <w:ind w:left="850"/>
      </w:pPr>
      <w:r>
        <w:t>Besluit kwaliteit leefomgeving (Bkl): Externe veiligheidsafstanden</w:t>
      </w:r>
    </w:p>
    <w:p>
      <w:pPr>
        <w:pStyle w:val="ListBullet"/>
        <w:ind w:left="850"/>
      </w:pPr>
      <w:r>
        <w:t>Besluit activiteiten leefomgeving (Bal): Activiteiten met gevaarlijke stoffen</w:t>
      </w:r>
    </w:p>
    <w:p>
      <w:pPr>
        <w:pStyle w:val="ListBullet"/>
        <w:ind w:left="850"/>
      </w:pPr>
      <w:r>
        <w:t>Arbeidsomstandighedenwet (Arbowet): Zorgplicht, RI&amp;E, werkomstandigheden</w:t>
      </w:r>
    </w:p>
    <w:p>
      <w:r>
        <w:rPr>
          <w:rFonts w:ascii="Calibri" w:hAnsi="Calibri"/>
          <w:b w:val="0"/>
          <w:sz w:val="22"/>
        </w:rPr>
        <w:t>Bedrijven die onder de Seveso-richtlijn vallen moeten aanvullend voldoen aan NEN-EN-ISO 14001, NEN-EN-ISO 45001 of NTA 8620 [1].</w:t>
      </w:r>
    </w:p>
    <w:p>
      <w:pPr>
        <w:pStyle w:val="Heading2"/>
      </w:pPr>
      <w:r>
        <w:t>1.3 Toepassingsgebied</w:t>
      </w:r>
    </w:p>
    <w:p>
      <w:r>
        <w:rPr>
          <w:rFonts w:ascii="Calibri" w:hAnsi="Calibri"/>
          <w:b w:val="0"/>
          <w:sz w:val="22"/>
        </w:rPr>
        <w:t>PGS 15 is van toepassing op de opslag van verpakte gevaarlijke stoffen die vallen onder ADR-klassen 2 t/m 9 (exclusief klasse 1, 7, en lithiumhoudende energiedragers). De richtlijn geldt voor zowel binnen- als buitenopslag, brandveiligheidsopslagkasten, (tank)containers en tijdelijke opslag [1].</w:t>
      </w:r>
    </w:p>
    <w:p>
      <w:r>
        <w:br w:type="page"/>
      </w:r>
    </w:p>
    <w:p>
      <w:pPr>
        <w:pStyle w:val="Heading1"/>
      </w:pPr>
      <w:r>
        <w:t>2. Bedrijfsprofiel Phoenix Metals</w:t>
      </w:r>
    </w:p>
    <w:p>
      <w:pPr>
        <w:pStyle w:val="Heading2"/>
      </w:pPr>
      <w:r>
        <w:t>2.1 Algemeen</w:t>
      </w:r>
    </w:p>
    <w:p>
      <w:r>
        <w:rPr>
          <w:rFonts w:ascii="Calibri" w:hAnsi="Calibri"/>
          <w:b w:val="0"/>
          <w:sz w:val="22"/>
        </w:rPr>
        <w:t>Phoenix Metals is gevestigd in IJmuiden en exploiteert een pilotfaciliteit voor metaalverwerking en chemische procesvoering. Het bedrijf verwerkt staalslakken tot vanadium-elektrolyten en hanteert hiervoor een beperkt aantal chemische stoffen [3].</w:t>
      </w:r>
    </w:p>
    <w:p>
      <w:pPr>
        <w:pStyle w:val="Heading2"/>
      </w:pPr>
      <w:r>
        <w:t>2.2 Chemisch Register</w:t>
      </w:r>
    </w:p>
    <w:p>
      <w:r>
        <w:rPr>
          <w:rFonts w:ascii="Calibri" w:hAnsi="Calibri"/>
          <w:b w:val="0"/>
          <w:sz w:val="22"/>
        </w:rPr>
        <w:t>Onderstaande tabel toont het volledige chemisch register zoals gedocumenteerd in de Registration Chemicals MASTER v2.1.0 [3].</w:t>
      </w:r>
    </w:p>
    <w:tbl>
      <w:tblPr>
        <w:tblStyle w:val="TableGrid"/>
        <w:tblW w:type="auto" w:w="0"/>
        <w:jc w:val="center"/>
        <w:tblLook w:firstColumn="1" w:firstRow="1" w:lastColumn="0" w:lastRow="0" w:noHBand="0" w:noVBand="1" w:val="04A0"/>
      </w:tblPr>
      <w:tblGrid>
        <w:gridCol w:w="1080"/>
        <w:gridCol w:w="1080"/>
        <w:gridCol w:w="1080"/>
        <w:gridCol w:w="1080"/>
        <w:gridCol w:w="1080"/>
        <w:gridCol w:w="1080"/>
        <w:gridCol w:w="1080"/>
        <w:gridCol w:w="1080"/>
      </w:tblGrid>
      <w:tr>
        <w:tc>
          <w:tcPr>
            <w:tcW w:type="dxa" w:w="1080"/>
            <w:shd w:fill="003366"/>
          </w:tcPr>
          <w:p>
            <w:pPr>
              <w:jc w:val="center"/>
            </w:pPr>
            <w:r/>
            <w:r>
              <w:rPr>
                <w:rFonts w:ascii="Calibri" w:hAnsi="Calibri"/>
                <w:b/>
                <w:color w:val="FFFFFF"/>
                <w:sz w:val="20"/>
              </w:rPr>
              <w:t>#</w:t>
            </w:r>
          </w:p>
        </w:tc>
        <w:tc>
          <w:tcPr>
            <w:tcW w:type="dxa" w:w="1080"/>
            <w:shd w:fill="003366"/>
          </w:tcPr>
          <w:p>
            <w:pPr>
              <w:jc w:val="center"/>
            </w:pPr>
            <w:r/>
            <w:r>
              <w:rPr>
                <w:rFonts w:ascii="Calibri" w:hAnsi="Calibri"/>
                <w:b/>
                <w:color w:val="FFFFFF"/>
                <w:sz w:val="20"/>
              </w:rPr>
              <w:t>Stof</w:t>
            </w:r>
          </w:p>
        </w:tc>
        <w:tc>
          <w:tcPr>
            <w:tcW w:type="dxa" w:w="1080"/>
            <w:shd w:fill="003366"/>
          </w:tcPr>
          <w:p>
            <w:pPr>
              <w:jc w:val="center"/>
            </w:pPr>
            <w:r/>
            <w:r>
              <w:rPr>
                <w:rFonts w:ascii="Calibri" w:hAnsi="Calibri"/>
                <w:b/>
                <w:color w:val="FFFFFF"/>
                <w:sz w:val="20"/>
              </w:rPr>
              <w:t>CAS-nummer</w:t>
            </w:r>
          </w:p>
        </w:tc>
        <w:tc>
          <w:tcPr>
            <w:tcW w:type="dxa" w:w="1080"/>
            <w:shd w:fill="003366"/>
          </w:tcPr>
          <w:p>
            <w:pPr>
              <w:jc w:val="center"/>
            </w:pPr>
            <w:r/>
            <w:r>
              <w:rPr>
                <w:rFonts w:ascii="Calibri" w:hAnsi="Calibri"/>
                <w:b/>
                <w:color w:val="FFFFFF"/>
                <w:sz w:val="20"/>
              </w:rPr>
              <w:t>ADR</w:t>
            </w:r>
          </w:p>
        </w:tc>
        <w:tc>
          <w:tcPr>
            <w:tcW w:type="dxa" w:w="1080"/>
            <w:shd w:fill="003366"/>
          </w:tcPr>
          <w:p>
            <w:pPr>
              <w:jc w:val="center"/>
            </w:pPr>
            <w:r/>
            <w:r>
              <w:rPr>
                <w:rFonts w:ascii="Calibri" w:hAnsi="Calibri"/>
                <w:b/>
                <w:color w:val="FFFFFF"/>
                <w:sz w:val="20"/>
              </w:rPr>
              <w:t>PG</w:t>
            </w:r>
          </w:p>
        </w:tc>
        <w:tc>
          <w:tcPr>
            <w:tcW w:type="dxa" w:w="1080"/>
            <w:shd w:fill="003366"/>
          </w:tcPr>
          <w:p>
            <w:pPr>
              <w:jc w:val="center"/>
            </w:pPr>
            <w:r/>
            <w:r>
              <w:rPr>
                <w:rFonts w:ascii="Calibri" w:hAnsi="Calibri"/>
                <w:b/>
                <w:color w:val="FFFFFF"/>
                <w:sz w:val="20"/>
              </w:rPr>
              <w:t>Volume</w:t>
            </w:r>
          </w:p>
        </w:tc>
        <w:tc>
          <w:tcPr>
            <w:tcW w:type="dxa" w:w="1080"/>
            <w:shd w:fill="003366"/>
          </w:tcPr>
          <w:p>
            <w:pPr>
              <w:jc w:val="center"/>
            </w:pPr>
            <w:r/>
            <w:r>
              <w:rPr>
                <w:rFonts w:ascii="Calibri" w:hAnsi="Calibri"/>
                <w:b/>
                <w:color w:val="FFFFFF"/>
                <w:sz w:val="20"/>
              </w:rPr>
              <w:t>Verpakking</w:t>
            </w:r>
          </w:p>
        </w:tc>
        <w:tc>
          <w:tcPr>
            <w:tcW w:type="dxa" w:w="1080"/>
            <w:shd w:fill="003366"/>
          </w:tcPr>
          <w:p>
            <w:pPr>
              <w:jc w:val="center"/>
            </w:pPr>
            <w:r/>
            <w:r>
              <w:rPr>
                <w:rFonts w:ascii="Calibri" w:hAnsi="Calibri"/>
                <w:b/>
                <w:color w:val="FFFFFF"/>
                <w:sz w:val="20"/>
              </w:rPr>
              <w:t>Locatie</w:t>
            </w:r>
          </w:p>
        </w:tc>
      </w:tr>
      <w:tr>
        <w:tc>
          <w:tcPr>
            <w:tcW w:type="dxa" w:w="1080"/>
          </w:tcPr>
          <w:p>
            <w:r/>
            <w:r>
              <w:rPr>
                <w:rFonts w:ascii="Calibri" w:hAnsi="Calibri"/>
                <w:sz w:val="20"/>
              </w:rPr>
              <w:t>1</w:t>
            </w:r>
          </w:p>
        </w:tc>
        <w:tc>
          <w:tcPr>
            <w:tcW w:type="dxa" w:w="1080"/>
          </w:tcPr>
          <w:p>
            <w:r/>
            <w:r>
              <w:rPr>
                <w:rFonts w:ascii="Calibri" w:hAnsi="Calibri"/>
                <w:sz w:val="20"/>
              </w:rPr>
              <w:t>Sodium hydroxide, 50% in water</w:t>
            </w:r>
          </w:p>
        </w:tc>
        <w:tc>
          <w:tcPr>
            <w:tcW w:type="dxa" w:w="1080"/>
          </w:tcPr>
          <w:p>
            <w:r/>
            <w:r>
              <w:rPr>
                <w:rFonts w:ascii="Calibri" w:hAnsi="Calibri"/>
                <w:sz w:val="20"/>
              </w:rPr>
              <w:t>1310-73-2</w:t>
            </w:r>
          </w:p>
        </w:tc>
        <w:tc>
          <w:tcPr>
            <w:tcW w:type="dxa" w:w="1080"/>
          </w:tcPr>
          <w:p>
            <w:r/>
            <w:r>
              <w:rPr>
                <w:rFonts w:ascii="Calibri" w:hAnsi="Calibri"/>
                <w:sz w:val="20"/>
              </w:rPr>
              <w:t>8</w:t>
            </w:r>
          </w:p>
        </w:tc>
        <w:tc>
          <w:tcPr>
            <w:tcW w:type="dxa" w:w="1080"/>
          </w:tcPr>
          <w:p>
            <w:r/>
            <w:r>
              <w:rPr>
                <w:rFonts w:ascii="Calibri" w:hAnsi="Calibri"/>
                <w:sz w:val="20"/>
              </w:rPr>
              <w:t>II</w:t>
            </w:r>
          </w:p>
        </w:tc>
        <w:tc>
          <w:tcPr>
            <w:tcW w:type="dxa" w:w="1080"/>
          </w:tcPr>
          <w:p>
            <w:r/>
            <w:r>
              <w:rPr>
                <w:rFonts w:ascii="Calibri" w:hAnsi="Calibri"/>
                <w:sz w:val="20"/>
              </w:rPr>
              <w:t>100 l (4×25)</w:t>
            </w:r>
          </w:p>
        </w:tc>
        <w:tc>
          <w:tcPr>
            <w:tcW w:type="dxa" w:w="1080"/>
          </w:tcPr>
          <w:p>
            <w:r/>
            <w:r>
              <w:rPr>
                <w:rFonts w:ascii="Calibri" w:hAnsi="Calibri"/>
                <w:sz w:val="20"/>
              </w:rPr>
              <w:t>Jerrycan</w:t>
            </w:r>
          </w:p>
        </w:tc>
        <w:tc>
          <w:tcPr>
            <w:tcW w:type="dxa" w:w="1080"/>
          </w:tcPr>
          <w:p>
            <w:r/>
            <w:r>
              <w:rPr>
                <w:rFonts w:ascii="Calibri" w:hAnsi="Calibri"/>
                <w:sz w:val="20"/>
              </w:rPr>
              <w:t>Rack front of lab</w:t>
            </w:r>
          </w:p>
        </w:tc>
      </w:tr>
      <w:tr>
        <w:tc>
          <w:tcPr>
            <w:tcW w:type="dxa" w:w="1080"/>
            <w:shd w:fill="F8F9FA"/>
          </w:tcPr>
          <w:p>
            <w:r/>
            <w:r>
              <w:rPr>
                <w:rFonts w:ascii="Calibri" w:hAnsi="Calibri"/>
                <w:sz w:val="20"/>
              </w:rPr>
              <w:t>2</w:t>
            </w:r>
          </w:p>
        </w:tc>
        <w:tc>
          <w:tcPr>
            <w:tcW w:type="dxa" w:w="1080"/>
            <w:shd w:fill="F8F9FA"/>
          </w:tcPr>
          <w:p>
            <w:r/>
            <w:r>
              <w:rPr>
                <w:rFonts w:ascii="Calibri" w:hAnsi="Calibri"/>
                <w:sz w:val="20"/>
              </w:rPr>
              <w:t>Sulfuric acid, 75% in water</w:t>
            </w:r>
          </w:p>
        </w:tc>
        <w:tc>
          <w:tcPr>
            <w:tcW w:type="dxa" w:w="1080"/>
            <w:shd w:fill="F8F9FA"/>
          </w:tcPr>
          <w:p>
            <w:r/>
            <w:r>
              <w:rPr>
                <w:rFonts w:ascii="Calibri" w:hAnsi="Calibri"/>
                <w:sz w:val="20"/>
              </w:rPr>
              <w:t>7664-93-9</w:t>
            </w:r>
          </w:p>
        </w:tc>
        <w:tc>
          <w:tcPr>
            <w:tcW w:type="dxa" w:w="1080"/>
            <w:shd w:fill="F8F9FA"/>
          </w:tcPr>
          <w:p>
            <w:r/>
            <w:r>
              <w:rPr>
                <w:rFonts w:ascii="Calibri" w:hAnsi="Calibri"/>
                <w:sz w:val="20"/>
              </w:rPr>
              <w:t>8</w:t>
            </w:r>
          </w:p>
        </w:tc>
        <w:tc>
          <w:tcPr>
            <w:tcW w:type="dxa" w:w="1080"/>
            <w:shd w:fill="F8F9FA"/>
          </w:tcPr>
          <w:p>
            <w:r/>
            <w:r>
              <w:rPr>
                <w:rFonts w:ascii="Calibri" w:hAnsi="Calibri"/>
                <w:sz w:val="20"/>
              </w:rPr>
              <w:t>II</w:t>
            </w:r>
          </w:p>
        </w:tc>
        <w:tc>
          <w:tcPr>
            <w:tcW w:type="dxa" w:w="1080"/>
            <w:shd w:fill="F8F9FA"/>
          </w:tcPr>
          <w:p>
            <w:r/>
            <w:r>
              <w:rPr>
                <w:rFonts w:ascii="Calibri" w:hAnsi="Calibri"/>
                <w:sz w:val="20"/>
              </w:rPr>
              <w:t>30 l (3×10)</w:t>
            </w:r>
          </w:p>
        </w:tc>
        <w:tc>
          <w:tcPr>
            <w:tcW w:type="dxa" w:w="1080"/>
            <w:shd w:fill="F8F9FA"/>
          </w:tcPr>
          <w:p>
            <w:r/>
            <w:r>
              <w:rPr>
                <w:rFonts w:ascii="Calibri" w:hAnsi="Calibri"/>
                <w:sz w:val="20"/>
              </w:rPr>
              <w:t>Jerrycan</w:t>
            </w:r>
          </w:p>
        </w:tc>
        <w:tc>
          <w:tcPr>
            <w:tcW w:type="dxa" w:w="1080"/>
            <w:shd w:fill="F8F9FA"/>
          </w:tcPr>
          <w:p>
            <w:r/>
            <w:r>
              <w:rPr>
                <w:rFonts w:ascii="Calibri" w:hAnsi="Calibri"/>
                <w:sz w:val="20"/>
              </w:rPr>
              <w:t>Rack front of lab</w:t>
            </w:r>
          </w:p>
        </w:tc>
      </w:tr>
      <w:tr>
        <w:tc>
          <w:tcPr>
            <w:tcW w:type="dxa" w:w="1080"/>
          </w:tcPr>
          <w:p>
            <w:r/>
            <w:r>
              <w:rPr>
                <w:rFonts w:ascii="Calibri" w:hAnsi="Calibri"/>
                <w:sz w:val="20"/>
              </w:rPr>
              <w:t>3</w:t>
            </w:r>
          </w:p>
        </w:tc>
        <w:tc>
          <w:tcPr>
            <w:tcW w:type="dxa" w:w="1080"/>
          </w:tcPr>
          <w:p>
            <w:r/>
            <w:r>
              <w:rPr>
                <w:rFonts w:ascii="Calibri" w:hAnsi="Calibri"/>
                <w:sz w:val="20"/>
              </w:rPr>
              <w:t>Sulfuric acid, 50% in water</w:t>
            </w:r>
          </w:p>
        </w:tc>
        <w:tc>
          <w:tcPr>
            <w:tcW w:type="dxa" w:w="1080"/>
          </w:tcPr>
          <w:p>
            <w:r/>
            <w:r>
              <w:rPr>
                <w:rFonts w:ascii="Calibri" w:hAnsi="Calibri"/>
                <w:sz w:val="20"/>
              </w:rPr>
              <w:t>7664-93-9</w:t>
            </w:r>
          </w:p>
        </w:tc>
        <w:tc>
          <w:tcPr>
            <w:tcW w:type="dxa" w:w="1080"/>
          </w:tcPr>
          <w:p>
            <w:r/>
            <w:r>
              <w:rPr>
                <w:rFonts w:ascii="Calibri" w:hAnsi="Calibri"/>
                <w:sz w:val="20"/>
              </w:rPr>
              <w:t>8</w:t>
            </w:r>
          </w:p>
        </w:tc>
        <w:tc>
          <w:tcPr>
            <w:tcW w:type="dxa" w:w="1080"/>
          </w:tcPr>
          <w:p>
            <w:r/>
            <w:r>
              <w:rPr>
                <w:rFonts w:ascii="Calibri" w:hAnsi="Calibri"/>
                <w:sz w:val="20"/>
              </w:rPr>
              <w:t>II</w:t>
            </w:r>
          </w:p>
        </w:tc>
        <w:tc>
          <w:tcPr>
            <w:tcW w:type="dxa" w:w="1080"/>
          </w:tcPr>
          <w:p>
            <w:r/>
            <w:r>
              <w:rPr>
                <w:rFonts w:ascii="Calibri" w:hAnsi="Calibri"/>
                <w:sz w:val="20"/>
              </w:rPr>
              <w:t>70 l (7×10)</w:t>
            </w:r>
          </w:p>
        </w:tc>
        <w:tc>
          <w:tcPr>
            <w:tcW w:type="dxa" w:w="1080"/>
          </w:tcPr>
          <w:p>
            <w:r/>
            <w:r>
              <w:rPr>
                <w:rFonts w:ascii="Calibri" w:hAnsi="Calibri"/>
                <w:sz w:val="20"/>
              </w:rPr>
              <w:t>Jerrycan</w:t>
            </w:r>
          </w:p>
        </w:tc>
        <w:tc>
          <w:tcPr>
            <w:tcW w:type="dxa" w:w="1080"/>
          </w:tcPr>
          <w:p>
            <w:r/>
            <w:r>
              <w:rPr>
                <w:rFonts w:ascii="Calibri" w:hAnsi="Calibri"/>
                <w:sz w:val="20"/>
              </w:rPr>
              <w:t>Rack front of lab</w:t>
            </w:r>
          </w:p>
        </w:tc>
      </w:tr>
      <w:tr>
        <w:tc>
          <w:tcPr>
            <w:tcW w:type="dxa" w:w="1080"/>
            <w:shd w:fill="F8F9FA"/>
          </w:tcPr>
          <w:p>
            <w:r/>
            <w:r>
              <w:rPr>
                <w:rFonts w:ascii="Calibri" w:hAnsi="Calibri"/>
                <w:sz w:val="20"/>
              </w:rPr>
              <w:t>4</w:t>
            </w:r>
          </w:p>
        </w:tc>
        <w:tc>
          <w:tcPr>
            <w:tcW w:type="dxa" w:w="1080"/>
            <w:shd w:fill="F8F9FA"/>
          </w:tcPr>
          <w:p>
            <w:r/>
            <w:r>
              <w:rPr>
                <w:rFonts w:ascii="Calibri" w:hAnsi="Calibri"/>
                <w:sz w:val="20"/>
              </w:rPr>
              <w:t>Sulfuric acid, 25% in water</w:t>
            </w:r>
          </w:p>
        </w:tc>
        <w:tc>
          <w:tcPr>
            <w:tcW w:type="dxa" w:w="1080"/>
            <w:shd w:fill="F8F9FA"/>
          </w:tcPr>
          <w:p>
            <w:r/>
            <w:r>
              <w:rPr>
                <w:rFonts w:ascii="Calibri" w:hAnsi="Calibri"/>
                <w:sz w:val="20"/>
              </w:rPr>
              <w:t>7664-93-9</w:t>
            </w:r>
          </w:p>
        </w:tc>
        <w:tc>
          <w:tcPr>
            <w:tcW w:type="dxa" w:w="1080"/>
            <w:shd w:fill="F8F9FA"/>
          </w:tcPr>
          <w:p>
            <w:r/>
            <w:r>
              <w:rPr>
                <w:rFonts w:ascii="Calibri" w:hAnsi="Calibri"/>
                <w:sz w:val="20"/>
              </w:rPr>
              <w:t>8</w:t>
            </w:r>
          </w:p>
        </w:tc>
        <w:tc>
          <w:tcPr>
            <w:tcW w:type="dxa" w:w="1080"/>
            <w:shd w:fill="F8F9FA"/>
          </w:tcPr>
          <w:p>
            <w:r/>
            <w:r>
              <w:rPr>
                <w:rFonts w:ascii="Calibri" w:hAnsi="Calibri"/>
                <w:sz w:val="20"/>
              </w:rPr>
              <w:t>II</w:t>
            </w:r>
          </w:p>
        </w:tc>
        <w:tc>
          <w:tcPr>
            <w:tcW w:type="dxa" w:w="1080"/>
            <w:shd w:fill="F8F9FA"/>
          </w:tcPr>
          <w:p>
            <w:r/>
            <w:r>
              <w:rPr>
                <w:rFonts w:ascii="Calibri" w:hAnsi="Calibri"/>
                <w:sz w:val="20"/>
              </w:rPr>
              <w:t>100 l (4×25)</w:t>
            </w:r>
          </w:p>
        </w:tc>
        <w:tc>
          <w:tcPr>
            <w:tcW w:type="dxa" w:w="1080"/>
            <w:shd w:fill="F8F9FA"/>
          </w:tcPr>
          <w:p>
            <w:r/>
            <w:r>
              <w:rPr>
                <w:rFonts w:ascii="Calibri" w:hAnsi="Calibri"/>
                <w:sz w:val="20"/>
              </w:rPr>
              <w:t>Jerrycan</w:t>
            </w:r>
          </w:p>
        </w:tc>
        <w:tc>
          <w:tcPr>
            <w:tcW w:type="dxa" w:w="1080"/>
            <w:shd w:fill="F8F9FA"/>
          </w:tcPr>
          <w:p>
            <w:r/>
            <w:r>
              <w:rPr>
                <w:rFonts w:ascii="Calibri" w:hAnsi="Calibri"/>
                <w:sz w:val="20"/>
              </w:rPr>
              <w:t>Rack front of lab</w:t>
            </w:r>
          </w:p>
        </w:tc>
      </w:tr>
      <w:tr>
        <w:tc>
          <w:tcPr>
            <w:tcW w:type="dxa" w:w="1080"/>
          </w:tcPr>
          <w:p>
            <w:r/>
            <w:r>
              <w:rPr>
                <w:rFonts w:ascii="Calibri" w:hAnsi="Calibri"/>
                <w:sz w:val="20"/>
              </w:rPr>
              <w:t>5</w:t>
            </w:r>
          </w:p>
        </w:tc>
        <w:tc>
          <w:tcPr>
            <w:tcW w:type="dxa" w:w="1080"/>
          </w:tcPr>
          <w:p>
            <w:r/>
            <w:r>
              <w:rPr>
                <w:rFonts w:ascii="Calibri" w:hAnsi="Calibri"/>
                <w:sz w:val="20"/>
              </w:rPr>
              <w:t>Aluminum sulfate octadecahydrate</w:t>
            </w:r>
          </w:p>
        </w:tc>
        <w:tc>
          <w:tcPr>
            <w:tcW w:type="dxa" w:w="1080"/>
          </w:tcPr>
          <w:p>
            <w:r/>
            <w:r>
              <w:rPr>
                <w:rFonts w:ascii="Calibri" w:hAnsi="Calibri"/>
                <w:sz w:val="20"/>
              </w:rPr>
              <w:t>7784-31-8</w:t>
            </w:r>
          </w:p>
        </w:tc>
        <w:tc>
          <w:tcPr>
            <w:tcW w:type="dxa" w:w="1080"/>
          </w:tcPr>
          <w:p>
            <w:r/>
            <w:r>
              <w:rPr>
                <w:rFonts w:ascii="Calibri" w:hAnsi="Calibri"/>
                <w:sz w:val="20"/>
              </w:rPr>
              <w:t>N/A</w:t>
            </w:r>
          </w:p>
        </w:tc>
        <w:tc>
          <w:tcPr>
            <w:tcW w:type="dxa" w:w="1080"/>
          </w:tcPr>
          <w:p>
            <w:r/>
            <w:r>
              <w:rPr>
                <w:rFonts w:ascii="Calibri" w:hAnsi="Calibri"/>
                <w:sz w:val="20"/>
              </w:rPr>
              <w:t>N/A</w:t>
            </w:r>
          </w:p>
        </w:tc>
        <w:tc>
          <w:tcPr>
            <w:tcW w:type="dxa" w:w="1080"/>
          </w:tcPr>
          <w:p>
            <w:r/>
            <w:r>
              <w:rPr>
                <w:rFonts w:ascii="Calibri" w:hAnsi="Calibri"/>
                <w:sz w:val="20"/>
              </w:rPr>
              <w:t>5 kg (2×2.5)</w:t>
            </w:r>
          </w:p>
        </w:tc>
        <w:tc>
          <w:tcPr>
            <w:tcW w:type="dxa" w:w="1080"/>
          </w:tcPr>
          <w:p>
            <w:r/>
            <w:r>
              <w:rPr>
                <w:rFonts w:ascii="Calibri" w:hAnsi="Calibri"/>
                <w:sz w:val="20"/>
              </w:rPr>
              <w:t>Canister</w:t>
            </w:r>
          </w:p>
        </w:tc>
        <w:tc>
          <w:tcPr>
            <w:tcW w:type="dxa" w:w="1080"/>
          </w:tcPr>
          <w:p>
            <w:r/>
            <w:r>
              <w:rPr>
                <w:rFonts w:ascii="Calibri" w:hAnsi="Calibri"/>
                <w:sz w:val="20"/>
              </w:rPr>
              <w:t>Rack front of lab</w:t>
            </w:r>
          </w:p>
        </w:tc>
      </w:tr>
      <w:tr>
        <w:tc>
          <w:tcPr>
            <w:tcW w:type="dxa" w:w="1080"/>
            <w:shd w:fill="F8F9FA"/>
          </w:tcPr>
          <w:p>
            <w:r/>
            <w:r>
              <w:rPr>
                <w:rFonts w:ascii="Calibri" w:hAnsi="Calibri"/>
                <w:sz w:val="20"/>
              </w:rPr>
              <w:t>6</w:t>
            </w:r>
          </w:p>
        </w:tc>
        <w:tc>
          <w:tcPr>
            <w:tcW w:type="dxa" w:w="1080"/>
            <w:shd w:fill="F8F9FA"/>
          </w:tcPr>
          <w:p>
            <w:r/>
            <w:r>
              <w:rPr>
                <w:rFonts w:ascii="Calibri" w:hAnsi="Calibri"/>
                <w:sz w:val="20"/>
              </w:rPr>
              <w:t>Calcium oxide</w:t>
            </w:r>
          </w:p>
        </w:tc>
        <w:tc>
          <w:tcPr>
            <w:tcW w:type="dxa" w:w="1080"/>
            <w:shd w:fill="F8F9FA"/>
          </w:tcPr>
          <w:p>
            <w:r/>
            <w:r>
              <w:rPr>
                <w:rFonts w:ascii="Calibri" w:hAnsi="Calibri"/>
                <w:sz w:val="20"/>
              </w:rPr>
              <w:t>1305-78-8</w:t>
            </w:r>
          </w:p>
        </w:tc>
        <w:tc>
          <w:tcPr>
            <w:tcW w:type="dxa" w:w="1080"/>
            <w:shd w:fill="F8F9FA"/>
          </w:tcPr>
          <w:p>
            <w:r/>
            <w:r>
              <w:rPr>
                <w:rFonts w:ascii="Calibri" w:hAnsi="Calibri"/>
                <w:sz w:val="20"/>
              </w:rPr>
              <w:t>N/A</w:t>
            </w:r>
          </w:p>
        </w:tc>
        <w:tc>
          <w:tcPr>
            <w:tcW w:type="dxa" w:w="1080"/>
            <w:shd w:fill="F8F9FA"/>
          </w:tcPr>
          <w:p>
            <w:r/>
            <w:r>
              <w:rPr>
                <w:rFonts w:ascii="Calibri" w:hAnsi="Calibri"/>
                <w:sz w:val="20"/>
              </w:rPr>
              <w:t>N/A</w:t>
            </w:r>
          </w:p>
        </w:tc>
        <w:tc>
          <w:tcPr>
            <w:tcW w:type="dxa" w:w="1080"/>
            <w:shd w:fill="F8F9FA"/>
          </w:tcPr>
          <w:p>
            <w:r/>
            <w:r>
              <w:rPr>
                <w:rFonts w:ascii="Calibri" w:hAnsi="Calibri"/>
                <w:sz w:val="20"/>
              </w:rPr>
              <w:t>10 kg (2×5)</w:t>
            </w:r>
          </w:p>
        </w:tc>
        <w:tc>
          <w:tcPr>
            <w:tcW w:type="dxa" w:w="1080"/>
            <w:shd w:fill="F8F9FA"/>
          </w:tcPr>
          <w:p>
            <w:r/>
            <w:r>
              <w:rPr>
                <w:rFonts w:ascii="Calibri" w:hAnsi="Calibri"/>
                <w:sz w:val="20"/>
              </w:rPr>
              <w:t>Canister</w:t>
            </w:r>
          </w:p>
        </w:tc>
        <w:tc>
          <w:tcPr>
            <w:tcW w:type="dxa" w:w="1080"/>
            <w:shd w:fill="F8F9FA"/>
          </w:tcPr>
          <w:p>
            <w:r/>
            <w:r>
              <w:rPr>
                <w:rFonts w:ascii="Calibri" w:hAnsi="Calibri"/>
                <w:sz w:val="20"/>
              </w:rPr>
              <w:t>Rack front of lab</w:t>
            </w:r>
          </w:p>
        </w:tc>
      </w:tr>
    </w:tbl>
    <w:p/>
    <w:p>
      <w:r>
        <w:rPr>
          <w:rFonts w:ascii="Calibri" w:hAnsi="Calibri"/>
          <w:b/>
          <w:sz w:val="22"/>
        </w:rPr>
        <w:t>Samenvatting:</w:t>
      </w:r>
    </w:p>
    <w:p>
      <w:pPr>
        <w:pStyle w:val="ListBullet"/>
        <w:ind w:left="850"/>
      </w:pPr>
      <w:r>
        <w:t>Totaal ADR-klasse 8: 300 liter (4 stoffen)</w:t>
      </w:r>
    </w:p>
    <w:p>
      <w:pPr>
        <w:pStyle w:val="ListBullet"/>
        <w:ind w:left="850"/>
      </w:pPr>
      <w:r>
        <w:t>Totaal niet-ADR: 15 kg (2 stoffen)</w:t>
      </w:r>
    </w:p>
    <w:p>
      <w:pPr>
        <w:pStyle w:val="ListBullet"/>
        <w:ind w:left="850"/>
      </w:pPr>
      <w:r>
        <w:t>SVHC-stoffen: Geen</w:t>
      </w:r>
    </w:p>
    <w:p>
      <w:pPr>
        <w:pStyle w:val="ListBullet"/>
        <w:ind w:left="850"/>
      </w:pPr>
      <w:r>
        <w:t>CMR/CLP-stoffen: Geen</w:t>
      </w:r>
    </w:p>
    <w:p>
      <w:pPr>
        <w:pStyle w:val="ListBullet"/>
        <w:ind w:left="850"/>
      </w:pPr>
      <w:r>
        <w:t>Huidige opslaglocatie: Storage racking — rack in front of lab (één brandcompartiment)</w:t>
      </w:r>
    </w:p>
    <w:p>
      <w:pPr>
        <w:pStyle w:val="Heading2"/>
      </w:pPr>
      <w:r>
        <w:t>2.3 Opslagconfiguratie</w:t>
      </w:r>
    </w:p>
    <w:p>
      <w:r>
        <w:rPr>
          <w:rFonts w:ascii="Calibri" w:hAnsi="Calibri"/>
          <w:b w:val="0"/>
          <w:sz w:val="22"/>
        </w:rPr>
        <w:t>Alle stoffen zijn momenteel opgeslagen op een enkel rack (storage racking) direct voor het laboratorium. De jerrycans en canisters zijn ongeopend en in stock. Er is momenteel geen formele scheiding tussen zuren en basen, noch zijn lekbakken gedocumenteerd [3].</w:t>
      </w:r>
    </w:p>
    <w:p>
      <w:r>
        <w:br w:type="page"/>
      </w:r>
    </w:p>
    <w:p>
      <w:pPr>
        <w:pStyle w:val="Heading1"/>
      </w:pPr>
      <w:r>
        <w:t>3. Veiligheidsniveaus en Drempelwaarden</w:t>
      </w:r>
    </w:p>
    <w:p>
      <w:pPr>
        <w:pStyle w:val="Heading2"/>
      </w:pPr>
      <w:r>
        <w:t>3.1 Systematiek Veiligheidsniveaus</w:t>
      </w:r>
    </w:p>
    <w:p>
      <w:r>
        <w:rPr>
          <w:rFonts w:ascii="Calibri" w:hAnsi="Calibri"/>
          <w:b w:val="0"/>
          <w:sz w:val="22"/>
        </w:rPr>
        <w:t>PGS 15 hanteert een gelaagd systeem van veiligheidsniveaus, gebaseerd op het escalatierisico van de opgeslagen stoffen in combinatie met de hoeveelheid [1]:</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tcPr>
          <w:p>
            <w:pPr>
              <w:jc w:val="center"/>
            </w:pPr>
            <w:r/>
            <w:r>
              <w:rPr>
                <w:rFonts w:ascii="Calibri" w:hAnsi="Calibri"/>
                <w:b/>
                <w:color w:val="FFFFFF"/>
                <w:sz w:val="20"/>
              </w:rPr>
              <w:t>Niveau</w:t>
            </w:r>
          </w:p>
        </w:tc>
        <w:tc>
          <w:tcPr>
            <w:tcW w:type="dxa" w:w="2880"/>
            <w:shd w:fill="003366"/>
          </w:tcPr>
          <w:p>
            <w:pPr>
              <w:jc w:val="center"/>
            </w:pPr>
            <w:r/>
            <w:r>
              <w:rPr>
                <w:rFonts w:ascii="Calibri" w:hAnsi="Calibri"/>
                <w:b/>
                <w:color w:val="FFFFFF"/>
                <w:sz w:val="20"/>
              </w:rPr>
              <w:t>Geldigheid</w:t>
            </w:r>
          </w:p>
        </w:tc>
        <w:tc>
          <w:tcPr>
            <w:tcW w:type="dxa" w:w="2880"/>
            <w:shd w:fill="003366"/>
          </w:tcPr>
          <w:p>
            <w:pPr>
              <w:jc w:val="center"/>
            </w:pPr>
            <w:r/>
            <w:r>
              <w:rPr>
                <w:rFonts w:ascii="Calibri" w:hAnsi="Calibri"/>
                <w:b/>
                <w:color w:val="FFFFFF"/>
                <w:sz w:val="20"/>
              </w:rPr>
              <w:t>Aanvullende eisen</w:t>
            </w:r>
          </w:p>
        </w:tc>
      </w:tr>
      <w:tr>
        <w:tc>
          <w:tcPr>
            <w:tcW w:type="dxa" w:w="2880"/>
          </w:tcPr>
          <w:p>
            <w:r/>
            <w:r>
              <w:rPr>
                <w:rFonts w:ascii="Calibri" w:hAnsi="Calibri"/>
                <w:sz w:val="20"/>
              </w:rPr>
              <w:t>Basisveiligheidsniveau</w:t>
            </w:r>
          </w:p>
        </w:tc>
        <w:tc>
          <w:tcPr>
            <w:tcW w:type="dxa" w:w="2880"/>
          </w:tcPr>
          <w:p>
            <w:r/>
            <w:r>
              <w:rPr>
                <w:rFonts w:ascii="Calibri" w:hAnsi="Calibri"/>
                <w:sz w:val="20"/>
              </w:rPr>
              <w:t>ALTIJD van toepassing, ongeacht hoeveelheid</w:t>
            </w:r>
          </w:p>
        </w:tc>
        <w:tc>
          <w:tcPr>
            <w:tcW w:type="dxa" w:w="2880"/>
          </w:tcPr>
          <w:p>
            <w:r/>
            <w:r>
              <w:rPr>
                <w:rFonts w:ascii="Calibri" w:hAnsi="Calibri"/>
                <w:sz w:val="20"/>
              </w:rPr>
              <w:t>MW1 zorgplicht + standaard maatregelen</w:t>
            </w:r>
          </w:p>
        </w:tc>
      </w:tr>
      <w:tr>
        <w:tc>
          <w:tcPr>
            <w:tcW w:type="dxa" w:w="2880"/>
            <w:shd w:fill="F8F9FA"/>
          </w:tcPr>
          <w:p>
            <w:r/>
            <w:r>
              <w:rPr>
                <w:rFonts w:ascii="Calibri" w:hAnsi="Calibri"/>
                <w:sz w:val="20"/>
              </w:rPr>
              <w:t>Veiligheidsniveau B</w:t>
            </w:r>
          </w:p>
        </w:tc>
        <w:tc>
          <w:tcPr>
            <w:tcW w:type="dxa" w:w="2880"/>
            <w:shd w:fill="F8F9FA"/>
          </w:tcPr>
          <w:p>
            <w:r/>
            <w:r>
              <w:rPr>
                <w:rFonts w:ascii="Calibri" w:hAnsi="Calibri"/>
                <w:sz w:val="20"/>
              </w:rPr>
              <w:t>Vanaf specifieke drempelwaarden (meestal 10-20 ton)</w:t>
            </w:r>
          </w:p>
        </w:tc>
        <w:tc>
          <w:tcPr>
            <w:tcW w:type="dxa" w:w="2880"/>
            <w:shd w:fill="F8F9FA"/>
          </w:tcPr>
          <w:p>
            <w:r/>
            <w:r>
              <w:rPr>
                <w:rFonts w:ascii="Calibri" w:hAnsi="Calibri"/>
                <w:sz w:val="20"/>
              </w:rPr>
              <w:t>60 min Wbdbo, D6/D10/D11 doelen</w:t>
            </w:r>
          </w:p>
        </w:tc>
      </w:tr>
      <w:tr>
        <w:tc>
          <w:tcPr>
            <w:tcW w:type="dxa" w:w="2880"/>
          </w:tcPr>
          <w:p>
            <w:r/>
            <w:r>
              <w:rPr>
                <w:rFonts w:ascii="Calibri" w:hAnsi="Calibri"/>
                <w:sz w:val="20"/>
              </w:rPr>
              <w:t>Veiligheidsniveau A</w:t>
            </w:r>
          </w:p>
        </w:tc>
        <w:tc>
          <w:tcPr>
            <w:tcW w:type="dxa" w:w="2880"/>
          </w:tcPr>
          <w:p>
            <w:r/>
            <w:r>
              <w:rPr>
                <w:rFonts w:ascii="Calibri" w:hAnsi="Calibri"/>
                <w:sz w:val="20"/>
              </w:rPr>
              <w:t>Bij hoge hoeveelheden of hoge risico's</w:t>
            </w:r>
          </w:p>
        </w:tc>
        <w:tc>
          <w:tcPr>
            <w:tcW w:type="dxa" w:w="2880"/>
          </w:tcPr>
          <w:p>
            <w:r/>
            <w:r>
              <w:rPr>
                <w:rFonts w:ascii="Calibri" w:hAnsi="Calibri"/>
                <w:sz w:val="20"/>
              </w:rPr>
              <w:t>VBB-installatie, branddetectie, D12 doelen</w:t>
            </w:r>
          </w:p>
        </w:tc>
      </w:tr>
      <w:tr>
        <w:tc>
          <w:tcPr>
            <w:tcW w:type="dxa" w:w="2880"/>
            <w:shd w:fill="F8F9FA"/>
          </w:tcPr>
          <w:p>
            <w:r/>
            <w:r>
              <w:rPr>
                <w:rFonts w:ascii="Calibri" w:hAnsi="Calibri"/>
                <w:sz w:val="20"/>
              </w:rPr>
              <w:t>Veiligheidsniveau C</w:t>
            </w:r>
          </w:p>
        </w:tc>
        <w:tc>
          <w:tcPr>
            <w:tcW w:type="dxa" w:w="2880"/>
            <w:shd w:fill="F8F9FA"/>
          </w:tcPr>
          <w:p>
            <w:r/>
            <w:r>
              <w:rPr>
                <w:rFonts w:ascii="Calibri" w:hAnsi="Calibri"/>
                <w:sz w:val="20"/>
              </w:rPr>
              <w:t>Alleen ADR 2.1 gasflessen</w:t>
            </w:r>
          </w:p>
        </w:tc>
        <w:tc>
          <w:tcPr>
            <w:tcW w:type="dxa" w:w="2880"/>
            <w:shd w:fill="F8F9FA"/>
          </w:tcPr>
          <w:p>
            <w:r/>
            <w:r>
              <w:rPr>
                <w:rFonts w:ascii="Calibri" w:hAnsi="Calibri"/>
                <w:sz w:val="20"/>
              </w:rPr>
              <w:t>Verspreiding voorkomen, D7 doelen</w:t>
            </w:r>
          </w:p>
        </w:tc>
      </w:tr>
    </w:tbl>
    <w:p/>
    <w:p>
      <w:pPr>
        <w:pStyle w:val="Heading2"/>
      </w:pPr>
      <w:r>
        <w:t>3.2 Tabel 6 — Criteria Vereist Veiligheidsniveau</w:t>
      </w:r>
    </w:p>
    <w:p>
      <w:r>
        <w:rPr>
          <w:rFonts w:ascii="Calibri" w:hAnsi="Calibri"/>
          <w:b w:val="0"/>
          <w:sz w:val="22"/>
        </w:rPr>
        <w:t>Onderstaande tabel toont de relevante drempelwaarden uit PGS 15 Tabel 6 voor de bij Phoenix Metals aanwezige ADR-klassen [1]:</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fill="003366"/>
          </w:tcPr>
          <w:p>
            <w:pPr>
              <w:jc w:val="center"/>
            </w:pPr>
            <w:r/>
            <w:r>
              <w:rPr>
                <w:rFonts w:ascii="Calibri" w:hAnsi="Calibri"/>
                <w:b/>
                <w:color w:val="FFFFFF"/>
                <w:sz w:val="20"/>
              </w:rPr>
              <w:t>ADR-klasse</w:t>
            </w:r>
          </w:p>
        </w:tc>
        <w:tc>
          <w:tcPr>
            <w:tcW w:type="dxa" w:w="1440"/>
            <w:shd w:fill="003366"/>
          </w:tcPr>
          <w:p>
            <w:pPr>
              <w:jc w:val="center"/>
            </w:pPr>
            <w:r/>
            <w:r>
              <w:rPr>
                <w:rFonts w:ascii="Calibri" w:hAnsi="Calibri"/>
                <w:b/>
                <w:color w:val="FFFFFF"/>
                <w:sz w:val="20"/>
              </w:rPr>
              <w:t>Verpakkingsgroep</w:t>
            </w:r>
          </w:p>
        </w:tc>
        <w:tc>
          <w:tcPr>
            <w:tcW w:type="dxa" w:w="1440"/>
            <w:shd w:fill="003366"/>
          </w:tcPr>
          <w:p>
            <w:pPr>
              <w:jc w:val="center"/>
            </w:pPr>
            <w:r/>
            <w:r>
              <w:rPr>
                <w:rFonts w:ascii="Calibri" w:hAnsi="Calibri"/>
                <w:b/>
                <w:color w:val="FFFFFF"/>
                <w:sz w:val="20"/>
              </w:rPr>
              <w:t>Eigenschap</w:t>
            </w:r>
          </w:p>
        </w:tc>
        <w:tc>
          <w:tcPr>
            <w:tcW w:type="dxa" w:w="1440"/>
            <w:shd w:fill="003366"/>
          </w:tcPr>
          <w:p>
            <w:pPr>
              <w:jc w:val="center"/>
            </w:pPr>
            <w:r/>
            <w:r>
              <w:rPr>
                <w:rFonts w:ascii="Calibri" w:hAnsi="Calibri"/>
                <w:b/>
                <w:color w:val="FFFFFF"/>
                <w:sz w:val="20"/>
              </w:rPr>
              <w:t>&lt; 10 ton</w:t>
            </w:r>
          </w:p>
        </w:tc>
        <w:tc>
          <w:tcPr>
            <w:tcW w:type="dxa" w:w="1440"/>
            <w:shd w:fill="003366"/>
          </w:tcPr>
          <w:p>
            <w:pPr>
              <w:jc w:val="center"/>
            </w:pPr>
            <w:r/>
            <w:r>
              <w:rPr>
                <w:rFonts w:ascii="Calibri" w:hAnsi="Calibri"/>
                <w:b/>
                <w:color w:val="FFFFFF"/>
                <w:sz w:val="20"/>
              </w:rPr>
              <w:t>10-20 ton</w:t>
            </w:r>
          </w:p>
        </w:tc>
        <w:tc>
          <w:tcPr>
            <w:tcW w:type="dxa" w:w="1440"/>
            <w:shd w:fill="003366"/>
          </w:tcPr>
          <w:p>
            <w:pPr>
              <w:jc w:val="center"/>
            </w:pPr>
            <w:r/>
            <w:r>
              <w:rPr>
                <w:rFonts w:ascii="Calibri" w:hAnsi="Calibri"/>
                <w:b/>
                <w:color w:val="FFFFFF"/>
                <w:sz w:val="20"/>
              </w:rPr>
              <w:t>&gt; 20 ton</w:t>
            </w:r>
          </w:p>
        </w:tc>
      </w:tr>
      <w:tr>
        <w:tc>
          <w:tcPr>
            <w:tcW w:type="dxa" w:w="1440"/>
          </w:tcPr>
          <w:p>
            <w:r/>
            <w:r>
              <w:rPr>
                <w:rFonts w:ascii="Calibri" w:hAnsi="Calibri"/>
                <w:sz w:val="20"/>
              </w:rPr>
              <w:t>8</w:t>
            </w:r>
          </w:p>
        </w:tc>
        <w:tc>
          <w:tcPr>
            <w:tcW w:type="dxa" w:w="1440"/>
          </w:tcPr>
          <w:p>
            <w:r/>
            <w:r>
              <w:rPr>
                <w:rFonts w:ascii="Calibri" w:hAnsi="Calibri"/>
                <w:sz w:val="20"/>
              </w:rPr>
              <w:t>I (VP ≤60°C)</w:t>
            </w:r>
          </w:p>
        </w:tc>
        <w:tc>
          <w:tcPr>
            <w:tcW w:type="dxa" w:w="1440"/>
          </w:tcPr>
          <w:p>
            <w:r/>
            <w:r>
              <w:rPr>
                <w:rFonts w:ascii="Calibri" w:hAnsi="Calibri"/>
                <w:sz w:val="20"/>
              </w:rPr>
              <w:t>Brandbaar</w:t>
            </w:r>
          </w:p>
        </w:tc>
        <w:tc>
          <w:tcPr>
            <w:tcW w:type="dxa" w:w="1440"/>
          </w:tcPr>
          <w:p>
            <w:r/>
            <w:r>
              <w:rPr>
                <w:rFonts w:ascii="Calibri" w:hAnsi="Calibri"/>
                <w:sz w:val="20"/>
              </w:rPr>
              <w:t>Basis + 60 min Wbdbo</w:t>
            </w:r>
          </w:p>
        </w:tc>
        <w:tc>
          <w:tcPr>
            <w:tcW w:type="dxa" w:w="1440"/>
          </w:tcPr>
          <w:p>
            <w:r/>
            <w:r>
              <w:rPr>
                <w:rFonts w:ascii="Calibri" w:hAnsi="Calibri"/>
                <w:sz w:val="20"/>
              </w:rPr>
              <w:t>VN-B (D6,D10,D11)</w:t>
            </w:r>
          </w:p>
        </w:tc>
        <w:tc>
          <w:tcPr>
            <w:tcW w:type="dxa" w:w="1440"/>
          </w:tcPr>
          <w:p>
            <w:r/>
            <w:r>
              <w:rPr>
                <w:rFonts w:ascii="Calibri" w:hAnsi="Calibri"/>
                <w:sz w:val="20"/>
              </w:rPr>
              <w:t>VN-A (D12)</w:t>
            </w:r>
          </w:p>
        </w:tc>
      </w:tr>
      <w:tr>
        <w:tc>
          <w:tcPr>
            <w:tcW w:type="dxa" w:w="1440"/>
            <w:shd w:fill="F8F9FA"/>
          </w:tcPr>
          <w:p>
            <w:r/>
            <w:r>
              <w:rPr>
                <w:rFonts w:ascii="Calibri" w:hAnsi="Calibri"/>
                <w:sz w:val="20"/>
              </w:rPr>
              <w:t>8</w:t>
            </w:r>
          </w:p>
        </w:tc>
        <w:tc>
          <w:tcPr>
            <w:tcW w:type="dxa" w:w="1440"/>
            <w:shd w:fill="F8F9FA"/>
          </w:tcPr>
          <w:p>
            <w:r/>
            <w:r>
              <w:rPr>
                <w:rFonts w:ascii="Calibri" w:hAnsi="Calibri"/>
                <w:sz w:val="20"/>
              </w:rPr>
              <w:t>I (&gt;100°C)</w:t>
            </w:r>
          </w:p>
        </w:tc>
        <w:tc>
          <w:tcPr>
            <w:tcW w:type="dxa" w:w="1440"/>
            <w:shd w:fill="F8F9FA"/>
          </w:tcPr>
          <w:p>
            <w:r/>
            <w:r>
              <w:rPr>
                <w:rFonts w:ascii="Calibri" w:hAnsi="Calibri"/>
                <w:sz w:val="20"/>
              </w:rPr>
              <w:t>Onbrandbaar</w:t>
            </w:r>
          </w:p>
        </w:tc>
        <w:tc>
          <w:tcPr>
            <w:tcW w:type="dxa" w:w="1440"/>
            <w:shd w:fill="F8F9FA"/>
          </w:tcPr>
          <w:p>
            <w:r/>
            <w:r>
              <w:rPr>
                <w:rFonts w:ascii="Calibri" w:hAnsi="Calibri"/>
                <w:sz w:val="20"/>
              </w:rPr>
              <w:t>Basis + 60 min Wbdbo</w:t>
            </w:r>
          </w:p>
        </w:tc>
        <w:tc>
          <w:tcPr>
            <w:tcW w:type="dxa" w:w="1440"/>
            <w:shd w:fill="F8F9FA"/>
          </w:tcPr>
          <w:p>
            <w:r/>
            <w:r>
              <w:rPr>
                <w:rFonts w:ascii="Calibri" w:hAnsi="Calibri"/>
                <w:sz w:val="20"/>
              </w:rPr>
              <w:t>Basis + 90 min Wbdbo</w:t>
            </w:r>
          </w:p>
        </w:tc>
        <w:tc>
          <w:tcPr>
            <w:tcW w:type="dxa" w:w="1440"/>
            <w:shd w:fill="F8F9FA"/>
          </w:tcPr>
          <w:p>
            <w:r/>
            <w:r>
              <w:rPr>
                <w:rFonts w:ascii="Calibri" w:hAnsi="Calibri"/>
                <w:sz w:val="20"/>
              </w:rPr>
              <w:t>—</w:t>
            </w:r>
          </w:p>
        </w:tc>
      </w:tr>
      <w:tr>
        <w:tc>
          <w:tcPr>
            <w:tcW w:type="dxa" w:w="1440"/>
          </w:tcPr>
          <w:p>
            <w:r/>
            <w:r>
              <w:rPr>
                <w:rFonts w:ascii="Calibri" w:hAnsi="Calibri"/>
                <w:sz w:val="20"/>
              </w:rPr>
              <w:t>8</w:t>
            </w:r>
          </w:p>
        </w:tc>
        <w:tc>
          <w:tcPr>
            <w:tcW w:type="dxa" w:w="1440"/>
          </w:tcPr>
          <w:p>
            <w:r/>
            <w:r>
              <w:rPr>
                <w:rFonts w:ascii="Calibri" w:hAnsi="Calibri"/>
                <w:sz w:val="20"/>
              </w:rPr>
              <w:t>II+III brandbaar</w:t>
            </w:r>
          </w:p>
        </w:tc>
        <w:tc>
          <w:tcPr>
            <w:tcW w:type="dxa" w:w="1440"/>
          </w:tcPr>
          <w:p>
            <w:r/>
            <w:r>
              <w:rPr>
                <w:rFonts w:ascii="Calibri" w:hAnsi="Calibri"/>
                <w:sz w:val="20"/>
              </w:rPr>
              <w:t>Brandbaar</w:t>
            </w:r>
          </w:p>
        </w:tc>
        <w:tc>
          <w:tcPr>
            <w:tcW w:type="dxa" w:w="1440"/>
          </w:tcPr>
          <w:p>
            <w:r/>
            <w:r>
              <w:rPr>
                <w:rFonts w:ascii="Calibri" w:hAnsi="Calibri"/>
                <w:sz w:val="20"/>
              </w:rPr>
              <w:t>Basis + 60 min Wbdbo</w:t>
            </w:r>
          </w:p>
        </w:tc>
        <w:tc>
          <w:tcPr>
            <w:tcW w:type="dxa" w:w="1440"/>
          </w:tcPr>
          <w:p>
            <w:r/>
            <w:r>
              <w:rPr>
                <w:rFonts w:ascii="Calibri" w:hAnsi="Calibri"/>
                <w:sz w:val="20"/>
              </w:rPr>
              <w:t>VN-B (60 min)</w:t>
            </w:r>
          </w:p>
        </w:tc>
        <w:tc>
          <w:tcPr>
            <w:tcW w:type="dxa" w:w="1440"/>
          </w:tcPr>
          <w:p>
            <w:r/>
            <w:r>
              <w:rPr>
                <w:rFonts w:ascii="Calibri" w:hAnsi="Calibri"/>
                <w:sz w:val="20"/>
              </w:rPr>
              <w:t>VN-A</w:t>
            </w:r>
          </w:p>
        </w:tc>
      </w:tr>
      <w:tr>
        <w:tc>
          <w:tcPr>
            <w:tcW w:type="dxa" w:w="1440"/>
            <w:shd w:fill="F8F9FA"/>
          </w:tcPr>
          <w:p>
            <w:r/>
            <w:r>
              <w:rPr>
                <w:rFonts w:ascii="Calibri" w:hAnsi="Calibri"/>
                <w:sz w:val="20"/>
              </w:rPr>
              <w:t>8</w:t>
            </w:r>
          </w:p>
        </w:tc>
        <w:tc>
          <w:tcPr>
            <w:tcW w:type="dxa" w:w="1440"/>
            <w:shd w:fill="F8F9FA"/>
          </w:tcPr>
          <w:p>
            <w:r/>
            <w:r>
              <w:rPr>
                <w:rFonts w:ascii="Calibri" w:hAnsi="Calibri"/>
                <w:sz w:val="20"/>
              </w:rPr>
              <w:t>II+III onbrandbaar</w:t>
            </w:r>
          </w:p>
        </w:tc>
        <w:tc>
          <w:tcPr>
            <w:tcW w:type="dxa" w:w="1440"/>
            <w:shd w:fill="F8F9FA"/>
          </w:tcPr>
          <w:p>
            <w:r/>
            <w:r>
              <w:rPr>
                <w:rFonts w:ascii="Calibri" w:hAnsi="Calibri"/>
                <w:sz w:val="20"/>
              </w:rPr>
              <w:t>Onbrandbaar</w:t>
            </w:r>
          </w:p>
        </w:tc>
        <w:tc>
          <w:tcPr>
            <w:tcW w:type="dxa" w:w="1440"/>
            <w:shd w:fill="F8F9FA"/>
          </w:tcPr>
          <w:p>
            <w:r/>
            <w:r>
              <w:rPr>
                <w:rFonts w:ascii="Calibri" w:hAnsi="Calibri"/>
                <w:sz w:val="20"/>
              </w:rPr>
              <w:t>ALLES basisveiligheidsniveau</w:t>
            </w:r>
          </w:p>
        </w:tc>
        <w:tc>
          <w:tcPr>
            <w:tcW w:type="dxa" w:w="1440"/>
            <w:shd w:fill="F8F9FA"/>
          </w:tcPr>
          <w:p>
            <w:r/>
            <w:r>
              <w:rPr>
                <w:rFonts w:ascii="Calibri" w:hAnsi="Calibri"/>
                <w:sz w:val="20"/>
              </w:rPr>
              <w:t>—</w:t>
            </w:r>
          </w:p>
        </w:tc>
        <w:tc>
          <w:tcPr>
            <w:tcW w:type="dxa" w:w="1440"/>
            <w:shd w:fill="F8F9FA"/>
          </w:tcPr>
          <w:p>
            <w:r/>
            <w:r>
              <w:rPr>
                <w:rFonts w:ascii="Calibri" w:hAnsi="Calibri"/>
                <w:sz w:val="20"/>
              </w:rPr>
              <w:t>—</w:t>
            </w:r>
          </w:p>
        </w:tc>
      </w:tr>
      <w:tr>
        <w:tc>
          <w:tcPr>
            <w:tcW w:type="dxa" w:w="1440"/>
          </w:tcPr>
          <w:p>
            <w:r/>
            <w:r>
              <w:rPr>
                <w:rFonts w:ascii="Calibri" w:hAnsi="Calibri"/>
                <w:sz w:val="20"/>
              </w:rPr>
              <w:t>9</w:t>
            </w:r>
          </w:p>
        </w:tc>
        <w:tc>
          <w:tcPr>
            <w:tcW w:type="dxa" w:w="1440"/>
          </w:tcPr>
          <w:p>
            <w:r/>
            <w:r>
              <w:rPr>
                <w:rFonts w:ascii="Calibri" w:hAnsi="Calibri"/>
                <w:sz w:val="20"/>
              </w:rPr>
              <w:t>—</w:t>
            </w:r>
          </w:p>
        </w:tc>
        <w:tc>
          <w:tcPr>
            <w:tcW w:type="dxa" w:w="1440"/>
          </w:tcPr>
          <w:p>
            <w:r/>
            <w:r>
              <w:rPr>
                <w:rFonts w:ascii="Calibri" w:hAnsi="Calibri"/>
                <w:sz w:val="20"/>
              </w:rPr>
              <w:t>Onbrandbaar</w:t>
            </w:r>
          </w:p>
        </w:tc>
        <w:tc>
          <w:tcPr>
            <w:tcW w:type="dxa" w:w="1440"/>
          </w:tcPr>
          <w:p>
            <w:r/>
            <w:r>
              <w:rPr>
                <w:rFonts w:ascii="Calibri" w:hAnsi="Calibri"/>
                <w:sz w:val="20"/>
              </w:rPr>
              <w:t>ALLES basisveiligheidsniveau</w:t>
            </w:r>
          </w:p>
        </w:tc>
        <w:tc>
          <w:tcPr>
            <w:tcW w:type="dxa" w:w="1440"/>
          </w:tcPr>
          <w:p>
            <w:r/>
            <w:r>
              <w:rPr>
                <w:rFonts w:ascii="Calibri" w:hAnsi="Calibri"/>
                <w:sz w:val="20"/>
              </w:rPr>
              <w:t>—</w:t>
            </w:r>
          </w:p>
        </w:tc>
        <w:tc>
          <w:tcPr>
            <w:tcW w:type="dxa" w:w="1440"/>
          </w:tcPr>
          <w:p>
            <w:r/>
            <w:r>
              <w:rPr>
                <w:rFonts w:ascii="Calibri" w:hAnsi="Calibri"/>
                <w:sz w:val="20"/>
              </w:rPr>
              <w:t>—</w:t>
            </w:r>
          </w:p>
        </w:tc>
      </w:tr>
    </w:tbl>
    <w:p/>
    <w:p>
      <w:pPr>
        <w:pStyle w:val="Heading2"/>
      </w:pPr>
      <w:r>
        <w:t>3.3 Tabel 7 — Grenswaarden</w:t>
      </w:r>
    </w:p>
    <w:p>
      <w:r>
        <w:rPr>
          <w:rFonts w:ascii="Calibri" w:hAnsi="Calibri"/>
          <w:b w:val="0"/>
          <w:sz w:val="22"/>
        </w:rPr>
        <w:t>Tabel 7 definieert de ondergrensen waaronder de PGS 15-richtlijn van toepassing is [1]:</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tcPr>
          <w:p>
            <w:pPr>
              <w:jc w:val="center"/>
            </w:pPr>
            <w:r/>
            <w:r>
              <w:rPr>
                <w:rFonts w:ascii="Calibri" w:hAnsi="Calibri"/>
                <w:b/>
                <w:color w:val="FFFFFF"/>
                <w:sz w:val="20"/>
              </w:rPr>
              <w:t>ADR-klasse</w:t>
            </w:r>
          </w:p>
        </w:tc>
        <w:tc>
          <w:tcPr>
            <w:tcW w:type="dxa" w:w="2880"/>
            <w:shd w:fill="003366"/>
          </w:tcPr>
          <w:p>
            <w:pPr>
              <w:jc w:val="center"/>
            </w:pPr>
            <w:r/>
            <w:r>
              <w:rPr>
                <w:rFonts w:ascii="Calibri" w:hAnsi="Calibri"/>
                <w:b/>
                <w:color w:val="FFFFFF"/>
                <w:sz w:val="20"/>
              </w:rPr>
              <w:t>Omschrijving</w:t>
            </w:r>
          </w:p>
        </w:tc>
        <w:tc>
          <w:tcPr>
            <w:tcW w:type="dxa" w:w="2880"/>
            <w:shd w:fill="003366"/>
          </w:tcPr>
          <w:p>
            <w:pPr>
              <w:jc w:val="center"/>
            </w:pPr>
            <w:r/>
            <w:r>
              <w:rPr>
                <w:rFonts w:ascii="Calibri" w:hAnsi="Calibri"/>
                <w:b/>
                <w:color w:val="FFFFFF"/>
                <w:sz w:val="20"/>
              </w:rPr>
              <w:t>Grenswaarde</w:t>
            </w:r>
          </w:p>
        </w:tc>
      </w:tr>
      <w:tr>
        <w:tc>
          <w:tcPr>
            <w:tcW w:type="dxa" w:w="2880"/>
          </w:tcPr>
          <w:p>
            <w:r/>
            <w:r>
              <w:rPr>
                <w:rFonts w:ascii="Calibri" w:hAnsi="Calibri"/>
                <w:sz w:val="20"/>
              </w:rPr>
              <w:t>3 VGI</w:t>
            </w:r>
          </w:p>
        </w:tc>
        <w:tc>
          <w:tcPr>
            <w:tcW w:type="dxa" w:w="2880"/>
          </w:tcPr>
          <w:p>
            <w:r/>
            <w:r>
              <w:rPr>
                <w:rFonts w:ascii="Calibri" w:hAnsi="Calibri"/>
                <w:sz w:val="20"/>
              </w:rPr>
              <w:t>Brandbare vloeistoffen, vlampunt tot 60°C</w:t>
            </w:r>
          </w:p>
        </w:tc>
        <w:tc>
          <w:tcPr>
            <w:tcW w:type="dxa" w:w="2880"/>
          </w:tcPr>
          <w:p>
            <w:r/>
            <w:r>
              <w:rPr>
                <w:rFonts w:ascii="Calibri" w:hAnsi="Calibri"/>
                <w:sz w:val="20"/>
              </w:rPr>
              <w:t>400 kg</w:t>
            </w:r>
          </w:p>
        </w:tc>
      </w:tr>
      <w:tr>
        <w:tc>
          <w:tcPr>
            <w:tcW w:type="dxa" w:w="2880"/>
            <w:shd w:fill="F8F9FA"/>
          </w:tcPr>
          <w:p>
            <w:r/>
            <w:r>
              <w:rPr>
                <w:rFonts w:ascii="Calibri" w:hAnsi="Calibri"/>
                <w:sz w:val="20"/>
              </w:rPr>
              <w:t>6.1 + 8 met etiket 6.1</w:t>
            </w:r>
          </w:p>
        </w:tc>
        <w:tc>
          <w:tcPr>
            <w:tcW w:type="dxa" w:w="2880"/>
            <w:shd w:fill="F8F9FA"/>
          </w:tcPr>
          <w:p>
            <w:r/>
            <w:r>
              <w:rPr>
                <w:rFonts w:ascii="Calibri" w:hAnsi="Calibri"/>
                <w:sz w:val="20"/>
              </w:rPr>
              <w:t>Giftige of bijtende stoffen met bijkomend giftigheid</w:t>
            </w:r>
          </w:p>
        </w:tc>
        <w:tc>
          <w:tcPr>
            <w:tcW w:type="dxa" w:w="2880"/>
            <w:shd w:fill="F8F9FA"/>
          </w:tcPr>
          <w:p>
            <w:r/>
            <w:r>
              <w:rPr>
                <w:rFonts w:ascii="Calibri" w:hAnsi="Calibri"/>
                <w:sz w:val="20"/>
              </w:rPr>
              <w:t>1.000 kg</w:t>
            </w:r>
          </w:p>
        </w:tc>
      </w:tr>
      <w:tr>
        <w:tc>
          <w:tcPr>
            <w:tcW w:type="dxa" w:w="2880"/>
          </w:tcPr>
          <w:p>
            <w:r/>
            <w:r>
              <w:rPr>
                <w:rFonts w:ascii="Calibri" w:hAnsi="Calibri"/>
                <w:sz w:val="20"/>
              </w:rPr>
              <w:t>5.1, 6.1, 8, 9</w:t>
            </w:r>
          </w:p>
        </w:tc>
        <w:tc>
          <w:tcPr>
            <w:tcW w:type="dxa" w:w="2880"/>
          </w:tcPr>
          <w:p>
            <w:r/>
            <w:r>
              <w:rPr>
                <w:rFonts w:ascii="Calibri" w:hAnsi="Calibri"/>
                <w:sz w:val="20"/>
              </w:rPr>
              <w:t>Totale hoeveelheid per ADR-klasse</w:t>
            </w:r>
          </w:p>
        </w:tc>
        <w:tc>
          <w:tcPr>
            <w:tcW w:type="dxa" w:w="2880"/>
          </w:tcPr>
          <w:p>
            <w:r/>
            <w:r>
              <w:rPr>
                <w:rFonts w:ascii="Calibri" w:hAnsi="Calibri"/>
                <w:sz w:val="20"/>
              </w:rPr>
              <w:t>2.500 kg</w:t>
            </w:r>
          </w:p>
        </w:tc>
      </w:tr>
    </w:tbl>
    <w:p/>
    <w:p>
      <w:pPr>
        <w:pStyle w:val="Heading2"/>
      </w:pPr>
      <w:r>
        <w:t>3.4 Conclusie voor Phoenix Metals</w:t>
      </w:r>
    </w:p>
    <w:p>
      <w:r>
        <w:rPr>
          <w:rFonts w:ascii="Calibri" w:hAnsi="Calibri"/>
          <w:b/>
          <w:sz w:val="22"/>
        </w:rPr>
        <w:t>Analyse van de huidige situatie:</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tcPr>
          <w:p>
            <w:pPr>
              <w:jc w:val="center"/>
            </w:pPr>
            <w:r/>
            <w:r>
              <w:rPr>
                <w:rFonts w:ascii="Calibri" w:hAnsi="Calibri"/>
                <w:b/>
                <w:color w:val="FFFFFF"/>
                <w:sz w:val="20"/>
              </w:rPr>
              <w:t>Parameter</w:t>
            </w:r>
          </w:p>
        </w:tc>
        <w:tc>
          <w:tcPr>
            <w:tcW w:type="dxa" w:w="2160"/>
            <w:shd w:fill="003366"/>
          </w:tcPr>
          <w:p>
            <w:pPr>
              <w:jc w:val="center"/>
            </w:pPr>
            <w:r/>
            <w:r>
              <w:rPr>
                <w:rFonts w:ascii="Calibri" w:hAnsi="Calibri"/>
                <w:b/>
                <w:color w:val="FFFFFF"/>
                <w:sz w:val="20"/>
              </w:rPr>
              <w:t>Phoenix Metals</w:t>
            </w:r>
          </w:p>
        </w:tc>
        <w:tc>
          <w:tcPr>
            <w:tcW w:type="dxa" w:w="2160"/>
            <w:shd w:fill="003366"/>
          </w:tcPr>
          <w:p>
            <w:pPr>
              <w:jc w:val="center"/>
            </w:pPr>
            <w:r/>
            <w:r>
              <w:rPr>
                <w:rFonts w:ascii="Calibri" w:hAnsi="Calibri"/>
                <w:b/>
                <w:color w:val="FFFFFF"/>
                <w:sz w:val="20"/>
              </w:rPr>
              <w:t>Drempelwaarde</w:t>
            </w:r>
          </w:p>
        </w:tc>
        <w:tc>
          <w:tcPr>
            <w:tcW w:type="dxa" w:w="2160"/>
            <w:shd w:fill="003366"/>
          </w:tcPr>
          <w:p>
            <w:pPr>
              <w:jc w:val="center"/>
            </w:pPr>
            <w:r/>
            <w:r>
              <w:rPr>
                <w:rFonts w:ascii="Calibri" w:hAnsi="Calibri"/>
                <w:b/>
                <w:color w:val="FFFFFF"/>
                <w:sz w:val="20"/>
              </w:rPr>
              <w:t>Status</w:t>
            </w:r>
          </w:p>
        </w:tc>
      </w:tr>
      <w:tr>
        <w:tc>
          <w:tcPr>
            <w:tcW w:type="dxa" w:w="2160"/>
          </w:tcPr>
          <w:p>
            <w:r/>
            <w:r>
              <w:rPr>
                <w:rFonts w:ascii="Calibri" w:hAnsi="Calibri"/>
                <w:sz w:val="20"/>
              </w:rPr>
              <w:t>Totaal ADR 8</w:t>
            </w:r>
          </w:p>
        </w:tc>
        <w:tc>
          <w:tcPr>
            <w:tcW w:type="dxa" w:w="2160"/>
          </w:tcPr>
          <w:p>
            <w:r/>
            <w:r>
              <w:rPr>
                <w:rFonts w:ascii="Calibri" w:hAnsi="Calibri"/>
                <w:sz w:val="20"/>
              </w:rPr>
              <w:t>~390 kg</w:t>
            </w:r>
          </w:p>
        </w:tc>
        <w:tc>
          <w:tcPr>
            <w:tcW w:type="dxa" w:w="2160"/>
          </w:tcPr>
          <w:p>
            <w:r/>
            <w:r>
              <w:rPr>
                <w:rFonts w:ascii="Calibri" w:hAnsi="Calibri"/>
                <w:sz w:val="20"/>
              </w:rPr>
              <w:t>2.500 kg (Tabel 2)</w:t>
            </w:r>
          </w:p>
        </w:tc>
        <w:tc>
          <w:tcPr>
            <w:tcW w:type="dxa" w:w="2160"/>
          </w:tcPr>
          <w:p>
            <w:r/>
            <w:r>
              <w:rPr>
                <w:rFonts w:ascii="Calibri" w:hAnsi="Calibri"/>
                <w:sz w:val="20"/>
              </w:rPr>
              <w:t>✅ Ver onder</w:t>
            </w:r>
          </w:p>
        </w:tc>
      </w:tr>
      <w:tr>
        <w:tc>
          <w:tcPr>
            <w:tcW w:type="dxa" w:w="2160"/>
            <w:shd w:fill="F8F9FA"/>
          </w:tcPr>
          <w:p>
            <w:r/>
            <w:r>
              <w:rPr>
                <w:rFonts w:ascii="Calibri" w:hAnsi="Calibri"/>
                <w:sz w:val="20"/>
              </w:rPr>
              <w:t>Veiligheidsniveau A</w:t>
            </w:r>
          </w:p>
        </w:tc>
        <w:tc>
          <w:tcPr>
            <w:tcW w:type="dxa" w:w="2160"/>
            <w:shd w:fill="F8F9FA"/>
          </w:tcPr>
          <w:p>
            <w:r/>
            <w:r>
              <w:rPr>
                <w:rFonts w:ascii="Calibri" w:hAnsi="Calibri"/>
                <w:sz w:val="20"/>
              </w:rPr>
              <w:t>0 kg richting &gt;20.000</w:t>
            </w:r>
          </w:p>
        </w:tc>
        <w:tc>
          <w:tcPr>
            <w:tcW w:type="dxa" w:w="2160"/>
            <w:shd w:fill="F8F9FA"/>
          </w:tcPr>
          <w:p>
            <w:r/>
            <w:r>
              <w:rPr>
                <w:rFonts w:ascii="Calibri" w:hAnsi="Calibri"/>
                <w:sz w:val="20"/>
              </w:rPr>
              <w:t>&gt;20.000 kg</w:t>
            </w:r>
          </w:p>
        </w:tc>
        <w:tc>
          <w:tcPr>
            <w:tcW w:type="dxa" w:w="2160"/>
            <w:shd w:fill="F8F9FA"/>
          </w:tcPr>
          <w:p>
            <w:r/>
            <w:r>
              <w:rPr>
                <w:rFonts w:ascii="Calibri" w:hAnsi="Calibri"/>
                <w:sz w:val="20"/>
              </w:rPr>
              <w:t>✅ Niet van toepassing</w:t>
            </w:r>
          </w:p>
        </w:tc>
      </w:tr>
      <w:tr>
        <w:tc>
          <w:tcPr>
            <w:tcW w:type="dxa" w:w="2160"/>
          </w:tcPr>
          <w:p>
            <w:r/>
            <w:r>
              <w:rPr>
                <w:rFonts w:ascii="Calibri" w:hAnsi="Calibri"/>
                <w:sz w:val="20"/>
              </w:rPr>
              <w:t>Veiligheidsniveau B</w:t>
            </w:r>
          </w:p>
        </w:tc>
        <w:tc>
          <w:tcPr>
            <w:tcW w:type="dxa" w:w="2160"/>
          </w:tcPr>
          <w:p>
            <w:r/>
            <w:r>
              <w:rPr>
                <w:rFonts w:ascii="Calibri" w:hAnsi="Calibri"/>
                <w:sz w:val="20"/>
              </w:rPr>
              <w:t>0 kg richting &gt;10.000</w:t>
            </w:r>
          </w:p>
        </w:tc>
        <w:tc>
          <w:tcPr>
            <w:tcW w:type="dxa" w:w="2160"/>
          </w:tcPr>
          <w:p>
            <w:r/>
            <w:r>
              <w:rPr>
                <w:rFonts w:ascii="Calibri" w:hAnsi="Calibri"/>
                <w:sz w:val="20"/>
              </w:rPr>
              <w:t>&gt;10.000 kg</w:t>
            </w:r>
          </w:p>
        </w:tc>
        <w:tc>
          <w:tcPr>
            <w:tcW w:type="dxa" w:w="2160"/>
          </w:tcPr>
          <w:p>
            <w:r/>
            <w:r>
              <w:rPr>
                <w:rFonts w:ascii="Calibri" w:hAnsi="Calibri"/>
                <w:sz w:val="20"/>
              </w:rPr>
              <w:t>✅ Niet van toepassing</w:t>
            </w:r>
          </w:p>
        </w:tc>
      </w:tr>
      <w:tr>
        <w:tc>
          <w:tcPr>
            <w:tcW w:type="dxa" w:w="2160"/>
            <w:shd w:fill="F8F9FA"/>
          </w:tcPr>
          <w:p>
            <w:r/>
            <w:r>
              <w:rPr>
                <w:rFonts w:ascii="Calibri" w:hAnsi="Calibri"/>
                <w:sz w:val="20"/>
              </w:rPr>
              <w:t>Vereist Wbdbo</w:t>
            </w:r>
          </w:p>
        </w:tc>
        <w:tc>
          <w:tcPr>
            <w:tcW w:type="dxa" w:w="2160"/>
            <w:shd w:fill="F8F9FA"/>
          </w:tcPr>
          <w:p>
            <w:r/>
            <w:r>
              <w:rPr>
                <w:rFonts w:ascii="Calibri" w:hAnsi="Calibri"/>
                <w:sz w:val="20"/>
              </w:rPr>
              <w:t>Niet verplicht</w:t>
            </w:r>
          </w:p>
        </w:tc>
        <w:tc>
          <w:tcPr>
            <w:tcW w:type="dxa" w:w="2160"/>
            <w:shd w:fill="F8F9FA"/>
          </w:tcPr>
          <w:p>
            <w:r/>
            <w:r>
              <w:rPr>
                <w:rFonts w:ascii="Calibri" w:hAnsi="Calibri"/>
                <w:sz w:val="20"/>
              </w:rPr>
              <w:t>60 min (vanaf drempel)</w:t>
            </w:r>
          </w:p>
        </w:tc>
        <w:tc>
          <w:tcPr>
            <w:tcW w:type="dxa" w:w="2160"/>
            <w:shd w:fill="F8F9FA"/>
          </w:tcPr>
          <w:p>
            <w:r/>
            <w:r>
              <w:rPr>
                <w:rFonts w:ascii="Calibri" w:hAnsi="Calibri"/>
                <w:sz w:val="20"/>
              </w:rPr>
              <w:t>✅ Alleen Bbl-eis</w:t>
            </w:r>
          </w:p>
        </w:tc>
      </w:tr>
      <w:tr>
        <w:tc>
          <w:tcPr>
            <w:tcW w:type="dxa" w:w="2160"/>
          </w:tcPr>
          <w:p>
            <w:r/>
            <w:r>
              <w:rPr>
                <w:rFonts w:ascii="Calibri" w:hAnsi="Calibri"/>
                <w:sz w:val="20"/>
              </w:rPr>
              <w:t>Basisveiligheidsniveau</w:t>
            </w:r>
          </w:p>
        </w:tc>
        <w:tc>
          <w:tcPr>
            <w:tcW w:type="dxa" w:w="2160"/>
          </w:tcPr>
          <w:p>
            <w:r/>
            <w:r>
              <w:rPr>
                <w:rFonts w:ascii="Calibri" w:hAnsi="Calibri"/>
                <w:sz w:val="20"/>
              </w:rPr>
              <w:t>390 kg</w:t>
            </w:r>
          </w:p>
        </w:tc>
        <w:tc>
          <w:tcPr>
            <w:tcW w:type="dxa" w:w="2160"/>
          </w:tcPr>
          <w:p>
            <w:r/>
            <w:r>
              <w:rPr>
                <w:rFonts w:ascii="Calibri" w:hAnsi="Calibri"/>
                <w:sz w:val="20"/>
              </w:rPr>
              <w:t>ALTIJD</w:t>
            </w:r>
          </w:p>
        </w:tc>
        <w:tc>
          <w:tcPr>
            <w:tcW w:type="dxa" w:w="2160"/>
          </w:tcPr>
          <w:p>
            <w:r/>
            <w:r>
              <w:rPr>
                <w:rFonts w:ascii="Calibri" w:hAnsi="Calibri"/>
                <w:sz w:val="20"/>
              </w:rPr>
              <w:t>✅ Van toepassing</w:t>
            </w:r>
          </w:p>
        </w:tc>
      </w:tr>
    </w:tbl>
    <w:p/>
    <w:p>
      <w:r>
        <w:rPr>
          <w:b/>
          <w:color w:val="00A859"/>
        </w:rPr>
        <w:t xml:space="preserve">CONCLUSIE: </w:t>
      </w:r>
      <w:r>
        <w:t>Phoenix Metals bevindt zich ver onder alle PGS 15-drempelwaarden. Alleen het basisveiligheidsniveau is vereist. Echter: de stoffenscheidingseis (M35, Tabel 9) geldt ONACHTER het veiligheidsniveau en is momenteel NIET compliant.</w:t>
      </w:r>
    </w:p>
    <w:p>
      <w:r>
        <w:br w:type="page"/>
      </w:r>
    </w:p>
    <w:p>
      <w:pPr>
        <w:pStyle w:val="Heading1"/>
      </w:pPr>
      <w:r>
        <w:t>4. Opslag-Compatibiliteitsmatrix</w:t>
      </w:r>
    </w:p>
    <w:p>
      <w:pPr>
        <w:pStyle w:val="Heading2"/>
      </w:pPr>
      <w:r>
        <w:t>4.1 Bijlage E — Tabel 9: Onverenigbare Combinaties</w:t>
      </w:r>
    </w:p>
    <w:p>
      <w:r>
        <w:rPr>
          <w:rFonts w:ascii="Calibri" w:hAnsi="Calibri"/>
          <w:b w:val="0"/>
          <w:sz w:val="22"/>
        </w:rPr>
        <w:t>PGS 15 Bijlage E definieert welke combinaties van gevaarlijke stoffen gescheiden moeten worden opgeslagen. Tabel 9 kent drie scheidingsniveaus [1]:</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tcPr>
          <w:p>
            <w:pPr>
              <w:jc w:val="center"/>
            </w:pPr>
            <w:r/>
            <w:r>
              <w:rPr>
                <w:rFonts w:ascii="Calibri" w:hAnsi="Calibri"/>
                <w:b/>
                <w:color w:val="FFFFFF"/>
                <w:sz w:val="20"/>
              </w:rPr>
              <w:t>Code</w:t>
            </w:r>
          </w:p>
        </w:tc>
        <w:tc>
          <w:tcPr>
            <w:tcW w:type="dxa" w:w="2880"/>
            <w:shd w:fill="003366"/>
          </w:tcPr>
          <w:p>
            <w:pPr>
              <w:jc w:val="center"/>
            </w:pPr>
            <w:r/>
            <w:r>
              <w:rPr>
                <w:rFonts w:ascii="Calibri" w:hAnsi="Calibri"/>
                <w:b/>
                <w:color w:val="FFFFFF"/>
                <w:sz w:val="20"/>
              </w:rPr>
              <w:t>Betekenis</w:t>
            </w:r>
          </w:p>
        </w:tc>
        <w:tc>
          <w:tcPr>
            <w:tcW w:type="dxa" w:w="2880"/>
            <w:shd w:fill="003366"/>
          </w:tcPr>
          <w:p>
            <w:pPr>
              <w:jc w:val="center"/>
            </w:pPr>
            <w:r/>
            <w:r>
              <w:rPr>
                <w:rFonts w:ascii="Calibri" w:hAnsi="Calibri"/>
                <w:b/>
                <w:color w:val="FFFFFF"/>
                <w:sz w:val="20"/>
              </w:rPr>
              <w:t>Methode</w:t>
            </w:r>
          </w:p>
        </w:tc>
      </w:tr>
      <w:tr>
        <w:tc>
          <w:tcPr>
            <w:tcW w:type="dxa" w:w="2880"/>
          </w:tcPr>
          <w:p>
            <w:r/>
            <w:r>
              <w:rPr>
                <w:rFonts w:ascii="Calibri" w:hAnsi="Calibri"/>
                <w:sz w:val="20"/>
              </w:rPr>
              <w:t>V</w:t>
            </w:r>
          </w:p>
        </w:tc>
        <w:tc>
          <w:tcPr>
            <w:tcW w:type="dxa" w:w="2880"/>
          </w:tcPr>
          <w:p>
            <w:r/>
            <w:r>
              <w:rPr>
                <w:rFonts w:ascii="Calibri" w:hAnsi="Calibri"/>
                <w:sz w:val="20"/>
              </w:rPr>
              <w:t>Aparte vakken</w:t>
            </w:r>
          </w:p>
        </w:tc>
        <w:tc>
          <w:tcPr>
            <w:tcW w:type="dxa" w:w="2880"/>
          </w:tcPr>
          <w:p>
            <w:r/>
            <w:r>
              <w:rPr>
                <w:rFonts w:ascii="Calibri" w:hAnsi="Calibri"/>
                <w:sz w:val="20"/>
              </w:rPr>
              <w:t>Stoffen in aparte vakken binnen zelfde opslagvoorziening (&gt;10.000 kg)</w:t>
            </w:r>
          </w:p>
        </w:tc>
      </w:tr>
      <w:tr>
        <w:tc>
          <w:tcPr>
            <w:tcW w:type="dxa" w:w="2880"/>
            <w:shd w:fill="F8F9FA"/>
          </w:tcPr>
          <w:p>
            <w:r/>
            <w:r>
              <w:rPr>
                <w:rFonts w:ascii="Calibri" w:hAnsi="Calibri"/>
                <w:sz w:val="20"/>
              </w:rPr>
              <w:t>B</w:t>
            </w:r>
          </w:p>
        </w:tc>
        <w:tc>
          <w:tcPr>
            <w:tcW w:type="dxa" w:w="2880"/>
            <w:shd w:fill="F8F9FA"/>
          </w:tcPr>
          <w:p>
            <w:r/>
            <w:r>
              <w:rPr>
                <w:rFonts w:ascii="Calibri" w:hAnsi="Calibri"/>
                <w:sz w:val="20"/>
              </w:rPr>
              <w:t>Beoordeel</w:t>
            </w:r>
          </w:p>
        </w:tc>
        <w:tc>
          <w:tcPr>
            <w:tcW w:type="dxa" w:w="2880"/>
            <w:shd w:fill="F8F9FA"/>
          </w:tcPr>
          <w:p>
            <w:r/>
            <w:r>
              <w:rPr>
                <w:rFonts w:ascii="Calibri" w:hAnsi="Calibri"/>
                <w:sz w:val="20"/>
              </w:rPr>
              <w:t>Gescheiden opslag tenzij VIB aantoont dat stoffen niet reageren, of beide vaste stoffen. Realisatie via 2 m afstand, aparte lekbakken, of bufferzone</w:t>
            </w:r>
          </w:p>
        </w:tc>
      </w:tr>
      <w:tr>
        <w:tc>
          <w:tcPr>
            <w:tcW w:type="dxa" w:w="2880"/>
          </w:tcPr>
          <w:p>
            <w:r/>
            <w:r>
              <w:rPr>
                <w:rFonts w:ascii="Calibri" w:hAnsi="Calibri"/>
                <w:sz w:val="20"/>
              </w:rPr>
              <w:t>A</w:t>
            </w:r>
          </w:p>
        </w:tc>
        <w:tc>
          <w:tcPr>
            <w:tcW w:type="dxa" w:w="2880"/>
          </w:tcPr>
          <w:p>
            <w:r/>
            <w:r>
              <w:rPr>
                <w:rFonts w:ascii="Calibri" w:hAnsi="Calibri"/>
                <w:sz w:val="20"/>
              </w:rPr>
              <w:t>Apart brandcompartiment</w:t>
            </w:r>
          </w:p>
        </w:tc>
        <w:tc>
          <w:tcPr>
            <w:tcW w:type="dxa" w:w="2880"/>
          </w:tcPr>
          <w:p>
            <w:r/>
            <w:r>
              <w:rPr>
                <w:rFonts w:ascii="Calibri" w:hAnsi="Calibri"/>
                <w:sz w:val="20"/>
              </w:rPr>
              <w:t>Apart brandcompartiment, of 3-zijdige muur (≥30 min brandwerend), of 5 m vrije zone</w:t>
            </w:r>
          </w:p>
        </w:tc>
      </w:tr>
      <w:tr>
        <w:tc>
          <w:tcPr>
            <w:tcW w:type="dxa" w:w="2880"/>
            <w:shd w:fill="F8F9FA"/>
          </w:tcPr>
          <w:p>
            <w:r/>
            <w:r>
              <w:rPr>
                <w:rFonts w:ascii="Calibri" w:hAnsi="Calibri"/>
                <w:sz w:val="20"/>
              </w:rPr>
              <w:t>—</w:t>
            </w:r>
          </w:p>
        </w:tc>
        <w:tc>
          <w:tcPr>
            <w:tcW w:type="dxa" w:w="2880"/>
            <w:shd w:fill="F8F9FA"/>
          </w:tcPr>
          <w:p>
            <w:r/>
            <w:r>
              <w:rPr>
                <w:rFonts w:ascii="Calibri" w:hAnsi="Calibri"/>
                <w:sz w:val="20"/>
              </w:rPr>
              <w:t>Geen scheiding nodig</w:t>
            </w:r>
          </w:p>
        </w:tc>
        <w:tc>
          <w:tcPr>
            <w:tcW w:type="dxa" w:w="2880"/>
            <w:shd w:fill="F8F9FA"/>
          </w:tcPr>
          <w:p>
            <w:r/>
            <w:r>
              <w:rPr>
                <w:rFonts w:ascii="Calibri" w:hAnsi="Calibri"/>
                <w:sz w:val="20"/>
              </w:rPr>
              <w:t>Stoffen mogen gezamenlijk worden opgeslagen</w:t>
            </w:r>
          </w:p>
        </w:tc>
      </w:tr>
    </w:tbl>
    <w:p/>
    <w:p>
      <w:pPr>
        <w:pStyle w:val="Heading2"/>
      </w:pPr>
      <w:r>
        <w:t>4.2 Volledige Matrix Tabel 9</w:t>
      </w:r>
    </w:p>
    <w:p>
      <w:r>
        <w:rPr>
          <w:rFonts w:ascii="Calibri" w:hAnsi="Calibri"/>
          <w:b w:val="0"/>
          <w:sz w:val="22"/>
        </w:rPr>
        <w:t>Onderstaand de complete matrix uit PGS 15 Bijlage E, Tabel 9 [1]:</w:t>
      </w:r>
    </w:p>
    <w:tbl>
      <w:tblPr>
        <w:tblStyle w:val="TableGrid"/>
        <w:tblW w:type="auto" w:w="0"/>
        <w:jc w:val="center"/>
        <w:tblLook w:firstColumn="1" w:firstRow="1" w:lastColumn="0" w:lastRow="0" w:noHBand="0" w:noVBand="1" w:val="04A0"/>
      </w:tblPr>
      <w:tblGrid>
        <w:gridCol w:w="1234"/>
        <w:gridCol w:w="1234"/>
        <w:gridCol w:w="1234"/>
        <w:gridCol w:w="1234"/>
        <w:gridCol w:w="1234"/>
        <w:gridCol w:w="1234"/>
        <w:gridCol w:w="1234"/>
      </w:tblGrid>
      <w:tr>
        <w:tc>
          <w:tcPr>
            <w:tcW w:type="dxa" w:w="1234"/>
            <w:shd w:fill="003366"/>
          </w:tcPr>
          <w:p>
            <w:pPr>
              <w:jc w:val="center"/>
            </w:pPr>
            <w:r/>
            <w:r>
              <w:rPr>
                <w:rFonts w:ascii="Calibri" w:hAnsi="Calibri"/>
                <w:b/>
                <w:color w:val="FFFFFF"/>
                <w:sz w:val="20"/>
              </w:rPr>
              <w:t>ADR-klasse ↓ / →</w:t>
            </w:r>
          </w:p>
        </w:tc>
        <w:tc>
          <w:tcPr>
            <w:tcW w:type="dxa" w:w="1234"/>
            <w:shd w:fill="003366"/>
          </w:tcPr>
          <w:p>
            <w:pPr>
              <w:jc w:val="center"/>
            </w:pPr>
            <w:r/>
            <w:r>
              <w:rPr>
                <w:rFonts w:ascii="Calibri" w:hAnsi="Calibri"/>
                <w:b/>
                <w:color w:val="FFFFFF"/>
                <w:sz w:val="20"/>
              </w:rPr>
              <w:t>3 (brandbaar)</w:t>
            </w:r>
          </w:p>
        </w:tc>
        <w:tc>
          <w:tcPr>
            <w:tcW w:type="dxa" w:w="1234"/>
            <w:shd w:fill="003366"/>
          </w:tcPr>
          <w:p>
            <w:pPr>
              <w:jc w:val="center"/>
            </w:pPr>
            <w:r/>
            <w:r>
              <w:rPr>
                <w:rFonts w:ascii="Calibri" w:hAnsi="Calibri"/>
                <w:b/>
                <w:color w:val="FFFFFF"/>
                <w:sz w:val="20"/>
              </w:rPr>
              <w:t>5.1 (oxiderend)</w:t>
            </w:r>
          </w:p>
        </w:tc>
        <w:tc>
          <w:tcPr>
            <w:tcW w:type="dxa" w:w="1234"/>
            <w:shd w:fill="003366"/>
          </w:tcPr>
          <w:p>
            <w:pPr>
              <w:jc w:val="center"/>
            </w:pPr>
            <w:r/>
            <w:r>
              <w:rPr>
                <w:rFonts w:ascii="Calibri" w:hAnsi="Calibri"/>
                <w:b/>
                <w:color w:val="FFFFFF"/>
                <w:sz w:val="20"/>
              </w:rPr>
              <w:t>6.1 + CMR</w:t>
            </w:r>
          </w:p>
        </w:tc>
        <w:tc>
          <w:tcPr>
            <w:tcW w:type="dxa" w:w="1234"/>
            <w:shd w:fill="003366"/>
          </w:tcPr>
          <w:p>
            <w:pPr>
              <w:jc w:val="center"/>
            </w:pPr>
            <w:r/>
            <w:r>
              <w:rPr>
                <w:rFonts w:ascii="Calibri" w:hAnsi="Calibri"/>
                <w:b/>
                <w:color w:val="FFFFFF"/>
                <w:sz w:val="20"/>
              </w:rPr>
              <w:t>8 (bijtend)</w:t>
            </w:r>
          </w:p>
        </w:tc>
        <w:tc>
          <w:tcPr>
            <w:tcW w:type="dxa" w:w="1234"/>
            <w:shd w:fill="003366"/>
          </w:tcPr>
          <w:p>
            <w:pPr>
              <w:jc w:val="center"/>
            </w:pPr>
            <w:r/>
            <w:r>
              <w:rPr>
                <w:rFonts w:ascii="Calibri" w:hAnsi="Calibri"/>
                <w:b/>
                <w:color w:val="FFFFFF"/>
                <w:sz w:val="20"/>
              </w:rPr>
              <w:t>9 (milieu)</w:t>
            </w:r>
          </w:p>
        </w:tc>
        <w:tc>
          <w:tcPr>
            <w:tcW w:type="dxa" w:w="1234"/>
            <w:shd w:fill="003366"/>
          </w:tcPr>
          <w:p>
            <w:pPr>
              <w:jc w:val="center"/>
            </w:pPr>
            <w:r/>
            <w:r>
              <w:rPr>
                <w:rFonts w:ascii="Calibri" w:hAnsi="Calibri"/>
                <w:b/>
                <w:color w:val="FFFFFF"/>
                <w:sz w:val="20"/>
              </w:rPr>
              <w:t>Overig</w:t>
            </w:r>
          </w:p>
        </w:tc>
      </w:tr>
      <w:tr>
        <w:tc>
          <w:tcPr>
            <w:tcW w:type="dxa" w:w="1234"/>
          </w:tcPr>
          <w:p>
            <w:r/>
            <w:r>
              <w:rPr>
                <w:rFonts w:ascii="Calibri" w:hAnsi="Calibri"/>
                <w:sz w:val="20"/>
              </w:rPr>
              <w:t>3 (brandbaar)</w:t>
            </w:r>
          </w:p>
        </w:tc>
        <w:tc>
          <w:tcPr>
            <w:tcW w:type="dxa" w:w="1234"/>
          </w:tcPr>
          <w:p>
            <w:r/>
            <w:r>
              <w:rPr>
                <w:rFonts w:ascii="Calibri" w:hAnsi="Calibri"/>
                <w:sz w:val="20"/>
              </w:rPr>
              <w:t>—</w:t>
            </w:r>
          </w:p>
        </w:tc>
        <w:tc>
          <w:tcPr>
            <w:tcW w:type="dxa" w:w="1234"/>
          </w:tcPr>
          <w:p>
            <w:r/>
            <w:r>
              <w:rPr>
                <w:rFonts w:ascii="Calibri" w:hAnsi="Calibri"/>
                <w:sz w:val="20"/>
              </w:rPr>
              <w:t>V</w:t>
            </w:r>
          </w:p>
        </w:tc>
        <w:tc>
          <w:tcPr>
            <w:tcW w:type="dxa" w:w="1234"/>
          </w:tcPr>
          <w:p>
            <w:r/>
            <w:r>
              <w:rPr>
                <w:rFonts w:ascii="Calibri" w:hAnsi="Calibri"/>
                <w:sz w:val="20"/>
              </w:rPr>
              <w:t>B of V</w:t>
            </w:r>
          </w:p>
        </w:tc>
        <w:tc>
          <w:tcPr>
            <w:tcW w:type="dxa" w:w="1234"/>
          </w:tcPr>
          <w:p>
            <w:r/>
            <w:r>
              <w:rPr>
                <w:rFonts w:ascii="Calibri" w:hAnsi="Calibri"/>
                <w:sz w:val="20"/>
              </w:rPr>
              <w:t>B</w:t>
            </w:r>
          </w:p>
        </w:tc>
        <w:tc>
          <w:tcPr>
            <w:tcW w:type="dxa" w:w="1234"/>
          </w:tcPr>
          <w:p>
            <w:r/>
            <w:r>
              <w:rPr>
                <w:rFonts w:ascii="Calibri" w:hAnsi="Calibri"/>
                <w:sz w:val="20"/>
              </w:rPr>
              <w:t>B</w:t>
            </w:r>
          </w:p>
        </w:tc>
        <w:tc>
          <w:tcPr>
            <w:tcW w:type="dxa" w:w="1234"/>
          </w:tcPr>
          <w:p>
            <w:r/>
            <w:r>
              <w:rPr>
                <w:rFonts w:ascii="Calibri" w:hAnsi="Calibri"/>
                <w:sz w:val="20"/>
              </w:rPr>
              <w:t>—</w:t>
            </w:r>
          </w:p>
        </w:tc>
      </w:tr>
      <w:tr>
        <w:tc>
          <w:tcPr>
            <w:tcW w:type="dxa" w:w="1234"/>
            <w:shd w:fill="F8F9FA"/>
          </w:tcPr>
          <w:p>
            <w:r/>
            <w:r>
              <w:rPr>
                <w:rFonts w:ascii="Calibri" w:hAnsi="Calibri"/>
                <w:sz w:val="20"/>
              </w:rPr>
              <w:t>5.1 (oxiderend)</w:t>
            </w:r>
          </w:p>
        </w:tc>
        <w:tc>
          <w:tcPr>
            <w:tcW w:type="dxa" w:w="1234"/>
            <w:shd w:fill="F8F9FA"/>
          </w:tcPr>
          <w:p>
            <w:r/>
            <w:r>
              <w:rPr>
                <w:rFonts w:ascii="Calibri" w:hAnsi="Calibri"/>
                <w:sz w:val="20"/>
              </w:rPr>
              <w:t>V</w:t>
            </w:r>
          </w:p>
        </w:tc>
        <w:tc>
          <w:tcPr>
            <w:tcW w:type="dxa" w:w="1234"/>
            <w:shd w:fill="F8F9FA"/>
          </w:tcPr>
          <w:p>
            <w:r/>
            <w:r>
              <w:rPr>
                <w:rFonts w:ascii="Calibri" w:hAnsi="Calibri"/>
                <w:sz w:val="20"/>
              </w:rPr>
              <w:t>—</w:t>
            </w:r>
          </w:p>
        </w:tc>
        <w:tc>
          <w:tcPr>
            <w:tcW w:type="dxa" w:w="1234"/>
            <w:shd w:fill="F8F9FA"/>
          </w:tcPr>
          <w:p>
            <w:r/>
            <w:r>
              <w:rPr>
                <w:rFonts w:ascii="Calibri" w:hAnsi="Calibri"/>
                <w:sz w:val="20"/>
              </w:rPr>
              <w:t>B of V</w:t>
            </w:r>
          </w:p>
        </w:tc>
        <w:tc>
          <w:tcPr>
            <w:tcW w:type="dxa" w:w="1234"/>
            <w:shd w:fill="F8F9FA"/>
          </w:tcPr>
          <w:p>
            <w:r/>
            <w:r>
              <w:rPr>
                <w:rFonts w:ascii="Calibri" w:hAnsi="Calibri"/>
                <w:sz w:val="20"/>
              </w:rPr>
              <w:t>A of V</w:t>
            </w:r>
          </w:p>
        </w:tc>
        <w:tc>
          <w:tcPr>
            <w:tcW w:type="dxa" w:w="1234"/>
            <w:shd w:fill="F8F9FA"/>
          </w:tcPr>
          <w:p>
            <w:r/>
            <w:r>
              <w:rPr>
                <w:rFonts w:ascii="Calibri" w:hAnsi="Calibri"/>
                <w:sz w:val="20"/>
              </w:rPr>
              <w:t>B</w:t>
            </w:r>
          </w:p>
        </w:tc>
        <w:tc>
          <w:tcPr>
            <w:tcW w:type="dxa" w:w="1234"/>
            <w:shd w:fill="F8F9FA"/>
          </w:tcPr>
          <w:p>
            <w:r/>
            <w:r>
              <w:rPr>
                <w:rFonts w:ascii="Calibri" w:hAnsi="Calibri"/>
                <w:sz w:val="20"/>
              </w:rPr>
              <w:t>—</w:t>
            </w:r>
          </w:p>
        </w:tc>
      </w:tr>
      <w:tr>
        <w:tc>
          <w:tcPr>
            <w:tcW w:type="dxa" w:w="1234"/>
          </w:tcPr>
          <w:p>
            <w:r/>
            <w:r>
              <w:rPr>
                <w:rFonts w:ascii="Calibri" w:hAnsi="Calibri"/>
                <w:sz w:val="20"/>
              </w:rPr>
              <w:t>6.1 + CMR</w:t>
            </w:r>
          </w:p>
        </w:tc>
        <w:tc>
          <w:tcPr>
            <w:tcW w:type="dxa" w:w="1234"/>
          </w:tcPr>
          <w:p>
            <w:r/>
            <w:r>
              <w:rPr>
                <w:rFonts w:ascii="Calibri" w:hAnsi="Calibri"/>
                <w:sz w:val="20"/>
              </w:rPr>
              <w:t>B of V</w:t>
            </w:r>
          </w:p>
        </w:tc>
        <w:tc>
          <w:tcPr>
            <w:tcW w:type="dxa" w:w="1234"/>
          </w:tcPr>
          <w:p>
            <w:r/>
            <w:r>
              <w:rPr>
                <w:rFonts w:ascii="Calibri" w:hAnsi="Calibri"/>
                <w:sz w:val="20"/>
              </w:rPr>
              <w:t>B of V</w:t>
            </w:r>
          </w:p>
        </w:tc>
        <w:tc>
          <w:tcPr>
            <w:tcW w:type="dxa" w:w="1234"/>
          </w:tcPr>
          <w:p>
            <w:r/>
            <w:r>
              <w:rPr>
                <w:rFonts w:ascii="Calibri" w:hAnsi="Calibri"/>
                <w:sz w:val="20"/>
              </w:rPr>
              <w:t>B</w:t>
            </w:r>
          </w:p>
        </w:tc>
        <w:tc>
          <w:tcPr>
            <w:tcW w:type="dxa" w:w="1234"/>
          </w:tcPr>
          <w:p>
            <w:r/>
            <w:r>
              <w:rPr>
                <w:rFonts w:ascii="Calibri" w:hAnsi="Calibri"/>
                <w:sz w:val="20"/>
              </w:rPr>
              <w:t>A</w:t>
            </w:r>
          </w:p>
        </w:tc>
        <w:tc>
          <w:tcPr>
            <w:tcW w:type="dxa" w:w="1234"/>
          </w:tcPr>
          <w:p>
            <w:r/>
            <w:r>
              <w:rPr>
                <w:rFonts w:ascii="Calibri" w:hAnsi="Calibri"/>
                <w:sz w:val="20"/>
              </w:rPr>
              <w:t>B</w:t>
            </w:r>
          </w:p>
        </w:tc>
        <w:tc>
          <w:tcPr>
            <w:tcW w:type="dxa" w:w="1234"/>
          </w:tcPr>
          <w:p>
            <w:r/>
            <w:r>
              <w:rPr>
                <w:rFonts w:ascii="Calibri" w:hAnsi="Calibri"/>
                <w:sz w:val="20"/>
              </w:rPr>
              <w:t>—</w:t>
            </w:r>
          </w:p>
        </w:tc>
      </w:tr>
      <w:tr>
        <w:tc>
          <w:tcPr>
            <w:tcW w:type="dxa" w:w="1234"/>
            <w:shd w:fill="F8F9FA"/>
          </w:tcPr>
          <w:p>
            <w:r/>
            <w:r>
              <w:rPr>
                <w:rFonts w:ascii="Calibri" w:hAnsi="Calibri"/>
                <w:sz w:val="20"/>
              </w:rPr>
              <w:t>8 (bijtend)</w:t>
            </w:r>
          </w:p>
        </w:tc>
        <w:tc>
          <w:tcPr>
            <w:tcW w:type="dxa" w:w="1234"/>
            <w:shd w:fill="F8F9FA"/>
          </w:tcPr>
          <w:p>
            <w:r/>
            <w:r>
              <w:rPr>
                <w:rFonts w:ascii="Calibri" w:hAnsi="Calibri"/>
                <w:sz w:val="20"/>
              </w:rPr>
              <w:t>B</w:t>
            </w:r>
          </w:p>
        </w:tc>
        <w:tc>
          <w:tcPr>
            <w:tcW w:type="dxa" w:w="1234"/>
            <w:shd w:fill="F8F9FA"/>
          </w:tcPr>
          <w:p>
            <w:r/>
            <w:r>
              <w:rPr>
                <w:rFonts w:ascii="Calibri" w:hAnsi="Calibri"/>
                <w:sz w:val="20"/>
              </w:rPr>
              <w:t>B</w:t>
            </w:r>
          </w:p>
        </w:tc>
        <w:tc>
          <w:tcPr>
            <w:tcW w:type="dxa" w:w="1234"/>
            <w:shd w:fill="F8F9FA"/>
          </w:tcPr>
          <w:p>
            <w:r/>
            <w:r>
              <w:rPr>
                <w:rFonts w:ascii="Calibri" w:hAnsi="Calibri"/>
                <w:sz w:val="20"/>
              </w:rPr>
              <w:t>B</w:t>
            </w:r>
          </w:p>
        </w:tc>
        <w:tc>
          <w:tcPr>
            <w:tcW w:type="dxa" w:w="1234"/>
            <w:shd w:fill="F8F9FA"/>
          </w:tcPr>
          <w:p>
            <w:r/>
            <w:r>
              <w:rPr>
                <w:rFonts w:ascii="Calibri" w:hAnsi="Calibri"/>
                <w:sz w:val="20"/>
              </w:rPr>
              <w:t>A</w:t>
            </w:r>
          </w:p>
        </w:tc>
        <w:tc>
          <w:tcPr>
            <w:tcW w:type="dxa" w:w="1234"/>
            <w:shd w:fill="F8F9FA"/>
          </w:tcPr>
          <w:p>
            <w:r/>
            <w:r>
              <w:rPr>
                <w:rFonts w:ascii="Calibri" w:hAnsi="Calibri"/>
                <w:sz w:val="20"/>
              </w:rPr>
              <w:t>B</w:t>
            </w:r>
          </w:p>
        </w:tc>
        <w:tc>
          <w:tcPr>
            <w:tcW w:type="dxa" w:w="1234"/>
            <w:shd w:fill="F8F9FA"/>
          </w:tcPr>
          <w:p>
            <w:r/>
            <w:r>
              <w:rPr>
                <w:rFonts w:ascii="Calibri" w:hAnsi="Calibri"/>
                <w:sz w:val="20"/>
              </w:rPr>
              <w:t>—</w:t>
            </w:r>
          </w:p>
        </w:tc>
      </w:tr>
      <w:tr>
        <w:tc>
          <w:tcPr>
            <w:tcW w:type="dxa" w:w="1234"/>
          </w:tcPr>
          <w:p>
            <w:r/>
            <w:r>
              <w:rPr>
                <w:rFonts w:ascii="Calibri" w:hAnsi="Calibri"/>
                <w:sz w:val="20"/>
              </w:rPr>
              <w:t>9 (milieu)</w:t>
            </w:r>
          </w:p>
        </w:tc>
        <w:tc>
          <w:tcPr>
            <w:tcW w:type="dxa" w:w="1234"/>
          </w:tcPr>
          <w:p>
            <w:r/>
            <w:r>
              <w:rPr>
                <w:rFonts w:ascii="Calibri" w:hAnsi="Calibri"/>
                <w:sz w:val="20"/>
              </w:rPr>
              <w:t>B</w:t>
            </w:r>
          </w:p>
        </w:tc>
        <w:tc>
          <w:tcPr>
            <w:tcW w:type="dxa" w:w="1234"/>
          </w:tcPr>
          <w:p>
            <w:r/>
            <w:r>
              <w:rPr>
                <w:rFonts w:ascii="Calibri" w:hAnsi="Calibri"/>
                <w:sz w:val="20"/>
              </w:rPr>
              <w:t>B</w:t>
            </w:r>
          </w:p>
        </w:tc>
        <w:tc>
          <w:tcPr>
            <w:tcW w:type="dxa" w:w="1234"/>
          </w:tcPr>
          <w:p>
            <w:r/>
            <w:r>
              <w:rPr>
                <w:rFonts w:ascii="Calibri" w:hAnsi="Calibri"/>
                <w:sz w:val="20"/>
              </w:rPr>
              <w:t>B</w:t>
            </w:r>
          </w:p>
        </w:tc>
        <w:tc>
          <w:tcPr>
            <w:tcW w:type="dxa" w:w="1234"/>
          </w:tcPr>
          <w:p>
            <w:r/>
            <w:r>
              <w:rPr>
                <w:rFonts w:ascii="Calibri" w:hAnsi="Calibri"/>
                <w:sz w:val="20"/>
              </w:rPr>
              <w:t>A</w:t>
            </w:r>
          </w:p>
        </w:tc>
        <w:tc>
          <w:tcPr>
            <w:tcW w:type="dxa" w:w="1234"/>
          </w:tcPr>
          <w:p>
            <w:r/>
            <w:r>
              <w:rPr>
                <w:rFonts w:ascii="Calibri" w:hAnsi="Calibri"/>
                <w:sz w:val="20"/>
              </w:rPr>
              <w:t>B</w:t>
            </w:r>
          </w:p>
        </w:tc>
        <w:tc>
          <w:tcPr>
            <w:tcW w:type="dxa" w:w="1234"/>
          </w:tcPr>
          <w:p>
            <w:r/>
            <w:r>
              <w:rPr>
                <w:rFonts w:ascii="Calibri" w:hAnsi="Calibri"/>
                <w:sz w:val="20"/>
              </w:rPr>
              <w:t>—</w:t>
            </w:r>
          </w:p>
        </w:tc>
      </w:tr>
      <w:tr>
        <w:tc>
          <w:tcPr>
            <w:tcW w:type="dxa" w:w="1234"/>
            <w:shd w:fill="F8F9FA"/>
          </w:tcPr>
          <w:p>
            <w:r/>
            <w:r>
              <w:rPr>
                <w:rFonts w:ascii="Calibri" w:hAnsi="Calibri"/>
                <w:sz w:val="20"/>
              </w:rPr>
              <w:t>Overig</w:t>
            </w:r>
          </w:p>
        </w:tc>
        <w:tc>
          <w:tcPr>
            <w:tcW w:type="dxa" w:w="1234"/>
            <w:shd w:fill="F8F9FA"/>
          </w:tcPr>
          <w:p>
            <w:r/>
            <w:r>
              <w:rPr>
                <w:rFonts w:ascii="Calibri" w:hAnsi="Calibri"/>
                <w:sz w:val="20"/>
              </w:rPr>
              <w:t>—</w:t>
            </w:r>
          </w:p>
        </w:tc>
        <w:tc>
          <w:tcPr>
            <w:tcW w:type="dxa" w:w="1234"/>
            <w:shd w:fill="F8F9FA"/>
          </w:tcPr>
          <w:p>
            <w:r/>
            <w:r>
              <w:rPr>
                <w:rFonts w:ascii="Calibri" w:hAnsi="Calibri"/>
                <w:sz w:val="20"/>
              </w:rPr>
              <w:t>—</w:t>
            </w:r>
          </w:p>
        </w:tc>
        <w:tc>
          <w:tcPr>
            <w:tcW w:type="dxa" w:w="1234"/>
            <w:shd w:fill="F8F9FA"/>
          </w:tcPr>
          <w:p>
            <w:r/>
            <w:r>
              <w:rPr>
                <w:rFonts w:ascii="Calibri" w:hAnsi="Calibri"/>
                <w:sz w:val="20"/>
              </w:rPr>
              <w:t>—</w:t>
            </w:r>
          </w:p>
        </w:tc>
        <w:tc>
          <w:tcPr>
            <w:tcW w:type="dxa" w:w="1234"/>
            <w:shd w:fill="F8F9FA"/>
          </w:tcPr>
          <w:p>
            <w:r/>
            <w:r>
              <w:rPr>
                <w:rFonts w:ascii="Calibri" w:hAnsi="Calibri"/>
                <w:sz w:val="20"/>
              </w:rPr>
              <w:t>A</w:t>
            </w:r>
          </w:p>
        </w:tc>
        <w:tc>
          <w:tcPr>
            <w:tcW w:type="dxa" w:w="1234"/>
            <w:shd w:fill="F8F9FA"/>
          </w:tcPr>
          <w:p>
            <w:r/>
            <w:r>
              <w:rPr>
                <w:rFonts w:ascii="Calibri" w:hAnsi="Calibri"/>
                <w:sz w:val="20"/>
              </w:rPr>
              <w:t>—</w:t>
            </w:r>
          </w:p>
        </w:tc>
        <w:tc>
          <w:tcPr>
            <w:tcW w:type="dxa" w:w="1234"/>
            <w:shd w:fill="F8F9FA"/>
          </w:tcPr>
          <w:p>
            <w:r/>
            <w:r>
              <w:rPr>
                <w:rFonts w:ascii="Calibri" w:hAnsi="Calibri"/>
                <w:sz w:val="20"/>
              </w:rPr>
              <w:t>—</w:t>
            </w:r>
          </w:p>
        </w:tc>
      </w:tr>
    </w:tbl>
    <w:p/>
    <w:p>
      <w:pPr>
        <w:pStyle w:val="Heading2"/>
      </w:pPr>
      <w:r>
        <w:t>4.3 Phoenix Metals Specifieke Matrix</w:t>
      </w:r>
    </w:p>
    <w:p>
      <w:r>
        <w:rPr>
          <w:rFonts w:ascii="Calibri" w:hAnsi="Calibri"/>
          <w:b w:val="0"/>
          <w:sz w:val="22"/>
        </w:rPr>
        <w:t>Relevante combinaties voor de huidige stoffenmix bij Phoenix Metals [1][3]:</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tcPr>
          <w:p>
            <w:pPr>
              <w:jc w:val="center"/>
            </w:pPr>
            <w:r/>
            <w:r>
              <w:rPr>
                <w:rFonts w:ascii="Calibri" w:hAnsi="Calibri"/>
                <w:b/>
                <w:color w:val="FFFFFF"/>
                <w:sz w:val="20"/>
              </w:rPr>
              <w:t>Combinatie</w:t>
            </w:r>
          </w:p>
        </w:tc>
        <w:tc>
          <w:tcPr>
            <w:tcW w:type="dxa" w:w="2160"/>
            <w:shd w:fill="003366"/>
          </w:tcPr>
          <w:p>
            <w:pPr>
              <w:jc w:val="center"/>
            </w:pPr>
            <w:r/>
            <w:r>
              <w:rPr>
                <w:rFonts w:ascii="Calibri" w:hAnsi="Calibri"/>
                <w:b/>
                <w:color w:val="FFFFFF"/>
                <w:sz w:val="20"/>
              </w:rPr>
              <w:t>Scheiding vereist?</w:t>
            </w:r>
          </w:p>
        </w:tc>
        <w:tc>
          <w:tcPr>
            <w:tcW w:type="dxa" w:w="2160"/>
            <w:shd w:fill="003366"/>
          </w:tcPr>
          <w:p>
            <w:pPr>
              <w:jc w:val="center"/>
            </w:pPr>
            <w:r/>
            <w:r>
              <w:rPr>
                <w:rFonts w:ascii="Calibri" w:hAnsi="Calibri"/>
                <w:b/>
                <w:color w:val="FFFFFF"/>
                <w:sz w:val="20"/>
              </w:rPr>
              <w:t>Niveau</w:t>
            </w:r>
          </w:p>
        </w:tc>
        <w:tc>
          <w:tcPr>
            <w:tcW w:type="dxa" w:w="2160"/>
            <w:shd w:fill="003366"/>
          </w:tcPr>
          <w:p>
            <w:pPr>
              <w:jc w:val="center"/>
            </w:pPr>
            <w:r/>
            <w:r>
              <w:rPr>
                <w:rFonts w:ascii="Calibri" w:hAnsi="Calibri"/>
                <w:b/>
                <w:color w:val="FFFFFF"/>
                <w:sz w:val="20"/>
              </w:rPr>
              <w:t>Toelichting</w:t>
            </w:r>
          </w:p>
        </w:tc>
      </w:tr>
      <w:tr>
        <w:tc>
          <w:tcPr>
            <w:tcW w:type="dxa" w:w="2160"/>
          </w:tcPr>
          <w:p>
            <w:r/>
            <w:r>
              <w:rPr>
                <w:rFonts w:ascii="Calibri" w:hAnsi="Calibri"/>
                <w:sz w:val="20"/>
              </w:rPr>
              <w:t>NaOH 50% ↔ H₂SO₄ (alle concentraties)</w:t>
            </w:r>
          </w:p>
        </w:tc>
        <w:tc>
          <w:tcPr>
            <w:tcW w:type="dxa" w:w="2160"/>
          </w:tcPr>
          <w:p>
            <w:r/>
            <w:r>
              <w:rPr>
                <w:rFonts w:ascii="Calibri" w:hAnsi="Calibri"/>
                <w:sz w:val="20"/>
              </w:rPr>
              <w:t>JA</w:t>
            </w:r>
          </w:p>
        </w:tc>
        <w:tc>
          <w:tcPr>
            <w:tcW w:type="dxa" w:w="2160"/>
          </w:tcPr>
          <w:p>
            <w:r/>
            <w:r>
              <w:rPr>
                <w:rFonts w:ascii="Calibri" w:hAnsi="Calibri"/>
                <w:sz w:val="20"/>
              </w:rPr>
              <w:t>A</w:t>
            </w:r>
          </w:p>
        </w:tc>
        <w:tc>
          <w:tcPr>
            <w:tcW w:type="dxa" w:w="2160"/>
          </w:tcPr>
          <w:p>
            <w:r/>
            <w:r>
              <w:rPr>
                <w:rFonts w:ascii="Calibri" w:hAnsi="Calibri"/>
                <w:sz w:val="20"/>
              </w:rPr>
              <w:t>Zuur + base = exotherme reactie. Tabel 9: ADR 8 ↔ ADR 8 = A</w:t>
            </w:r>
          </w:p>
        </w:tc>
      </w:tr>
      <w:tr>
        <w:tc>
          <w:tcPr>
            <w:tcW w:type="dxa" w:w="2160"/>
            <w:shd w:fill="F8F9FA"/>
          </w:tcPr>
          <w:p>
            <w:r/>
            <w:r>
              <w:rPr>
                <w:rFonts w:ascii="Calibri" w:hAnsi="Calibri"/>
                <w:sz w:val="20"/>
              </w:rPr>
              <w:t>NaOH 50% ↔ Aluminum sulfate</w:t>
            </w:r>
          </w:p>
        </w:tc>
        <w:tc>
          <w:tcPr>
            <w:tcW w:type="dxa" w:w="2160"/>
            <w:shd w:fill="F8F9FA"/>
          </w:tcPr>
          <w:p>
            <w:r/>
            <w:r>
              <w:rPr>
                <w:rFonts w:ascii="Calibri" w:hAnsi="Calibri"/>
                <w:sz w:val="20"/>
              </w:rPr>
              <w:t>Beoordeel</w:t>
            </w:r>
          </w:p>
        </w:tc>
        <w:tc>
          <w:tcPr>
            <w:tcW w:type="dxa" w:w="2160"/>
            <w:shd w:fill="F8F9FA"/>
          </w:tcPr>
          <w:p>
            <w:r/>
            <w:r>
              <w:rPr>
                <w:rFonts w:ascii="Calibri" w:hAnsi="Calibri"/>
                <w:sz w:val="20"/>
              </w:rPr>
              <w:t>B</w:t>
            </w:r>
          </w:p>
        </w:tc>
        <w:tc>
          <w:tcPr>
            <w:tcW w:type="dxa" w:w="2160"/>
            <w:shd w:fill="F8F9FA"/>
          </w:tcPr>
          <w:p>
            <w:r/>
            <w:r>
              <w:rPr>
                <w:rFonts w:ascii="Calibri" w:hAnsi="Calibri"/>
                <w:sz w:val="20"/>
              </w:rPr>
              <w:t>Base + zout. VIB-consultatie vereist</w:t>
            </w:r>
          </w:p>
        </w:tc>
      </w:tr>
      <w:tr>
        <w:tc>
          <w:tcPr>
            <w:tcW w:type="dxa" w:w="2160"/>
          </w:tcPr>
          <w:p>
            <w:r/>
            <w:r>
              <w:rPr>
                <w:rFonts w:ascii="Calibri" w:hAnsi="Calibri"/>
                <w:sz w:val="20"/>
              </w:rPr>
              <w:t>NaOH 50% ↔ Calcium oxide</w:t>
            </w:r>
          </w:p>
        </w:tc>
        <w:tc>
          <w:tcPr>
            <w:tcW w:type="dxa" w:w="2160"/>
          </w:tcPr>
          <w:p>
            <w:r/>
            <w:r>
              <w:rPr>
                <w:rFonts w:ascii="Calibri" w:hAnsi="Calibri"/>
                <w:sz w:val="20"/>
              </w:rPr>
              <w:t>Beoordeel</w:t>
            </w:r>
          </w:p>
        </w:tc>
        <w:tc>
          <w:tcPr>
            <w:tcW w:type="dxa" w:w="2160"/>
          </w:tcPr>
          <w:p>
            <w:r/>
            <w:r>
              <w:rPr>
                <w:rFonts w:ascii="Calibri" w:hAnsi="Calibri"/>
                <w:sz w:val="20"/>
              </w:rPr>
              <w:t>B</w:t>
            </w:r>
          </w:p>
        </w:tc>
        <w:tc>
          <w:tcPr>
            <w:tcW w:type="dxa" w:w="2160"/>
          </w:tcPr>
          <w:p>
            <w:r/>
            <w:r>
              <w:rPr>
                <w:rFonts w:ascii="Calibri" w:hAnsi="Calibri"/>
                <w:sz w:val="20"/>
              </w:rPr>
              <w:t>Base + basisch oxide. Beoordeling vereist</w:t>
            </w:r>
          </w:p>
        </w:tc>
      </w:tr>
      <w:tr>
        <w:tc>
          <w:tcPr>
            <w:tcW w:type="dxa" w:w="2160"/>
            <w:shd w:fill="F8F9FA"/>
          </w:tcPr>
          <w:p>
            <w:r/>
            <w:r>
              <w:rPr>
                <w:rFonts w:ascii="Calibri" w:hAnsi="Calibri"/>
                <w:sz w:val="20"/>
              </w:rPr>
              <w:t>H₂SO₄ ↔ H₂SO₄ (verschillende %)</w:t>
            </w:r>
          </w:p>
        </w:tc>
        <w:tc>
          <w:tcPr>
            <w:tcW w:type="dxa" w:w="2160"/>
            <w:shd w:fill="F8F9FA"/>
          </w:tcPr>
          <w:p>
            <w:r/>
            <w:r>
              <w:rPr>
                <w:rFonts w:ascii="Calibri" w:hAnsi="Calibri"/>
                <w:sz w:val="20"/>
              </w:rPr>
              <w:t>NEE</w:t>
            </w:r>
          </w:p>
        </w:tc>
        <w:tc>
          <w:tcPr>
            <w:tcW w:type="dxa" w:w="2160"/>
            <w:shd w:fill="F8F9FA"/>
          </w:tcPr>
          <w:p>
            <w:r/>
            <w:r>
              <w:rPr>
                <w:rFonts w:ascii="Calibri" w:hAnsi="Calibri"/>
                <w:sz w:val="20"/>
              </w:rPr>
              <w:t>—</w:t>
            </w:r>
          </w:p>
        </w:tc>
        <w:tc>
          <w:tcPr>
            <w:tcW w:type="dxa" w:w="2160"/>
            <w:shd w:fill="F8F9FA"/>
          </w:tcPr>
          <w:p>
            <w:r/>
            <w:r>
              <w:rPr>
                <w:rFonts w:ascii="Calibri" w:hAnsi="Calibri"/>
                <w:sz w:val="20"/>
              </w:rPr>
              <w:t>Zelfde stof, zelfde gevarenklasse</w:t>
            </w:r>
          </w:p>
        </w:tc>
      </w:tr>
      <w:tr>
        <w:tc>
          <w:tcPr>
            <w:tcW w:type="dxa" w:w="2160"/>
          </w:tcPr>
          <w:p>
            <w:r/>
            <w:r>
              <w:rPr>
                <w:rFonts w:ascii="Calibri" w:hAnsi="Calibri"/>
                <w:sz w:val="20"/>
              </w:rPr>
              <w:t>H₂SO₄ ↔ Aluminum sulfate</w:t>
            </w:r>
          </w:p>
        </w:tc>
        <w:tc>
          <w:tcPr>
            <w:tcW w:type="dxa" w:w="2160"/>
          </w:tcPr>
          <w:p>
            <w:r/>
            <w:r>
              <w:rPr>
                <w:rFonts w:ascii="Calibri" w:hAnsi="Calibri"/>
                <w:sz w:val="20"/>
              </w:rPr>
              <w:t>Beoordeel</w:t>
            </w:r>
          </w:p>
        </w:tc>
        <w:tc>
          <w:tcPr>
            <w:tcW w:type="dxa" w:w="2160"/>
          </w:tcPr>
          <w:p>
            <w:r/>
            <w:r>
              <w:rPr>
                <w:rFonts w:ascii="Calibri" w:hAnsi="Calibri"/>
                <w:sz w:val="20"/>
              </w:rPr>
              <w:t>B</w:t>
            </w:r>
          </w:p>
        </w:tc>
        <w:tc>
          <w:tcPr>
            <w:tcW w:type="dxa" w:w="2160"/>
          </w:tcPr>
          <w:p>
            <w:r/>
            <w:r>
              <w:rPr>
                <w:rFonts w:ascii="Calibri" w:hAnsi="Calibri"/>
                <w:sz w:val="20"/>
              </w:rPr>
              <w:t>Zuur + zout. Beoordeling vereist</w:t>
            </w:r>
          </w:p>
        </w:tc>
      </w:tr>
      <w:tr>
        <w:tc>
          <w:tcPr>
            <w:tcW w:type="dxa" w:w="2160"/>
            <w:shd w:fill="F8F9FA"/>
          </w:tcPr>
          <w:p>
            <w:r/>
            <w:r>
              <w:rPr>
                <w:rFonts w:ascii="Calibri" w:hAnsi="Calibri"/>
                <w:sz w:val="20"/>
              </w:rPr>
              <w:t>H₂SO₄ ↔ Calcium oxide</w:t>
            </w:r>
          </w:p>
        </w:tc>
        <w:tc>
          <w:tcPr>
            <w:tcW w:type="dxa" w:w="2160"/>
            <w:shd w:fill="F8F9FA"/>
          </w:tcPr>
          <w:p>
            <w:r/>
            <w:r>
              <w:rPr>
                <w:rFonts w:ascii="Calibri" w:hAnsi="Calibri"/>
                <w:sz w:val="20"/>
              </w:rPr>
              <w:t>JA</w:t>
            </w:r>
          </w:p>
        </w:tc>
        <w:tc>
          <w:tcPr>
            <w:tcW w:type="dxa" w:w="2160"/>
            <w:shd w:fill="F8F9FA"/>
          </w:tcPr>
          <w:p>
            <w:r/>
            <w:r>
              <w:rPr>
                <w:rFonts w:ascii="Calibri" w:hAnsi="Calibri"/>
                <w:sz w:val="20"/>
              </w:rPr>
              <w:t>A</w:t>
            </w:r>
          </w:p>
        </w:tc>
        <w:tc>
          <w:tcPr>
            <w:tcW w:type="dxa" w:w="2160"/>
            <w:shd w:fill="F8F9FA"/>
          </w:tcPr>
          <w:p>
            <w:r/>
            <w:r>
              <w:rPr>
                <w:rFonts w:ascii="Calibri" w:hAnsi="Calibri"/>
                <w:sz w:val="20"/>
              </w:rPr>
              <w:t>Zuur + sterk basisch oxide. Exotherm risico</w:t>
            </w:r>
          </w:p>
        </w:tc>
      </w:tr>
    </w:tbl>
    <w:p/>
    <w:p>
      <w:pPr>
        <w:pStyle w:val="Heading2"/>
      </w:pPr>
      <w:r>
        <w:t>4.4 Praktische Oplossing</w:t>
      </w:r>
    </w:p>
    <w:p>
      <w:r>
        <w:rPr>
          <w:rFonts w:ascii="Calibri" w:hAnsi="Calibri"/>
          <w:b w:val="0"/>
          <w:sz w:val="22"/>
        </w:rPr>
        <w:t>Voor opslag &lt;10.000 kg gelden de volgende opties uit Bijlage E, sectie E.3 [1]:</w:t>
      </w:r>
    </w:p>
    <w:p>
      <w:pPr>
        <w:pStyle w:val="ListBullet"/>
        <w:ind w:left="850"/>
      </w:pPr>
      <w:r>
        <w:t>Optie 1: Aparte lekbakken per categorie (zuren / basen / overig)</w:t>
      </w:r>
    </w:p>
    <w:p>
      <w:pPr>
        <w:pStyle w:val="ListBullet"/>
        <w:ind w:left="850"/>
      </w:pPr>
      <w:r>
        <w:t>Optie 2: Minimaal 2 meter vrije afstand tussen de te scheiden stoffen</w:t>
      </w:r>
    </w:p>
    <w:p>
      <w:pPr>
        <w:pStyle w:val="ListBullet"/>
        <w:ind w:left="850"/>
      </w:pPr>
      <w:r>
        <w:t>Optie 3: Bufferzone van 2 meter met stoffen waarvan gezamenlijke opslag is toegelaten</w:t>
      </w:r>
    </w:p>
    <w:p>
      <w:r>
        <w:rPr>
          <w:b/>
          <w:color w:val="003366"/>
        </w:rPr>
        <w:t xml:space="preserve">AANBEVOLEN OPLOSSING VOOR PHOENIX METALS: </w:t>
      </w:r>
      <w:r>
        <w:t>Plaats NaOH 50% in een aparte lekbak, H₂SO₄ (alle concentraties) in een aparte lekbak, en Calcium oxide apart van beide. Markeer de vakken duidelijk. Houd minimaal 2 meter afstand tussen de NaOH-lekbak en de H₂SO₄-lekbak.</w:t>
      </w:r>
    </w:p>
    <w:p>
      <w:r>
        <w:br w:type="page"/>
      </w:r>
    </w:p>
    <w:p>
      <w:pPr>
        <w:pStyle w:val="Heading1"/>
      </w:pPr>
      <w:r>
        <w:t>5. Basisveiligheidsniveau Maatregelen</w:t>
      </w:r>
    </w:p>
    <w:p>
      <w:r>
        <w:rPr>
          <w:rFonts w:ascii="Calibri" w:hAnsi="Calibri"/>
          <w:b w:val="0"/>
          <w:sz w:val="22"/>
        </w:rPr>
        <w:t>Onderstaand de belangrijkste maatregelen uit het basisveiligheidsniveau die van toepassing zijn op Phoenix Metals [1].</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1134"/>
            <w:shd w:fill="003366"/>
          </w:tcPr>
          <w:p>
            <w:pPr>
              <w:jc w:val="center"/>
            </w:pPr>
            <w:r/>
            <w:r>
              <w:rPr>
                <w:rFonts w:ascii="Calibri" w:hAnsi="Calibri"/>
                <w:b/>
                <w:color w:val="FFFFFF"/>
                <w:sz w:val="20"/>
              </w:rPr>
              <w:t>M-nr</w:t>
            </w:r>
          </w:p>
        </w:tc>
        <w:tc>
          <w:tcPr>
            <w:tcW w:type="dxa" w:w="2268"/>
            <w:shd w:fill="003366"/>
          </w:tcPr>
          <w:p>
            <w:pPr>
              <w:jc w:val="center"/>
            </w:pPr>
            <w:r/>
            <w:r>
              <w:rPr>
                <w:rFonts w:ascii="Calibri" w:hAnsi="Calibri"/>
                <w:b/>
                <w:color w:val="FFFFFF"/>
                <w:sz w:val="20"/>
              </w:rPr>
              <w:t>Maatregel</w:t>
            </w:r>
          </w:p>
        </w:tc>
        <w:tc>
          <w:tcPr>
            <w:tcW w:type="dxa" w:w="4535"/>
            <w:shd w:fill="003366"/>
          </w:tcPr>
          <w:p>
            <w:pPr>
              <w:jc w:val="center"/>
            </w:pPr>
            <w:r/>
            <w:r>
              <w:rPr>
                <w:rFonts w:ascii="Calibri" w:hAnsi="Calibri"/>
                <w:b/>
                <w:color w:val="FFFFFF"/>
                <w:sz w:val="20"/>
              </w:rPr>
              <w:t>Samenvatting</w:t>
            </w:r>
          </w:p>
        </w:tc>
        <w:tc>
          <w:tcPr>
            <w:tcW w:type="dxa" w:w="1701"/>
            <w:shd w:fill="003366"/>
          </w:tcPr>
          <w:p>
            <w:pPr>
              <w:jc w:val="center"/>
            </w:pPr>
            <w:r/>
            <w:r>
              <w:rPr>
                <w:rFonts w:ascii="Calibri" w:hAnsi="Calibri"/>
                <w:b/>
                <w:color w:val="FFFFFF"/>
                <w:sz w:val="20"/>
              </w:rPr>
              <w:t>PM Status</w:t>
            </w:r>
          </w:p>
        </w:tc>
      </w:tr>
      <w:tr>
        <w:tc>
          <w:tcPr>
            <w:tcW w:type="dxa" w:w="1134"/>
          </w:tcPr>
          <w:p>
            <w:r/>
            <w:r>
              <w:rPr>
                <w:rFonts w:ascii="Calibri" w:hAnsi="Calibri"/>
                <w:sz w:val="20"/>
              </w:rPr>
              <w:t>MW1</w:t>
            </w:r>
          </w:p>
        </w:tc>
        <w:tc>
          <w:tcPr>
            <w:tcW w:type="dxa" w:w="2268"/>
          </w:tcPr>
          <w:p>
            <w:r/>
            <w:r>
              <w:rPr>
                <w:rFonts w:ascii="Calibri" w:hAnsi="Calibri"/>
                <w:sz w:val="20"/>
              </w:rPr>
              <w:t>Zorgplicht Basisveiligheid</w:t>
            </w:r>
          </w:p>
        </w:tc>
        <w:tc>
          <w:tcPr>
            <w:tcW w:type="dxa" w:w="4535"/>
          </w:tcPr>
          <w:p>
            <w:r/>
            <w:r>
              <w:rPr>
                <w:rFonts w:ascii="Calibri" w:hAnsi="Calibri"/>
                <w:sz w:val="20"/>
              </w:rPr>
              <w:t>Er is een basisveiligheidsniveau aanwezig dat bestaat uit beschermende maatregelen, bewezen goede praktijken, good housekeeping en goed vakmanschap. Dit is altijd van toepassing.</w:t>
            </w:r>
          </w:p>
        </w:tc>
        <w:tc>
          <w:tcPr>
            <w:tcW w:type="dxa" w:w="1701"/>
          </w:tcPr>
          <w:p>
            <w:r/>
            <w:r>
              <w:rPr>
                <w:rFonts w:ascii="Calibri" w:hAnsi="Calibri"/>
                <w:sz w:val="20"/>
              </w:rPr>
              <w:t>⚠️ Toetsen</w:t>
            </w:r>
          </w:p>
        </w:tc>
      </w:tr>
      <w:tr>
        <w:tc>
          <w:tcPr>
            <w:tcW w:type="dxa" w:w="1134"/>
            <w:shd w:fill="F8F9FA"/>
          </w:tcPr>
          <w:p>
            <w:r/>
            <w:r>
              <w:rPr>
                <w:rFonts w:ascii="Calibri" w:hAnsi="Calibri"/>
                <w:sz w:val="20"/>
              </w:rPr>
              <w:t>M2</w:t>
            </w:r>
          </w:p>
        </w:tc>
        <w:tc>
          <w:tcPr>
            <w:tcW w:type="dxa" w:w="2268"/>
            <w:shd w:fill="F8F9FA"/>
          </w:tcPr>
          <w:p>
            <w:r/>
            <w:r>
              <w:rPr>
                <w:rFonts w:ascii="Calibri" w:hAnsi="Calibri"/>
                <w:sz w:val="20"/>
              </w:rPr>
              <w:t>Opslaan van verpakte gevaarlijke stoffen</w:t>
            </w:r>
          </w:p>
        </w:tc>
        <w:tc>
          <w:tcPr>
            <w:tcW w:type="dxa" w:w="4535"/>
            <w:shd w:fill="F8F9FA"/>
          </w:tcPr>
          <w:p>
            <w:r/>
            <w:r>
              <w:rPr>
                <w:rFonts w:ascii="Calibri" w:hAnsi="Calibri"/>
                <w:sz w:val="20"/>
              </w:rPr>
              <w:t>Verpakte gevaarlijke stoffen boven de ondergrenzen worden opgeslagen in een daarvoor bestemde opslagvoorziening. Uitgezonderd: werkvoorraad conform M14.</w:t>
            </w:r>
          </w:p>
        </w:tc>
        <w:tc>
          <w:tcPr>
            <w:tcW w:type="dxa" w:w="1701"/>
            <w:shd w:fill="F8F9FA"/>
          </w:tcPr>
          <w:p>
            <w:r/>
            <w:r>
              <w:rPr>
                <w:rFonts w:ascii="Calibri" w:hAnsi="Calibri"/>
                <w:sz w:val="20"/>
              </w:rPr>
              <w:t>⚠️ Toetsen</w:t>
            </w:r>
          </w:p>
        </w:tc>
      </w:tr>
      <w:tr>
        <w:tc>
          <w:tcPr>
            <w:tcW w:type="dxa" w:w="1134"/>
          </w:tcPr>
          <w:p>
            <w:r/>
            <w:r>
              <w:rPr>
                <w:rFonts w:ascii="Calibri" w:hAnsi="Calibri"/>
                <w:sz w:val="20"/>
              </w:rPr>
              <w:t>M3</w:t>
            </w:r>
          </w:p>
        </w:tc>
        <w:tc>
          <w:tcPr>
            <w:tcW w:type="dxa" w:w="2268"/>
          </w:tcPr>
          <w:p>
            <w:r/>
            <w:r>
              <w:rPr>
                <w:rFonts w:ascii="Calibri" w:hAnsi="Calibri"/>
                <w:sz w:val="20"/>
              </w:rPr>
              <w:t>Vereist veiligheidsniveau</w:t>
            </w:r>
          </w:p>
        </w:tc>
        <w:tc>
          <w:tcPr>
            <w:tcW w:type="dxa" w:w="4535"/>
          </w:tcPr>
          <w:p>
            <w:r/>
            <w:r>
              <w:rPr>
                <w:rFonts w:ascii="Calibri" w:hAnsi="Calibri"/>
                <w:sz w:val="20"/>
              </w:rPr>
              <w:t>De opslagvoorziening heeft een veiligheidsniveau volgens Tabel 6. Phoenix Metals: basisveiligheidsniveau volstaat.</w:t>
            </w:r>
          </w:p>
        </w:tc>
        <w:tc>
          <w:tcPr>
            <w:tcW w:type="dxa" w:w="1701"/>
          </w:tcPr>
          <w:p>
            <w:r/>
            <w:r>
              <w:rPr>
                <w:rFonts w:ascii="Calibri" w:hAnsi="Calibri"/>
                <w:sz w:val="20"/>
              </w:rPr>
              <w:t>✅ Compliant</w:t>
            </w:r>
          </w:p>
        </w:tc>
      </w:tr>
      <w:tr>
        <w:tc>
          <w:tcPr>
            <w:tcW w:type="dxa" w:w="1134"/>
            <w:shd w:fill="F8F9FA"/>
          </w:tcPr>
          <w:p>
            <w:r/>
            <w:r>
              <w:rPr>
                <w:rFonts w:ascii="Calibri" w:hAnsi="Calibri"/>
                <w:sz w:val="20"/>
              </w:rPr>
              <w:t>M14</w:t>
            </w:r>
          </w:p>
        </w:tc>
        <w:tc>
          <w:tcPr>
            <w:tcW w:type="dxa" w:w="2268"/>
            <w:shd w:fill="F8F9FA"/>
          </w:tcPr>
          <w:p>
            <w:r/>
            <w:r>
              <w:rPr>
                <w:rFonts w:ascii="Calibri" w:hAnsi="Calibri"/>
                <w:sz w:val="20"/>
              </w:rPr>
              <w:t>Werkvoorraad</w:t>
            </w:r>
          </w:p>
        </w:tc>
        <w:tc>
          <w:tcPr>
            <w:tcW w:type="dxa" w:w="4535"/>
            <w:shd w:fill="F8F9FA"/>
          </w:tcPr>
          <w:p>
            <w:r/>
            <w:r>
              <w:rPr>
                <w:rFonts w:ascii="Calibri" w:hAnsi="Calibri"/>
                <w:sz w:val="20"/>
              </w:rPr>
              <w:t>Alleen voor de bedrijfsvoering noodzakelijke stoffen worden aangemerkt als werkvoorraad. Eén aangebroken + één nieuwe verpakkingseenheid per stof.</w:t>
            </w:r>
          </w:p>
        </w:tc>
        <w:tc>
          <w:tcPr>
            <w:tcW w:type="dxa" w:w="1701"/>
            <w:shd w:fill="F8F9FA"/>
          </w:tcPr>
          <w:p>
            <w:r/>
            <w:r>
              <w:rPr>
                <w:rFonts w:ascii="Calibri" w:hAnsi="Calibri"/>
                <w:sz w:val="20"/>
              </w:rPr>
              <w:t>⚠️ Toetsen</w:t>
            </w:r>
          </w:p>
        </w:tc>
      </w:tr>
      <w:tr>
        <w:tc>
          <w:tcPr>
            <w:tcW w:type="dxa" w:w="1134"/>
          </w:tcPr>
          <w:p>
            <w:r/>
            <w:r>
              <w:rPr>
                <w:rFonts w:ascii="Calibri" w:hAnsi="Calibri"/>
                <w:sz w:val="20"/>
              </w:rPr>
              <w:t>M15</w:t>
            </w:r>
          </w:p>
        </w:tc>
        <w:tc>
          <w:tcPr>
            <w:tcW w:type="dxa" w:w="2268"/>
          </w:tcPr>
          <w:p>
            <w:r/>
            <w:r>
              <w:rPr>
                <w:rFonts w:ascii="Calibri" w:hAnsi="Calibri"/>
                <w:sz w:val="20"/>
              </w:rPr>
              <w:t>Maximale omvang opslagvoorziening</w:t>
            </w:r>
          </w:p>
        </w:tc>
        <w:tc>
          <w:tcPr>
            <w:tcW w:type="dxa" w:w="4535"/>
          </w:tcPr>
          <w:p>
            <w:r/>
            <w:r>
              <w:rPr>
                <w:rFonts w:ascii="Calibri" w:hAnsi="Calibri"/>
                <w:sz w:val="20"/>
              </w:rPr>
              <w:t>Opslagvoorziening = onafhankelijk brandcompartiment. Zonder VBB: max 1.000 m² (&lt;20 ton).</w:t>
            </w:r>
          </w:p>
        </w:tc>
        <w:tc>
          <w:tcPr>
            <w:tcW w:type="dxa" w:w="1701"/>
          </w:tcPr>
          <w:p>
            <w:r/>
            <w:r>
              <w:rPr>
                <w:rFonts w:ascii="Calibri" w:hAnsi="Calibri"/>
                <w:sz w:val="20"/>
              </w:rPr>
              <w:t>✅ Compliant (klein volume)</w:t>
            </w:r>
          </w:p>
        </w:tc>
      </w:tr>
      <w:tr>
        <w:tc>
          <w:tcPr>
            <w:tcW w:type="dxa" w:w="1134"/>
            <w:shd w:fill="F8F9FA"/>
          </w:tcPr>
          <w:p>
            <w:r/>
            <w:r>
              <w:rPr>
                <w:rFonts w:ascii="Calibri" w:hAnsi="Calibri"/>
                <w:sz w:val="20"/>
              </w:rPr>
              <w:t>M30</w:t>
            </w:r>
          </w:p>
        </w:tc>
        <w:tc>
          <w:tcPr>
            <w:tcW w:type="dxa" w:w="2268"/>
            <w:shd w:fill="F8F9FA"/>
          </w:tcPr>
          <w:p>
            <w:r/>
            <w:r>
              <w:rPr>
                <w:rFonts w:ascii="Calibri" w:hAnsi="Calibri"/>
                <w:sz w:val="20"/>
              </w:rPr>
              <w:t>Vloeistofopvang</w:t>
            </w:r>
          </w:p>
        </w:tc>
        <w:tc>
          <w:tcPr>
            <w:tcW w:type="dxa" w:w="4535"/>
            <w:shd w:fill="F8F9FA"/>
          </w:tcPr>
          <w:p>
            <w:r/>
            <w:r>
              <w:rPr>
                <w:rFonts w:ascii="Calibri" w:hAnsi="Calibri"/>
                <w:sz w:val="20"/>
              </w:rPr>
              <w:t>Vloeistofopvang (lekbakken) om vrijkomen van vloeistoffen te voorkomen. Capaciteit minimaal 110% van grootste verpakking.</w:t>
            </w:r>
          </w:p>
        </w:tc>
        <w:tc>
          <w:tcPr>
            <w:tcW w:type="dxa" w:w="1701"/>
            <w:shd w:fill="F8F9FA"/>
          </w:tcPr>
          <w:p>
            <w:r/>
            <w:r>
              <w:rPr>
                <w:rFonts w:ascii="Calibri" w:hAnsi="Calibri"/>
                <w:sz w:val="20"/>
              </w:rPr>
              <w:t>❌ Niet gedocumenteerd</w:t>
            </w:r>
          </w:p>
        </w:tc>
      </w:tr>
      <w:tr>
        <w:tc>
          <w:tcPr>
            <w:tcW w:type="dxa" w:w="1134"/>
          </w:tcPr>
          <w:p>
            <w:r/>
            <w:r>
              <w:rPr>
                <w:rFonts w:ascii="Calibri" w:hAnsi="Calibri"/>
                <w:sz w:val="20"/>
              </w:rPr>
              <w:t>M35</w:t>
            </w:r>
          </w:p>
        </w:tc>
        <w:tc>
          <w:tcPr>
            <w:tcW w:type="dxa" w:w="2268"/>
          </w:tcPr>
          <w:p>
            <w:r/>
            <w:r>
              <w:rPr>
                <w:rFonts w:ascii="Calibri" w:hAnsi="Calibri"/>
                <w:sz w:val="20"/>
              </w:rPr>
              <w:t>Stoffenscheiding</w:t>
            </w:r>
          </w:p>
        </w:tc>
        <w:tc>
          <w:tcPr>
            <w:tcW w:type="dxa" w:w="4535"/>
          </w:tcPr>
          <w:p>
            <w:r/>
            <w:r>
              <w:rPr>
                <w:rFonts w:ascii="Calibri" w:hAnsi="Calibri"/>
                <w:sz w:val="20"/>
              </w:rPr>
              <w:t>Onverenigbare combinaties worden gescheiden opgeslagen volgens Tabel 9 (Bijlage E).</w:t>
            </w:r>
          </w:p>
        </w:tc>
        <w:tc>
          <w:tcPr>
            <w:tcW w:type="dxa" w:w="1701"/>
          </w:tcPr>
          <w:p>
            <w:r/>
            <w:r>
              <w:rPr>
                <w:rFonts w:ascii="Calibri" w:hAnsi="Calibri"/>
                <w:sz w:val="20"/>
              </w:rPr>
              <w:t>❌ Niet-compliant</w:t>
            </w:r>
          </w:p>
        </w:tc>
      </w:tr>
      <w:tr>
        <w:tc>
          <w:tcPr>
            <w:tcW w:type="dxa" w:w="1134"/>
            <w:shd w:fill="F8F9FA"/>
          </w:tcPr>
          <w:p>
            <w:r/>
            <w:r>
              <w:rPr>
                <w:rFonts w:ascii="Calibri" w:hAnsi="Calibri"/>
                <w:sz w:val="20"/>
              </w:rPr>
              <w:t>M36</w:t>
            </w:r>
          </w:p>
        </w:tc>
        <w:tc>
          <w:tcPr>
            <w:tcW w:type="dxa" w:w="2268"/>
            <w:shd w:fill="F8F9FA"/>
          </w:tcPr>
          <w:p>
            <w:r/>
            <w:r>
              <w:rPr>
                <w:rFonts w:ascii="Calibri" w:hAnsi="Calibri"/>
                <w:sz w:val="20"/>
              </w:rPr>
              <w:t>Verpakkingsintegriteit</w:t>
            </w:r>
          </w:p>
        </w:tc>
        <w:tc>
          <w:tcPr>
            <w:tcW w:type="dxa" w:w="4535"/>
            <w:shd w:fill="F8F9FA"/>
          </w:tcPr>
          <w:p>
            <w:r/>
            <w:r>
              <w:rPr>
                <w:rFonts w:ascii="Calibri" w:hAnsi="Calibri"/>
                <w:sz w:val="20"/>
              </w:rPr>
              <w:t>Verpakkingen zijn in goede staat. Regelmatige controle op beschadiging, veroudering, degradatie.</w:t>
            </w:r>
          </w:p>
        </w:tc>
        <w:tc>
          <w:tcPr>
            <w:tcW w:type="dxa" w:w="1701"/>
            <w:shd w:fill="F8F9FA"/>
          </w:tcPr>
          <w:p>
            <w:r/>
            <w:r>
              <w:rPr>
                <w:rFonts w:ascii="Calibri" w:hAnsi="Calibri"/>
                <w:sz w:val="20"/>
              </w:rPr>
              <w:t>⚠️ Toetsen</w:t>
            </w:r>
          </w:p>
        </w:tc>
      </w:tr>
      <w:tr>
        <w:tc>
          <w:tcPr>
            <w:tcW w:type="dxa" w:w="1134"/>
          </w:tcPr>
          <w:p>
            <w:r/>
            <w:r>
              <w:rPr>
                <w:rFonts w:ascii="Calibri" w:hAnsi="Calibri"/>
                <w:sz w:val="20"/>
              </w:rPr>
              <w:t>M45</w:t>
            </w:r>
          </w:p>
        </w:tc>
        <w:tc>
          <w:tcPr>
            <w:tcW w:type="dxa" w:w="2268"/>
          </w:tcPr>
          <w:p>
            <w:r/>
            <w:r>
              <w:rPr>
                <w:rFonts w:ascii="Calibri" w:hAnsi="Calibri"/>
                <w:sz w:val="20"/>
              </w:rPr>
              <w:t>Correct gebruik verpakking</w:t>
            </w:r>
          </w:p>
        </w:tc>
        <w:tc>
          <w:tcPr>
            <w:tcW w:type="dxa" w:w="4535"/>
          </w:tcPr>
          <w:p>
            <w:r/>
            <w:r>
              <w:rPr>
                <w:rFonts w:ascii="Calibri" w:hAnsi="Calibri"/>
                <w:sz w:val="20"/>
              </w:rPr>
              <w:t>Verpakkingen worden correct gebruikt en opgeslagen overeenkomstig de voorschriften.</w:t>
            </w:r>
          </w:p>
        </w:tc>
        <w:tc>
          <w:tcPr>
            <w:tcW w:type="dxa" w:w="1701"/>
          </w:tcPr>
          <w:p>
            <w:r/>
            <w:r>
              <w:rPr>
                <w:rFonts w:ascii="Calibri" w:hAnsi="Calibri"/>
                <w:sz w:val="20"/>
              </w:rPr>
              <w:t>⚠️ Toetsen</w:t>
            </w:r>
          </w:p>
        </w:tc>
      </w:tr>
      <w:tr>
        <w:tc>
          <w:tcPr>
            <w:tcW w:type="dxa" w:w="1134"/>
            <w:shd w:fill="F8F9FA"/>
          </w:tcPr>
          <w:p>
            <w:r/>
            <w:r>
              <w:rPr>
                <w:rFonts w:ascii="Calibri" w:hAnsi="Calibri"/>
                <w:sz w:val="20"/>
              </w:rPr>
              <w:t>M77/M78</w:t>
            </w:r>
          </w:p>
        </w:tc>
        <w:tc>
          <w:tcPr>
            <w:tcW w:type="dxa" w:w="2268"/>
            <w:shd w:fill="F8F9FA"/>
          </w:tcPr>
          <w:p>
            <w:r/>
            <w:r>
              <w:rPr>
                <w:rFonts w:ascii="Calibri" w:hAnsi="Calibri"/>
                <w:sz w:val="20"/>
              </w:rPr>
              <w:t>Fysieke bescherming</w:t>
            </w:r>
          </w:p>
        </w:tc>
        <w:tc>
          <w:tcPr>
            <w:tcW w:type="dxa" w:w="4535"/>
            <w:shd w:fill="F8F9FA"/>
          </w:tcPr>
          <w:p>
            <w:r/>
            <w:r>
              <w:rPr>
                <w:rFonts w:ascii="Calibri" w:hAnsi="Calibri"/>
                <w:sz w:val="20"/>
              </w:rPr>
              <w:t>Opslaglocaties zijn voorzien van fysieke bescherming tegen aanrijding (heftruckbeveiliging).</w:t>
            </w:r>
          </w:p>
        </w:tc>
        <w:tc>
          <w:tcPr>
            <w:tcW w:type="dxa" w:w="1701"/>
            <w:shd w:fill="F8F9FA"/>
          </w:tcPr>
          <w:p>
            <w:r/>
            <w:r>
              <w:rPr>
                <w:rFonts w:ascii="Calibri" w:hAnsi="Calibri"/>
                <w:sz w:val="20"/>
              </w:rPr>
              <w:t>⚠️ Toetsen</w:t>
            </w:r>
          </w:p>
        </w:tc>
      </w:tr>
      <w:tr>
        <w:tc>
          <w:tcPr>
            <w:tcW w:type="dxa" w:w="1134"/>
          </w:tcPr>
          <w:p>
            <w:r/>
            <w:r>
              <w:rPr>
                <w:rFonts w:ascii="Calibri" w:hAnsi="Calibri"/>
                <w:sz w:val="20"/>
              </w:rPr>
              <w:t>M85/M86</w:t>
            </w:r>
          </w:p>
        </w:tc>
        <w:tc>
          <w:tcPr>
            <w:tcW w:type="dxa" w:w="2268"/>
          </w:tcPr>
          <w:p>
            <w:r/>
            <w:r>
              <w:rPr>
                <w:rFonts w:ascii="Calibri" w:hAnsi="Calibri"/>
                <w:sz w:val="20"/>
              </w:rPr>
              <w:t>Personeelsdeskundigheid</w:t>
            </w:r>
          </w:p>
        </w:tc>
        <w:tc>
          <w:tcPr>
            <w:tcW w:type="dxa" w:w="4535"/>
          </w:tcPr>
          <w:p>
            <w:r/>
            <w:r>
              <w:rPr>
                <w:rFonts w:ascii="Calibri" w:hAnsi="Calibri"/>
                <w:sz w:val="20"/>
              </w:rPr>
              <w:t>Medewerkers zijn voldoende deskundig en getraind. Instructie over gevaren en procedures.</w:t>
            </w:r>
          </w:p>
        </w:tc>
        <w:tc>
          <w:tcPr>
            <w:tcW w:type="dxa" w:w="1701"/>
          </w:tcPr>
          <w:p>
            <w:r/>
            <w:r>
              <w:rPr>
                <w:rFonts w:ascii="Calibri" w:hAnsi="Calibri"/>
                <w:sz w:val="20"/>
              </w:rPr>
              <w:t>⚠️ Toetsen</w:t>
            </w:r>
          </w:p>
        </w:tc>
      </w:tr>
      <w:tr>
        <w:tc>
          <w:tcPr>
            <w:tcW w:type="dxa" w:w="1134"/>
            <w:shd w:fill="F8F9FA"/>
          </w:tcPr>
          <w:p>
            <w:r/>
            <w:r>
              <w:rPr>
                <w:rFonts w:ascii="Calibri" w:hAnsi="Calibri"/>
                <w:sz w:val="20"/>
              </w:rPr>
              <w:t>M109</w:t>
            </w:r>
          </w:p>
        </w:tc>
        <w:tc>
          <w:tcPr>
            <w:tcW w:type="dxa" w:w="2268"/>
            <w:shd w:fill="F8F9FA"/>
          </w:tcPr>
          <w:p>
            <w:r/>
            <w:r>
              <w:rPr>
                <w:rFonts w:ascii="Calibri" w:hAnsi="Calibri"/>
                <w:sz w:val="20"/>
              </w:rPr>
              <w:t>Toegankelijkheid hulpdiensten</w:t>
            </w:r>
          </w:p>
        </w:tc>
        <w:tc>
          <w:tcPr>
            <w:tcW w:type="dxa" w:w="4535"/>
            <w:shd w:fill="F8F9FA"/>
          </w:tcPr>
          <w:p>
            <w:r/>
            <w:r>
              <w:rPr>
                <w:rFonts w:ascii="Calibri" w:hAnsi="Calibri"/>
                <w:sz w:val="20"/>
              </w:rPr>
              <w:t>Opslagvoorziening is bereikbaar en toegankelijk voor hulpdiensten.</w:t>
            </w:r>
          </w:p>
        </w:tc>
        <w:tc>
          <w:tcPr>
            <w:tcW w:type="dxa" w:w="1701"/>
            <w:shd w:fill="F8F9FA"/>
          </w:tcPr>
          <w:p>
            <w:r/>
            <w:r>
              <w:rPr>
                <w:rFonts w:ascii="Calibri" w:hAnsi="Calibri"/>
                <w:sz w:val="20"/>
              </w:rPr>
              <w:t>⚠️ Toetsen</w:t>
            </w:r>
          </w:p>
        </w:tc>
      </w:tr>
    </w:tbl>
    <w:p/>
    <w:p>
      <w:r>
        <w:br w:type="page"/>
      </w:r>
    </w:p>
    <w:p>
      <w:pPr>
        <w:pStyle w:val="Heading1"/>
      </w:pPr>
      <w:r>
        <w:t>6. Brandpreventie en Compartimentering</w:t>
      </w:r>
    </w:p>
    <w:p>
      <w:pPr>
        <w:pStyle w:val="Heading2"/>
      </w:pPr>
      <w:r>
        <w:t>6.1 Doelen</w:t>
      </w:r>
    </w:p>
    <w:p>
      <w:r>
        <w:rPr>
          <w:rFonts w:ascii="Calibri" w:hAnsi="Calibri"/>
          <w:b w:val="0"/>
          <w:sz w:val="22"/>
        </w:rPr>
        <w:t>PGS 15 kent de volgende brandgerelateerde doelen [1]:</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tcPr>
          <w:p>
            <w:pPr>
              <w:jc w:val="center"/>
            </w:pPr>
            <w:r/>
            <w:r>
              <w:rPr>
                <w:rFonts w:ascii="Calibri" w:hAnsi="Calibri"/>
                <w:b/>
                <w:color w:val="FFFFFF"/>
                <w:sz w:val="20"/>
              </w:rPr>
              <w:t>Doel</w:t>
            </w:r>
          </w:p>
        </w:tc>
        <w:tc>
          <w:tcPr>
            <w:tcW w:type="dxa" w:w="2880"/>
            <w:shd w:fill="003366"/>
          </w:tcPr>
          <w:p>
            <w:pPr>
              <w:jc w:val="center"/>
            </w:pPr>
            <w:r/>
            <w:r>
              <w:rPr>
                <w:rFonts w:ascii="Calibri" w:hAnsi="Calibri"/>
                <w:b/>
                <w:color w:val="FFFFFF"/>
                <w:sz w:val="20"/>
              </w:rPr>
              <w:t>Omschrijving</w:t>
            </w:r>
          </w:p>
        </w:tc>
        <w:tc>
          <w:tcPr>
            <w:tcW w:type="dxa" w:w="2880"/>
            <w:shd w:fill="003366"/>
          </w:tcPr>
          <w:p>
            <w:pPr>
              <w:jc w:val="center"/>
            </w:pPr>
            <w:r/>
            <w:r>
              <w:rPr>
                <w:rFonts w:ascii="Calibri" w:hAnsi="Calibri"/>
                <w:b/>
                <w:color w:val="FFFFFF"/>
                <w:sz w:val="20"/>
              </w:rPr>
              <w:t>Relevant voor PM</w:t>
            </w:r>
          </w:p>
        </w:tc>
      </w:tr>
      <w:tr>
        <w:tc>
          <w:tcPr>
            <w:tcW w:type="dxa" w:w="2880"/>
          </w:tcPr>
          <w:p>
            <w:r/>
            <w:r>
              <w:rPr>
                <w:rFonts w:ascii="Calibri" w:hAnsi="Calibri"/>
                <w:sz w:val="20"/>
              </w:rPr>
              <w:t>D8</w:t>
            </w:r>
          </w:p>
        </w:tc>
        <w:tc>
          <w:tcPr>
            <w:tcW w:type="dxa" w:w="2880"/>
          </w:tcPr>
          <w:p>
            <w:r/>
            <w:r>
              <w:rPr>
                <w:rFonts w:ascii="Calibri" w:hAnsi="Calibri"/>
                <w:sz w:val="20"/>
              </w:rPr>
              <w:t>Voorkomen van ontsteking</w:t>
            </w:r>
          </w:p>
        </w:tc>
        <w:tc>
          <w:tcPr>
            <w:tcW w:type="dxa" w:w="2880"/>
          </w:tcPr>
          <w:p>
            <w:r/>
            <w:r>
              <w:rPr>
                <w:rFonts w:ascii="Calibri" w:hAnsi="Calibri"/>
                <w:sz w:val="20"/>
              </w:rPr>
              <w:t>Beheersing ontstekingsbronnen, brandbare materialen, beginnende brand blussen</w:t>
            </w:r>
          </w:p>
        </w:tc>
      </w:tr>
      <w:tr>
        <w:tc>
          <w:tcPr>
            <w:tcW w:type="dxa" w:w="2880"/>
            <w:shd w:fill="F8F9FA"/>
          </w:tcPr>
          <w:p>
            <w:r/>
            <w:r>
              <w:rPr>
                <w:rFonts w:ascii="Calibri" w:hAnsi="Calibri"/>
                <w:sz w:val="20"/>
              </w:rPr>
              <w:t>D9</w:t>
            </w:r>
          </w:p>
        </w:tc>
        <w:tc>
          <w:tcPr>
            <w:tcW w:type="dxa" w:w="2880"/>
            <w:shd w:fill="F8F9FA"/>
          </w:tcPr>
          <w:p>
            <w:r/>
            <w:r>
              <w:rPr>
                <w:rFonts w:ascii="Calibri" w:hAnsi="Calibri"/>
                <w:sz w:val="20"/>
              </w:rPr>
              <w:t>Voorkomen brand in opslagvoorziening</w:t>
            </w:r>
          </w:p>
        </w:tc>
        <w:tc>
          <w:tcPr>
            <w:tcW w:type="dxa" w:w="2880"/>
            <w:shd w:fill="F8F9FA"/>
          </w:tcPr>
          <w:p>
            <w:r/>
            <w:r>
              <w:rPr>
                <w:rFonts w:ascii="Calibri" w:hAnsi="Calibri"/>
                <w:sz w:val="20"/>
              </w:rPr>
              <w:t>Ontstekingsbronbeheersing, blussen beginnende brand</w:t>
            </w:r>
          </w:p>
        </w:tc>
      </w:tr>
      <w:tr>
        <w:tc>
          <w:tcPr>
            <w:tcW w:type="dxa" w:w="2880"/>
          </w:tcPr>
          <w:p>
            <w:r/>
            <w:r>
              <w:rPr>
                <w:rFonts w:ascii="Calibri" w:hAnsi="Calibri"/>
                <w:sz w:val="20"/>
              </w:rPr>
              <w:t>D10</w:t>
            </w:r>
          </w:p>
        </w:tc>
        <w:tc>
          <w:tcPr>
            <w:tcW w:type="dxa" w:w="2880"/>
          </w:tcPr>
          <w:p>
            <w:r/>
            <w:r>
              <w:rPr>
                <w:rFonts w:ascii="Calibri" w:hAnsi="Calibri"/>
                <w:sz w:val="20"/>
              </w:rPr>
              <w:t>Voorkomen escalatie (passief)</w:t>
            </w:r>
          </w:p>
        </w:tc>
        <w:tc>
          <w:tcPr>
            <w:tcW w:type="dxa" w:w="2880"/>
          </w:tcPr>
          <w:p>
            <w:r/>
            <w:r>
              <w:rPr>
                <w:rFonts w:ascii="Calibri" w:hAnsi="Calibri"/>
                <w:sz w:val="20"/>
              </w:rPr>
              <w:t>Compartimenteren, scheiding, brandwerendheid</w:t>
            </w:r>
          </w:p>
        </w:tc>
      </w:tr>
      <w:tr>
        <w:tc>
          <w:tcPr>
            <w:tcW w:type="dxa" w:w="2880"/>
            <w:shd w:fill="F8F9FA"/>
          </w:tcPr>
          <w:p>
            <w:r/>
            <w:r>
              <w:rPr>
                <w:rFonts w:ascii="Calibri" w:hAnsi="Calibri"/>
                <w:sz w:val="20"/>
              </w:rPr>
              <w:t>D11</w:t>
            </w:r>
          </w:p>
        </w:tc>
        <w:tc>
          <w:tcPr>
            <w:tcW w:type="dxa" w:w="2880"/>
            <w:shd w:fill="F8F9FA"/>
          </w:tcPr>
          <w:p>
            <w:r/>
            <w:r>
              <w:rPr>
                <w:rFonts w:ascii="Calibri" w:hAnsi="Calibri"/>
                <w:sz w:val="20"/>
              </w:rPr>
              <w:t>Voorkomen escalatie (actief)</w:t>
            </w:r>
          </w:p>
        </w:tc>
        <w:tc>
          <w:tcPr>
            <w:tcW w:type="dxa" w:w="2880"/>
            <w:shd w:fill="F8F9FA"/>
          </w:tcPr>
          <w:p>
            <w:r/>
            <w:r>
              <w:rPr>
                <w:rFonts w:ascii="Calibri" w:hAnsi="Calibri"/>
                <w:sz w:val="20"/>
              </w:rPr>
              <w:t>Detectie, blusmiddelen, bereikbaarheid hulpdiensten</w:t>
            </w:r>
          </w:p>
        </w:tc>
      </w:tr>
      <w:tr>
        <w:tc>
          <w:tcPr>
            <w:tcW w:type="dxa" w:w="2880"/>
          </w:tcPr>
          <w:p>
            <w:r/>
            <w:r>
              <w:rPr>
                <w:rFonts w:ascii="Calibri" w:hAnsi="Calibri"/>
                <w:sz w:val="20"/>
              </w:rPr>
              <w:t>D12</w:t>
            </w:r>
          </w:p>
        </w:tc>
        <w:tc>
          <w:tcPr>
            <w:tcW w:type="dxa" w:w="2880"/>
          </w:tcPr>
          <w:p>
            <w:r/>
            <w:r>
              <w:rPr>
                <w:rFonts w:ascii="Calibri" w:hAnsi="Calibri"/>
                <w:sz w:val="20"/>
              </w:rPr>
              <w:t>(Semi-)automatische blussing</w:t>
            </w:r>
          </w:p>
        </w:tc>
        <w:tc>
          <w:tcPr>
            <w:tcW w:type="dxa" w:w="2880"/>
          </w:tcPr>
          <w:p>
            <w:r/>
            <w:r>
              <w:rPr>
                <w:rFonts w:ascii="Calibri" w:hAnsi="Calibri"/>
                <w:sz w:val="20"/>
              </w:rPr>
              <w:t>Snel detecteren en blussen — ALLEEN veiligheidsniveau A</w:t>
            </w:r>
          </w:p>
        </w:tc>
      </w:tr>
    </w:tbl>
    <w:p/>
    <w:p>
      <w:pPr>
        <w:pStyle w:val="Heading2"/>
      </w:pPr>
      <w:r>
        <w:t>6.2 Brandwerendheid (Wbdbo)</w:t>
      </w:r>
    </w:p>
    <w:p>
      <w:r>
        <w:rPr>
          <w:rFonts w:ascii="Calibri" w:hAnsi="Calibri"/>
          <w:b w:val="0"/>
          <w:sz w:val="22"/>
        </w:rPr>
        <w:t>De vereiste brandwerendheid van de constructie (Wbdbo) is afhankelijk van het veiligheidsniveau [1]:</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tcPr>
          <w:p>
            <w:pPr>
              <w:jc w:val="center"/>
            </w:pPr>
            <w:r/>
            <w:r>
              <w:rPr>
                <w:rFonts w:ascii="Calibri" w:hAnsi="Calibri"/>
                <w:b/>
                <w:color w:val="FFFFFF"/>
                <w:sz w:val="20"/>
              </w:rPr>
              <w:t>Veiligheidsniveau</w:t>
            </w:r>
          </w:p>
        </w:tc>
        <w:tc>
          <w:tcPr>
            <w:tcW w:type="dxa" w:w="2880"/>
            <w:shd w:fill="003366"/>
          </w:tcPr>
          <w:p>
            <w:pPr>
              <w:jc w:val="center"/>
            </w:pPr>
            <w:r/>
            <w:r>
              <w:rPr>
                <w:rFonts w:ascii="Calibri" w:hAnsi="Calibri"/>
                <w:b/>
                <w:color w:val="FFFFFF"/>
                <w:sz w:val="20"/>
              </w:rPr>
              <w:t>Minimale Wbdbo</w:t>
            </w:r>
          </w:p>
        </w:tc>
        <w:tc>
          <w:tcPr>
            <w:tcW w:type="dxa" w:w="2880"/>
            <w:shd w:fill="003366"/>
          </w:tcPr>
          <w:p>
            <w:pPr>
              <w:jc w:val="center"/>
            </w:pPr>
            <w:r/>
            <w:r>
              <w:rPr>
                <w:rFonts w:ascii="Calibri" w:hAnsi="Calibri"/>
                <w:b/>
                <w:color w:val="FFFFFF"/>
                <w:sz w:val="20"/>
              </w:rPr>
              <w:t>Geldt voor</w:t>
            </w:r>
          </w:p>
        </w:tc>
      </w:tr>
      <w:tr>
        <w:tc>
          <w:tcPr>
            <w:tcW w:type="dxa" w:w="2880"/>
          </w:tcPr>
          <w:p>
            <w:r/>
            <w:r>
              <w:rPr>
                <w:rFonts w:ascii="Calibri" w:hAnsi="Calibri"/>
                <w:sz w:val="20"/>
              </w:rPr>
              <w:t>Basis</w:t>
            </w:r>
          </w:p>
        </w:tc>
        <w:tc>
          <w:tcPr>
            <w:tcW w:type="dxa" w:w="2880"/>
          </w:tcPr>
          <w:p>
            <w:r/>
            <w:r>
              <w:rPr>
                <w:rFonts w:ascii="Calibri" w:hAnsi="Calibri"/>
                <w:sz w:val="20"/>
              </w:rPr>
              <w:t>Bbl-eis (meestal 20-30 min)</w:t>
            </w:r>
          </w:p>
        </w:tc>
        <w:tc>
          <w:tcPr>
            <w:tcW w:type="dxa" w:w="2880"/>
          </w:tcPr>
          <w:p>
            <w:r/>
            <w:r>
              <w:rPr>
                <w:rFonts w:ascii="Calibri" w:hAnsi="Calibri"/>
                <w:sz w:val="20"/>
              </w:rPr>
              <w:t>Alle opslagvoorzieningen</w:t>
            </w:r>
          </w:p>
        </w:tc>
      </w:tr>
      <w:tr>
        <w:tc>
          <w:tcPr>
            <w:tcW w:type="dxa" w:w="2880"/>
            <w:shd w:fill="F8F9FA"/>
          </w:tcPr>
          <w:p>
            <w:r/>
            <w:r>
              <w:rPr>
                <w:rFonts w:ascii="Calibri" w:hAnsi="Calibri"/>
                <w:sz w:val="20"/>
              </w:rPr>
              <w:t>VN-B</w:t>
            </w:r>
          </w:p>
        </w:tc>
        <w:tc>
          <w:tcPr>
            <w:tcW w:type="dxa" w:w="2880"/>
            <w:shd w:fill="F8F9FA"/>
          </w:tcPr>
          <w:p>
            <w:r/>
            <w:r>
              <w:rPr>
                <w:rFonts w:ascii="Calibri" w:hAnsi="Calibri"/>
                <w:sz w:val="20"/>
              </w:rPr>
              <w:t>60 minuten</w:t>
            </w:r>
          </w:p>
        </w:tc>
        <w:tc>
          <w:tcPr>
            <w:tcW w:type="dxa" w:w="2880"/>
            <w:shd w:fill="F8F9FA"/>
          </w:tcPr>
          <w:p>
            <w:r/>
            <w:r>
              <w:rPr>
                <w:rFonts w:ascii="Calibri" w:hAnsi="Calibri"/>
                <w:sz w:val="20"/>
              </w:rPr>
              <w:t>Vanaf drempelwaarden per ADR-klasse</w:t>
            </w:r>
          </w:p>
        </w:tc>
      </w:tr>
      <w:tr>
        <w:tc>
          <w:tcPr>
            <w:tcW w:type="dxa" w:w="2880"/>
          </w:tcPr>
          <w:p>
            <w:r/>
            <w:r>
              <w:rPr>
                <w:rFonts w:ascii="Calibri" w:hAnsi="Calibri"/>
                <w:sz w:val="20"/>
              </w:rPr>
              <w:t>VN-A (10-20 ton)</w:t>
            </w:r>
          </w:p>
        </w:tc>
        <w:tc>
          <w:tcPr>
            <w:tcW w:type="dxa" w:w="2880"/>
          </w:tcPr>
          <w:p>
            <w:r/>
            <w:r>
              <w:rPr>
                <w:rFonts w:ascii="Calibri" w:hAnsi="Calibri"/>
                <w:sz w:val="20"/>
              </w:rPr>
              <w:t>60-90 minuten</w:t>
            </w:r>
          </w:p>
        </w:tc>
        <w:tc>
          <w:tcPr>
            <w:tcW w:type="dxa" w:w="2880"/>
          </w:tcPr>
          <w:p>
            <w:r/>
            <w:r>
              <w:rPr>
                <w:rFonts w:ascii="Calibri" w:hAnsi="Calibri"/>
                <w:sz w:val="20"/>
              </w:rPr>
              <w:t>Hogere hoeveelheden</w:t>
            </w:r>
          </w:p>
        </w:tc>
      </w:tr>
      <w:tr>
        <w:tc>
          <w:tcPr>
            <w:tcW w:type="dxa" w:w="2880"/>
            <w:shd w:fill="F8F9FA"/>
          </w:tcPr>
          <w:p>
            <w:r/>
            <w:r>
              <w:rPr>
                <w:rFonts w:ascii="Calibri" w:hAnsi="Calibri"/>
                <w:sz w:val="20"/>
              </w:rPr>
              <w:t>VN-A (&gt;20 ton)</w:t>
            </w:r>
          </w:p>
        </w:tc>
        <w:tc>
          <w:tcPr>
            <w:tcW w:type="dxa" w:w="2880"/>
            <w:shd w:fill="F8F9FA"/>
          </w:tcPr>
          <w:p>
            <w:r/>
            <w:r>
              <w:rPr>
                <w:rFonts w:ascii="Calibri" w:hAnsi="Calibri"/>
                <w:sz w:val="20"/>
              </w:rPr>
              <w:t>90+ minuten</w:t>
            </w:r>
          </w:p>
        </w:tc>
        <w:tc>
          <w:tcPr>
            <w:tcW w:type="dxa" w:w="2880"/>
            <w:shd w:fill="F8F9FA"/>
          </w:tcPr>
          <w:p>
            <w:r/>
            <w:r>
              <w:rPr>
                <w:rFonts w:ascii="Calibri" w:hAnsi="Calibri"/>
                <w:sz w:val="20"/>
              </w:rPr>
              <w:t>Grootste opslagen</w:t>
            </w:r>
          </w:p>
        </w:tc>
      </w:tr>
    </w:tbl>
    <w:p/>
    <w:p>
      <w:r>
        <w:rPr>
          <w:rFonts w:ascii="Calibri" w:hAnsi="Calibri"/>
          <w:b w:val="0"/>
          <w:sz w:val="22"/>
        </w:rPr>
        <w:t>Voor Phoenix Metals (basisveiligheidsniveau, ~390 kg) is geen verhoogde Wbdbo vereist boven het Bouwbesluit leefomgeving [1].</w:t>
      </w:r>
    </w:p>
    <w:p>
      <w:r>
        <w:br w:type="page"/>
      </w:r>
    </w:p>
    <w:p>
      <w:pPr>
        <w:pStyle w:val="Heading1"/>
      </w:pPr>
      <w:r>
        <w:t>7. Schaalbaarheids-Scenario's</w:t>
      </w:r>
    </w:p>
    <w:p>
      <w:r>
        <w:rPr>
          <w:rFonts w:ascii="Calibri" w:hAnsi="Calibri"/>
          <w:b w:val="0"/>
          <w:sz w:val="22"/>
        </w:rPr>
        <w:t>Onderstaand de fasering van facilitaire eisen bij toename van de opslagcapaciteit van ADR-klasse 8 stoffen [1].</w:t>
      </w:r>
    </w:p>
    <w:p>
      <w:pPr>
        <w:pStyle w:val="Heading2"/>
      </w:pPr>
      <w:r>
        <w:t>7.1 Fase 1: Tot 10.000 kg (Huidig + Groei)</w:t>
      </w:r>
    </w:p>
    <w:p>
      <w:pPr>
        <w:pStyle w:val="ListBullet"/>
        <w:ind w:left="850"/>
      </w:pPr>
      <w:r>
        <w:t>Vereist niveau: Basisveiligheidsniveau + 60 min Wbdbo (indien &gt; drempel Tabel 7)</w:t>
      </w:r>
    </w:p>
    <w:p>
      <w:pPr>
        <w:pStyle w:val="ListBullet"/>
        <w:ind w:left="850"/>
      </w:pPr>
      <w:r>
        <w:t>Facilitaire investering: Brandwerende constructie, lekbakken, stoffenscheiding</w:t>
      </w:r>
    </w:p>
    <w:p>
      <w:pPr>
        <w:pStyle w:val="ListBullet"/>
        <w:ind w:left="850"/>
      </w:pPr>
      <w:r>
        <w:t>Compartimentering: Max 1.000 m² zonder VBB-installatie</w:t>
      </w:r>
    </w:p>
    <w:p>
      <w:pPr>
        <w:pStyle w:val="ListBullet"/>
        <w:ind w:left="850"/>
      </w:pPr>
      <w:r>
        <w:t>Detectie: Niet verplicht (aangeraden: branddetectie)</w:t>
      </w:r>
    </w:p>
    <w:p>
      <w:pPr>
        <w:pStyle w:val="ListBullet"/>
        <w:ind w:left="850"/>
      </w:pPr>
      <w:r>
        <w:t>Geschatte investering: €5.000 - €15.000</w:t>
      </w:r>
    </w:p>
    <w:p>
      <w:pPr>
        <w:pStyle w:val="Heading2"/>
      </w:pPr>
      <w:r>
        <w:t>7.2 Fase 2: 10.000 - 20.000 kg</w:t>
      </w:r>
    </w:p>
    <w:p>
      <w:pPr>
        <w:pStyle w:val="ListBullet"/>
        <w:ind w:left="850"/>
      </w:pPr>
      <w:r>
        <w:t>Vereist niveau: Veiligheidsniveau B (D6, D10, D11)</w:t>
      </w:r>
    </w:p>
    <w:p>
      <w:pPr>
        <w:pStyle w:val="ListBullet"/>
        <w:ind w:left="850"/>
      </w:pPr>
      <w:r>
        <w:t>60 minuten Wbdbo voor alle constructies</w:t>
      </w:r>
    </w:p>
    <w:p>
      <w:pPr>
        <w:pStyle w:val="ListBullet"/>
        <w:ind w:left="850"/>
      </w:pPr>
      <w:r>
        <w:t>Max 1.000 m² brandcompartiment zonder VBB</w:t>
      </w:r>
    </w:p>
    <w:p>
      <w:pPr>
        <w:pStyle w:val="ListBullet"/>
        <w:ind w:left="850"/>
      </w:pPr>
      <w:r>
        <w:t>Aanvullende doelen: D6 (hulpdiensten), D10 (passieve escalatiepreventie), D11 (actieve escalatiepreventie)</w:t>
      </w:r>
    </w:p>
    <w:p>
      <w:pPr>
        <w:pStyle w:val="ListBullet"/>
        <w:ind w:left="850"/>
      </w:pPr>
      <w:r>
        <w:t>Geschatte investering: €25.000 - €75.000</w:t>
      </w:r>
    </w:p>
    <w:p>
      <w:pPr>
        <w:pStyle w:val="Heading2"/>
      </w:pPr>
      <w:r>
        <w:t>7.3 Fase 3: Meer dan 20.000 kg</w:t>
      </w:r>
    </w:p>
    <w:p>
      <w:pPr>
        <w:pStyle w:val="ListBullet"/>
        <w:ind w:left="850"/>
      </w:pPr>
      <w:r>
        <w:t>Vereist niveau: Veiligheidsniveau A (D12 — semi-automatische blussing)</w:t>
      </w:r>
    </w:p>
    <w:p>
      <w:pPr>
        <w:pStyle w:val="ListBullet"/>
        <w:ind w:left="850"/>
      </w:pPr>
      <w:r>
        <w:t>VBB-installatie verplicht (blussende automatisch werkende brandblusinstallatie)</w:t>
      </w:r>
    </w:p>
    <w:p>
      <w:pPr>
        <w:pStyle w:val="ListBullet"/>
        <w:ind w:left="850"/>
      </w:pPr>
      <w:r>
        <w:t>Branddetectiesysteem met doormelding naar PAC/RAC (M97)</w:t>
      </w:r>
    </w:p>
    <w:p>
      <w:pPr>
        <w:pStyle w:val="ListBullet"/>
        <w:ind w:left="850"/>
      </w:pPr>
      <w:r>
        <w:t>Max 2.500 m² met VBB-installatie</w:t>
      </w:r>
    </w:p>
    <w:p>
      <w:pPr>
        <w:pStyle w:val="ListBullet"/>
        <w:ind w:left="850"/>
      </w:pPr>
      <w:r>
        <w:t>UPD (uitvoeringsplan brandbestrijding) vereist (M99)</w:t>
      </w:r>
    </w:p>
    <w:p>
      <w:pPr>
        <w:pStyle w:val="ListBullet"/>
        <w:ind w:left="850"/>
      </w:pPr>
      <w:r>
        <w:t>Geschatte investering: €100.000 - €300.000+</w:t>
      </w:r>
    </w:p>
    <w:p>
      <w:pPr>
        <w:pStyle w:val="Heading2"/>
      </w:pPr>
      <w:r>
        <w:t>7.4 Overzicht Schaalbaarheid</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tcPr>
          <w:p>
            <w:pPr>
              <w:jc w:val="center"/>
            </w:pPr>
            <w:r/>
            <w:r>
              <w:rPr>
                <w:rFonts w:ascii="Calibri" w:hAnsi="Calibri"/>
                <w:b/>
                <w:color w:val="FFFFFF"/>
                <w:sz w:val="20"/>
              </w:rPr>
              <w:t>Schaal</w:t>
            </w:r>
          </w:p>
        </w:tc>
        <w:tc>
          <w:tcPr>
            <w:tcW w:type="dxa" w:w="2160"/>
            <w:shd w:fill="003366"/>
          </w:tcPr>
          <w:p>
            <w:pPr>
              <w:jc w:val="center"/>
            </w:pPr>
            <w:r/>
            <w:r>
              <w:rPr>
                <w:rFonts w:ascii="Calibri" w:hAnsi="Calibri"/>
                <w:b/>
                <w:color w:val="FFFFFF"/>
                <w:sz w:val="20"/>
              </w:rPr>
              <w:t>Volume ADR 8</w:t>
            </w:r>
          </w:p>
        </w:tc>
        <w:tc>
          <w:tcPr>
            <w:tcW w:type="dxa" w:w="2160"/>
            <w:shd w:fill="003366"/>
          </w:tcPr>
          <w:p>
            <w:pPr>
              <w:jc w:val="center"/>
            </w:pPr>
            <w:r/>
            <w:r>
              <w:rPr>
                <w:rFonts w:ascii="Calibri" w:hAnsi="Calibri"/>
                <w:b/>
                <w:color w:val="FFFFFF"/>
                <w:sz w:val="20"/>
              </w:rPr>
              <w:t>Vereist niveau</w:t>
            </w:r>
          </w:p>
        </w:tc>
        <w:tc>
          <w:tcPr>
            <w:tcW w:type="dxa" w:w="2160"/>
            <w:shd w:fill="003366"/>
          </w:tcPr>
          <w:p>
            <w:pPr>
              <w:jc w:val="center"/>
            </w:pPr>
            <w:r/>
            <w:r>
              <w:rPr>
                <w:rFonts w:ascii="Calibri" w:hAnsi="Calibri"/>
                <w:b/>
                <w:color w:val="FFFFFF"/>
                <w:sz w:val="20"/>
              </w:rPr>
              <w:t>Belangrijkste investering</w:t>
            </w:r>
          </w:p>
        </w:tc>
      </w:tr>
      <w:tr>
        <w:tc>
          <w:tcPr>
            <w:tcW w:type="dxa" w:w="2160"/>
          </w:tcPr>
          <w:p>
            <w:r/>
            <w:r>
              <w:rPr>
                <w:rFonts w:ascii="Calibri" w:hAnsi="Calibri"/>
                <w:sz w:val="20"/>
              </w:rPr>
              <w:t>Huidig</w:t>
            </w:r>
          </w:p>
        </w:tc>
        <w:tc>
          <w:tcPr>
            <w:tcW w:type="dxa" w:w="2160"/>
          </w:tcPr>
          <w:p>
            <w:r/>
            <w:r>
              <w:rPr>
                <w:rFonts w:ascii="Calibri" w:hAnsi="Calibri"/>
                <w:sz w:val="20"/>
              </w:rPr>
              <w:t>~390 kg</w:t>
            </w:r>
          </w:p>
        </w:tc>
        <w:tc>
          <w:tcPr>
            <w:tcW w:type="dxa" w:w="2160"/>
          </w:tcPr>
          <w:p>
            <w:r/>
            <w:r>
              <w:rPr>
                <w:rFonts w:ascii="Calibri" w:hAnsi="Calibri"/>
                <w:sz w:val="20"/>
              </w:rPr>
              <w:t>Basisveiligheidsniveau</w:t>
            </w:r>
          </w:p>
        </w:tc>
        <w:tc>
          <w:tcPr>
            <w:tcW w:type="dxa" w:w="2160"/>
          </w:tcPr>
          <w:p>
            <w:r/>
            <w:r>
              <w:rPr>
                <w:rFonts w:ascii="Calibri" w:hAnsi="Calibri"/>
                <w:sz w:val="20"/>
              </w:rPr>
              <w:t>Lekbakken + scheiding</w:t>
            </w:r>
          </w:p>
        </w:tc>
      </w:tr>
      <w:tr>
        <w:tc>
          <w:tcPr>
            <w:tcW w:type="dxa" w:w="2160"/>
            <w:shd w:fill="F8F9FA"/>
          </w:tcPr>
          <w:p>
            <w:r/>
            <w:r>
              <w:rPr>
                <w:rFonts w:ascii="Calibri" w:hAnsi="Calibri"/>
                <w:sz w:val="20"/>
              </w:rPr>
              <w:t>Fase 1</w:t>
            </w:r>
          </w:p>
        </w:tc>
        <w:tc>
          <w:tcPr>
            <w:tcW w:type="dxa" w:w="2160"/>
            <w:shd w:fill="F8F9FA"/>
          </w:tcPr>
          <w:p>
            <w:r/>
            <w:r>
              <w:rPr>
                <w:rFonts w:ascii="Calibri" w:hAnsi="Calibri"/>
                <w:sz w:val="20"/>
              </w:rPr>
              <w:t>&lt;10.000 kg</w:t>
            </w:r>
          </w:p>
        </w:tc>
        <w:tc>
          <w:tcPr>
            <w:tcW w:type="dxa" w:w="2160"/>
            <w:shd w:fill="F8F9FA"/>
          </w:tcPr>
          <w:p>
            <w:r/>
            <w:r>
              <w:rPr>
                <w:rFonts w:ascii="Calibri" w:hAnsi="Calibri"/>
                <w:sz w:val="20"/>
              </w:rPr>
              <w:t>Basis + 60 min Wbdbo</w:t>
            </w:r>
          </w:p>
        </w:tc>
        <w:tc>
          <w:tcPr>
            <w:tcW w:type="dxa" w:w="2160"/>
            <w:shd w:fill="F8F9FA"/>
          </w:tcPr>
          <w:p>
            <w:r/>
            <w:r>
              <w:rPr>
                <w:rFonts w:ascii="Calibri" w:hAnsi="Calibri"/>
                <w:sz w:val="20"/>
              </w:rPr>
              <w:t>Brandwerende constructie</w:t>
            </w:r>
          </w:p>
        </w:tc>
      </w:tr>
      <w:tr>
        <w:tc>
          <w:tcPr>
            <w:tcW w:type="dxa" w:w="2160"/>
          </w:tcPr>
          <w:p>
            <w:r/>
            <w:r>
              <w:rPr>
                <w:rFonts w:ascii="Calibri" w:hAnsi="Calibri"/>
                <w:sz w:val="20"/>
              </w:rPr>
              <w:t>Fase 2</w:t>
            </w:r>
          </w:p>
        </w:tc>
        <w:tc>
          <w:tcPr>
            <w:tcW w:type="dxa" w:w="2160"/>
          </w:tcPr>
          <w:p>
            <w:r/>
            <w:r>
              <w:rPr>
                <w:rFonts w:ascii="Calibri" w:hAnsi="Calibri"/>
                <w:sz w:val="20"/>
              </w:rPr>
              <w:t>10-20.000 kg</w:t>
            </w:r>
          </w:p>
        </w:tc>
        <w:tc>
          <w:tcPr>
            <w:tcW w:type="dxa" w:w="2160"/>
          </w:tcPr>
          <w:p>
            <w:r/>
            <w:r>
              <w:rPr>
                <w:rFonts w:ascii="Calibri" w:hAnsi="Calibri"/>
                <w:sz w:val="20"/>
              </w:rPr>
              <w:t>VN-B (D6, D10, D11)</w:t>
            </w:r>
          </w:p>
        </w:tc>
        <w:tc>
          <w:tcPr>
            <w:tcW w:type="dxa" w:w="2160"/>
          </w:tcPr>
          <w:p>
            <w:r/>
            <w:r>
              <w:rPr>
                <w:rFonts w:ascii="Calibri" w:hAnsi="Calibri"/>
                <w:sz w:val="20"/>
              </w:rPr>
              <w:t>Blusinstallatie + detectie</w:t>
            </w:r>
          </w:p>
        </w:tc>
      </w:tr>
      <w:tr>
        <w:tc>
          <w:tcPr>
            <w:tcW w:type="dxa" w:w="2160"/>
            <w:shd w:fill="F8F9FA"/>
          </w:tcPr>
          <w:p>
            <w:r/>
            <w:r>
              <w:rPr>
                <w:rFonts w:ascii="Calibri" w:hAnsi="Calibri"/>
                <w:sz w:val="20"/>
              </w:rPr>
              <w:t>Fase 3</w:t>
            </w:r>
          </w:p>
        </w:tc>
        <w:tc>
          <w:tcPr>
            <w:tcW w:type="dxa" w:w="2160"/>
            <w:shd w:fill="F8F9FA"/>
          </w:tcPr>
          <w:p>
            <w:r/>
            <w:r>
              <w:rPr>
                <w:rFonts w:ascii="Calibri" w:hAnsi="Calibri"/>
                <w:sz w:val="20"/>
              </w:rPr>
              <w:t>&gt;20.000 kg</w:t>
            </w:r>
          </w:p>
        </w:tc>
        <w:tc>
          <w:tcPr>
            <w:tcW w:type="dxa" w:w="2160"/>
            <w:shd w:fill="F8F9FA"/>
          </w:tcPr>
          <w:p>
            <w:r/>
            <w:r>
              <w:rPr>
                <w:rFonts w:ascii="Calibri" w:hAnsi="Calibri"/>
                <w:sz w:val="20"/>
              </w:rPr>
              <w:t>VN-A (D12)</w:t>
            </w:r>
          </w:p>
        </w:tc>
        <w:tc>
          <w:tcPr>
            <w:tcW w:type="dxa" w:w="2160"/>
            <w:shd w:fill="F8F9FA"/>
          </w:tcPr>
          <w:p>
            <w:r/>
            <w:r>
              <w:rPr>
                <w:rFonts w:ascii="Calibri" w:hAnsi="Calibri"/>
                <w:sz w:val="20"/>
              </w:rPr>
              <w:t>VBB + PAC-doormelding</w:t>
            </w:r>
          </w:p>
        </w:tc>
      </w:tr>
    </w:tbl>
    <w:p/>
    <w:p>
      <w:r>
        <w:br w:type="page"/>
      </w:r>
    </w:p>
    <w:p>
      <w:pPr>
        <w:pStyle w:val="Heading1"/>
      </w:pPr>
      <w:r>
        <w:t>8. Compliance Checklist Phoenix Metals</w:t>
      </w:r>
    </w:p>
    <w:p>
      <w:r>
        <w:rPr>
          <w:rFonts w:ascii="Calibri" w:hAnsi="Calibri"/>
          <w:b w:val="0"/>
          <w:sz w:val="22"/>
        </w:rPr>
        <w:t>Onderstaand de volledige checklist van PGS 15-maatregelen geïnventariseerd tegen de huidige situatie bij Phoenix Metals [1][3].</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850"/>
            <w:shd w:fill="003366"/>
          </w:tcPr>
          <w:p>
            <w:pPr>
              <w:jc w:val="center"/>
            </w:pPr>
            <w:r/>
            <w:r>
              <w:rPr>
                <w:rFonts w:ascii="Calibri" w:hAnsi="Calibri"/>
                <w:b/>
                <w:color w:val="FFFFFF"/>
                <w:sz w:val="20"/>
              </w:rPr>
              <w:t>M-nr</w:t>
            </w:r>
          </w:p>
        </w:tc>
        <w:tc>
          <w:tcPr>
            <w:tcW w:type="dxa" w:w="1984"/>
            <w:shd w:fill="003366"/>
          </w:tcPr>
          <w:p>
            <w:pPr>
              <w:jc w:val="center"/>
            </w:pPr>
            <w:r/>
            <w:r>
              <w:rPr>
                <w:rFonts w:ascii="Calibri" w:hAnsi="Calibri"/>
                <w:b/>
                <w:color w:val="FFFFFF"/>
                <w:sz w:val="20"/>
              </w:rPr>
              <w:t>Maatregel</w:t>
            </w:r>
          </w:p>
        </w:tc>
        <w:tc>
          <w:tcPr>
            <w:tcW w:type="dxa" w:w="2268"/>
            <w:shd w:fill="003366"/>
          </w:tcPr>
          <w:p>
            <w:pPr>
              <w:jc w:val="center"/>
            </w:pPr>
            <w:r/>
            <w:r>
              <w:rPr>
                <w:rFonts w:ascii="Calibri" w:hAnsi="Calibri"/>
                <w:b/>
                <w:color w:val="FFFFFF"/>
                <w:sz w:val="20"/>
              </w:rPr>
              <w:t>Vereiste</w:t>
            </w:r>
          </w:p>
        </w:tc>
        <w:tc>
          <w:tcPr>
            <w:tcW w:type="dxa" w:w="850"/>
            <w:shd w:fill="003366"/>
          </w:tcPr>
          <w:p>
            <w:pPr>
              <w:jc w:val="center"/>
            </w:pPr>
            <w:r/>
            <w:r>
              <w:rPr>
                <w:rFonts w:ascii="Calibri" w:hAnsi="Calibri"/>
                <w:b/>
                <w:color w:val="FFFFFF"/>
                <w:sz w:val="20"/>
              </w:rPr>
              <w:t>Status</w:t>
            </w:r>
          </w:p>
        </w:tc>
        <w:tc>
          <w:tcPr>
            <w:tcW w:type="dxa" w:w="2835"/>
            <w:shd w:fill="003366"/>
          </w:tcPr>
          <w:p>
            <w:pPr>
              <w:jc w:val="center"/>
            </w:pPr>
            <w:r/>
            <w:r>
              <w:rPr>
                <w:rFonts w:ascii="Calibri" w:hAnsi="Calibri"/>
                <w:b/>
                <w:color w:val="FFFFFF"/>
                <w:sz w:val="20"/>
              </w:rPr>
              <w:t>Toelichting</w:t>
            </w:r>
          </w:p>
        </w:tc>
      </w:tr>
      <w:tr>
        <w:tc>
          <w:tcPr>
            <w:tcW w:type="dxa" w:w="850"/>
          </w:tcPr>
          <w:p>
            <w:r/>
            <w:r>
              <w:rPr>
                <w:rFonts w:ascii="Calibri" w:hAnsi="Calibri"/>
                <w:sz w:val="20"/>
              </w:rPr>
              <w:t>MW1</w:t>
            </w:r>
          </w:p>
        </w:tc>
        <w:tc>
          <w:tcPr>
            <w:tcW w:type="dxa" w:w="1984"/>
          </w:tcPr>
          <w:p>
            <w:r/>
            <w:r>
              <w:rPr>
                <w:rFonts w:ascii="Calibri" w:hAnsi="Calibri"/>
                <w:sz w:val="20"/>
              </w:rPr>
              <w:t>Zorgplicht basisveiligheid</w:t>
            </w:r>
          </w:p>
        </w:tc>
        <w:tc>
          <w:tcPr>
            <w:tcW w:type="dxa" w:w="2268"/>
          </w:tcPr>
          <w:p>
            <w:r/>
            <w:r>
              <w:rPr>
                <w:rFonts w:ascii="Calibri" w:hAnsi="Calibri"/>
                <w:sz w:val="20"/>
              </w:rPr>
              <w:t>Aantoonbaar basisveiligheidsniveau aanwezig</w:t>
            </w:r>
          </w:p>
        </w:tc>
        <w:tc>
          <w:tcPr>
            <w:tcW w:type="dxa" w:w="850"/>
          </w:tcPr>
          <w:p>
            <w:r/>
            <w:r>
              <w:rPr>
                <w:rFonts w:ascii="Calibri" w:hAnsi="Calibri"/>
                <w:sz w:val="20"/>
              </w:rPr>
              <w:t>⚠️</w:t>
            </w:r>
          </w:p>
        </w:tc>
        <w:tc>
          <w:tcPr>
            <w:tcW w:type="dxa" w:w="2835"/>
          </w:tcPr>
          <w:p>
            <w:r/>
            <w:r>
              <w:rPr>
                <w:rFonts w:ascii="Calibri" w:hAnsi="Calibri"/>
                <w:sz w:val="20"/>
              </w:rPr>
              <w:t>Verifiëren met PM</w:t>
            </w:r>
          </w:p>
        </w:tc>
      </w:tr>
      <w:tr>
        <w:tc>
          <w:tcPr>
            <w:tcW w:type="dxa" w:w="850"/>
            <w:shd w:fill="F8F9FA"/>
          </w:tcPr>
          <w:p>
            <w:r/>
            <w:r>
              <w:rPr>
                <w:rFonts w:ascii="Calibri" w:hAnsi="Calibri"/>
                <w:sz w:val="20"/>
              </w:rPr>
              <w:t>M2</w:t>
            </w:r>
          </w:p>
        </w:tc>
        <w:tc>
          <w:tcPr>
            <w:tcW w:type="dxa" w:w="1984"/>
            <w:shd w:fill="F8F9FA"/>
          </w:tcPr>
          <w:p>
            <w:r/>
            <w:r>
              <w:rPr>
                <w:rFonts w:ascii="Calibri" w:hAnsi="Calibri"/>
                <w:sz w:val="20"/>
              </w:rPr>
              <w:t>Opslag in bestemde voorziening</w:t>
            </w:r>
          </w:p>
        </w:tc>
        <w:tc>
          <w:tcPr>
            <w:tcW w:type="dxa" w:w="2268"/>
            <w:shd w:fill="F8F9FA"/>
          </w:tcPr>
          <w:p>
            <w:r/>
            <w:r>
              <w:rPr>
                <w:rFonts w:ascii="Calibri" w:hAnsi="Calibri"/>
                <w:sz w:val="20"/>
              </w:rPr>
              <w:t>Stoffen in daarvoor bestemde opslag</w:t>
            </w:r>
          </w:p>
        </w:tc>
        <w:tc>
          <w:tcPr>
            <w:tcW w:type="dxa" w:w="850"/>
            <w:shd w:fill="F8F9FA"/>
          </w:tcPr>
          <w:p>
            <w:r/>
            <w:r>
              <w:rPr>
                <w:rFonts w:ascii="Calibri" w:hAnsi="Calibri"/>
                <w:sz w:val="20"/>
              </w:rPr>
              <w:t>⚠️</w:t>
            </w:r>
          </w:p>
        </w:tc>
        <w:tc>
          <w:tcPr>
            <w:tcW w:type="dxa" w:w="2835"/>
            <w:shd w:fill="F8F9FA"/>
          </w:tcPr>
          <w:p>
            <w:r/>
            <w:r>
              <w:rPr>
                <w:rFonts w:ascii="Calibri" w:hAnsi="Calibri"/>
                <w:sz w:val="20"/>
              </w:rPr>
              <w:t>Rack = opslagvoorziening? Toetsen</w:t>
            </w:r>
          </w:p>
        </w:tc>
      </w:tr>
      <w:tr>
        <w:tc>
          <w:tcPr>
            <w:tcW w:type="dxa" w:w="850"/>
          </w:tcPr>
          <w:p>
            <w:r/>
            <w:r>
              <w:rPr>
                <w:rFonts w:ascii="Calibri" w:hAnsi="Calibri"/>
                <w:sz w:val="20"/>
              </w:rPr>
              <w:t>M3</w:t>
            </w:r>
          </w:p>
        </w:tc>
        <w:tc>
          <w:tcPr>
            <w:tcW w:type="dxa" w:w="1984"/>
          </w:tcPr>
          <w:p>
            <w:r/>
            <w:r>
              <w:rPr>
                <w:rFonts w:ascii="Calibri" w:hAnsi="Calibri"/>
                <w:sz w:val="20"/>
              </w:rPr>
              <w:t>Vereist veiligheidsniveau</w:t>
            </w:r>
          </w:p>
        </w:tc>
        <w:tc>
          <w:tcPr>
            <w:tcW w:type="dxa" w:w="2268"/>
          </w:tcPr>
          <w:p>
            <w:r/>
            <w:r>
              <w:rPr>
                <w:rFonts w:ascii="Calibri" w:hAnsi="Calibri"/>
                <w:sz w:val="20"/>
              </w:rPr>
              <w:t>Conform Tabel 6</w:t>
            </w:r>
          </w:p>
        </w:tc>
        <w:tc>
          <w:tcPr>
            <w:tcW w:type="dxa" w:w="850"/>
          </w:tcPr>
          <w:p>
            <w:r/>
            <w:r>
              <w:rPr>
                <w:rFonts w:ascii="Calibri" w:hAnsi="Calibri"/>
                <w:sz w:val="20"/>
              </w:rPr>
              <w:t>✅</w:t>
            </w:r>
          </w:p>
        </w:tc>
        <w:tc>
          <w:tcPr>
            <w:tcW w:type="dxa" w:w="2835"/>
          </w:tcPr>
          <w:p>
            <w:r/>
            <w:r>
              <w:rPr>
                <w:rFonts w:ascii="Calibri" w:hAnsi="Calibri"/>
                <w:sz w:val="20"/>
              </w:rPr>
              <w:t>Basis volstaat bij ~390 kg</w:t>
            </w:r>
          </w:p>
        </w:tc>
      </w:tr>
      <w:tr>
        <w:tc>
          <w:tcPr>
            <w:tcW w:type="dxa" w:w="850"/>
            <w:shd w:fill="F8F9FA"/>
          </w:tcPr>
          <w:p>
            <w:r/>
            <w:r>
              <w:rPr>
                <w:rFonts w:ascii="Calibri" w:hAnsi="Calibri"/>
                <w:sz w:val="20"/>
              </w:rPr>
              <w:t>M14</w:t>
            </w:r>
          </w:p>
        </w:tc>
        <w:tc>
          <w:tcPr>
            <w:tcW w:type="dxa" w:w="1984"/>
            <w:shd w:fill="F8F9FA"/>
          </w:tcPr>
          <w:p>
            <w:r/>
            <w:r>
              <w:rPr>
                <w:rFonts w:ascii="Calibri" w:hAnsi="Calibri"/>
                <w:sz w:val="20"/>
              </w:rPr>
              <w:t>Werkvoorraad regeling</w:t>
            </w:r>
          </w:p>
        </w:tc>
        <w:tc>
          <w:tcPr>
            <w:tcW w:type="dxa" w:w="2268"/>
            <w:shd w:fill="F8F9FA"/>
          </w:tcPr>
          <w:p>
            <w:r/>
            <w:r>
              <w:rPr>
                <w:rFonts w:ascii="Calibri" w:hAnsi="Calibri"/>
                <w:sz w:val="20"/>
              </w:rPr>
              <w:t>Max 1 aangebroken + 1 nieuwe per stof</w:t>
            </w:r>
          </w:p>
        </w:tc>
        <w:tc>
          <w:tcPr>
            <w:tcW w:type="dxa" w:w="850"/>
            <w:shd w:fill="F8F9FA"/>
          </w:tcPr>
          <w:p>
            <w:r/>
            <w:r>
              <w:rPr>
                <w:rFonts w:ascii="Calibri" w:hAnsi="Calibri"/>
                <w:sz w:val="20"/>
              </w:rPr>
              <w:t>⚠️</w:t>
            </w:r>
          </w:p>
        </w:tc>
        <w:tc>
          <w:tcPr>
            <w:tcW w:type="dxa" w:w="2835"/>
            <w:shd w:fill="F8F9FA"/>
          </w:tcPr>
          <w:p>
            <w:r/>
            <w:r>
              <w:rPr>
                <w:rFonts w:ascii="Calibri" w:hAnsi="Calibri"/>
                <w:sz w:val="20"/>
              </w:rPr>
              <w:t>Verifiëren met PM</w:t>
            </w:r>
          </w:p>
        </w:tc>
      </w:tr>
      <w:tr>
        <w:tc>
          <w:tcPr>
            <w:tcW w:type="dxa" w:w="850"/>
          </w:tcPr>
          <w:p>
            <w:r/>
            <w:r>
              <w:rPr>
                <w:rFonts w:ascii="Calibri" w:hAnsi="Calibri"/>
                <w:sz w:val="20"/>
              </w:rPr>
              <w:t>M15</w:t>
            </w:r>
          </w:p>
        </w:tc>
        <w:tc>
          <w:tcPr>
            <w:tcW w:type="dxa" w:w="1984"/>
          </w:tcPr>
          <w:p>
            <w:r/>
            <w:r>
              <w:rPr>
                <w:rFonts w:ascii="Calibri" w:hAnsi="Calibri"/>
                <w:sz w:val="20"/>
              </w:rPr>
              <w:t>Max oppervlak brandcompartiment</w:t>
            </w:r>
          </w:p>
        </w:tc>
        <w:tc>
          <w:tcPr>
            <w:tcW w:type="dxa" w:w="2268"/>
          </w:tcPr>
          <w:p>
            <w:r/>
            <w:r>
              <w:rPr>
                <w:rFonts w:ascii="Calibri" w:hAnsi="Calibri"/>
                <w:sz w:val="20"/>
              </w:rPr>
              <w:t>Zonder VBB: max 1.000 m²</w:t>
            </w:r>
          </w:p>
        </w:tc>
        <w:tc>
          <w:tcPr>
            <w:tcW w:type="dxa" w:w="850"/>
          </w:tcPr>
          <w:p>
            <w:r/>
            <w:r>
              <w:rPr>
                <w:rFonts w:ascii="Calibri" w:hAnsi="Calibri"/>
                <w:sz w:val="20"/>
              </w:rPr>
              <w:t>✅</w:t>
            </w:r>
          </w:p>
        </w:tc>
        <w:tc>
          <w:tcPr>
            <w:tcW w:type="dxa" w:w="2835"/>
          </w:tcPr>
          <w:p>
            <w:r/>
            <w:r>
              <w:rPr>
                <w:rFonts w:ascii="Calibri" w:hAnsi="Calibri"/>
                <w:sz w:val="20"/>
              </w:rPr>
              <w:t>Klein volume</w:t>
            </w:r>
          </w:p>
        </w:tc>
      </w:tr>
      <w:tr>
        <w:tc>
          <w:tcPr>
            <w:tcW w:type="dxa" w:w="850"/>
            <w:shd w:fill="F8F9FA"/>
          </w:tcPr>
          <w:p>
            <w:r/>
            <w:r>
              <w:rPr>
                <w:rFonts w:ascii="Calibri" w:hAnsi="Calibri"/>
                <w:sz w:val="20"/>
              </w:rPr>
              <w:t>M20</w:t>
            </w:r>
          </w:p>
        </w:tc>
        <w:tc>
          <w:tcPr>
            <w:tcW w:type="dxa" w:w="1984"/>
            <w:shd w:fill="F8F9FA"/>
          </w:tcPr>
          <w:p>
            <w:r/>
            <w:r>
              <w:rPr>
                <w:rFonts w:ascii="Calibri" w:hAnsi="Calibri"/>
                <w:sz w:val="20"/>
              </w:rPr>
              <w:t>Registratie gevaarlijke stoffen</w:t>
            </w:r>
          </w:p>
        </w:tc>
        <w:tc>
          <w:tcPr>
            <w:tcW w:type="dxa" w:w="2268"/>
            <w:shd w:fill="F8F9FA"/>
          </w:tcPr>
          <w:p>
            <w:r/>
            <w:r>
              <w:rPr>
                <w:rFonts w:ascii="Calibri" w:hAnsi="Calibri"/>
                <w:sz w:val="20"/>
              </w:rPr>
              <w:t>Actualisatie stoffenlijst</w:t>
            </w:r>
          </w:p>
        </w:tc>
        <w:tc>
          <w:tcPr>
            <w:tcW w:type="dxa" w:w="850"/>
            <w:shd w:fill="F8F9FA"/>
          </w:tcPr>
          <w:p>
            <w:r/>
            <w:r>
              <w:rPr>
                <w:rFonts w:ascii="Calibri" w:hAnsi="Calibri"/>
                <w:sz w:val="20"/>
              </w:rPr>
              <w:t>⚠️</w:t>
            </w:r>
          </w:p>
        </w:tc>
        <w:tc>
          <w:tcPr>
            <w:tcW w:type="dxa" w:w="2835"/>
            <w:shd w:fill="F8F9FA"/>
          </w:tcPr>
          <w:p>
            <w:r/>
            <w:r>
              <w:rPr>
                <w:rFonts w:ascii="Calibri" w:hAnsi="Calibri"/>
                <w:sz w:val="20"/>
              </w:rPr>
              <w:t>Register aanwezig, actualiteit toetsen</w:t>
            </w:r>
          </w:p>
        </w:tc>
      </w:tr>
      <w:tr>
        <w:tc>
          <w:tcPr>
            <w:tcW w:type="dxa" w:w="850"/>
          </w:tcPr>
          <w:p>
            <w:r/>
            <w:r>
              <w:rPr>
                <w:rFonts w:ascii="Calibri" w:hAnsi="Calibri"/>
                <w:sz w:val="20"/>
              </w:rPr>
              <w:t>M30</w:t>
            </w:r>
          </w:p>
        </w:tc>
        <w:tc>
          <w:tcPr>
            <w:tcW w:type="dxa" w:w="1984"/>
          </w:tcPr>
          <w:p>
            <w:r/>
            <w:r>
              <w:rPr>
                <w:rFonts w:ascii="Calibri" w:hAnsi="Calibri"/>
                <w:sz w:val="20"/>
              </w:rPr>
              <w:t>Vloeistofopvang (lekbakken)</w:t>
            </w:r>
          </w:p>
        </w:tc>
        <w:tc>
          <w:tcPr>
            <w:tcW w:type="dxa" w:w="2268"/>
          </w:tcPr>
          <w:p>
            <w:r/>
            <w:r>
              <w:rPr>
                <w:rFonts w:ascii="Calibri" w:hAnsi="Calibri"/>
                <w:sz w:val="20"/>
              </w:rPr>
              <w:t>110% grootste verpakking</w:t>
            </w:r>
          </w:p>
        </w:tc>
        <w:tc>
          <w:tcPr>
            <w:tcW w:type="dxa" w:w="850"/>
          </w:tcPr>
          <w:p>
            <w:r/>
            <w:r>
              <w:rPr>
                <w:rFonts w:ascii="Calibri" w:hAnsi="Calibri"/>
                <w:sz w:val="20"/>
              </w:rPr>
              <w:t>❌</w:t>
            </w:r>
          </w:p>
        </w:tc>
        <w:tc>
          <w:tcPr>
            <w:tcW w:type="dxa" w:w="2835"/>
          </w:tcPr>
          <w:p>
            <w:r/>
            <w:r>
              <w:rPr>
                <w:rFonts w:ascii="Calibri" w:hAnsi="Calibri"/>
                <w:sz w:val="20"/>
              </w:rPr>
              <w:t>NIET gedocumenteerd</w:t>
            </w:r>
          </w:p>
        </w:tc>
      </w:tr>
      <w:tr>
        <w:tc>
          <w:tcPr>
            <w:tcW w:type="dxa" w:w="850"/>
            <w:shd w:fill="F8F9FA"/>
          </w:tcPr>
          <w:p>
            <w:r/>
            <w:r>
              <w:rPr>
                <w:rFonts w:ascii="Calibri" w:hAnsi="Calibri"/>
                <w:sz w:val="20"/>
              </w:rPr>
              <w:t>M35</w:t>
            </w:r>
          </w:p>
        </w:tc>
        <w:tc>
          <w:tcPr>
            <w:tcW w:type="dxa" w:w="1984"/>
            <w:shd w:fill="F8F9FA"/>
          </w:tcPr>
          <w:p>
            <w:r/>
            <w:r>
              <w:rPr>
                <w:rFonts w:ascii="Calibri" w:hAnsi="Calibri"/>
                <w:sz w:val="20"/>
              </w:rPr>
              <w:t>Stoffenscheiding</w:t>
            </w:r>
          </w:p>
        </w:tc>
        <w:tc>
          <w:tcPr>
            <w:tcW w:type="dxa" w:w="2268"/>
            <w:shd w:fill="F8F9FA"/>
          </w:tcPr>
          <w:p>
            <w:r/>
            <w:r>
              <w:rPr>
                <w:rFonts w:ascii="Calibri" w:hAnsi="Calibri"/>
                <w:sz w:val="20"/>
              </w:rPr>
              <w:t>Conform Tabel 9</w:t>
            </w:r>
          </w:p>
        </w:tc>
        <w:tc>
          <w:tcPr>
            <w:tcW w:type="dxa" w:w="850"/>
            <w:shd w:fill="F8F9FA"/>
          </w:tcPr>
          <w:p>
            <w:r/>
            <w:r>
              <w:rPr>
                <w:rFonts w:ascii="Calibri" w:hAnsi="Calibri"/>
                <w:sz w:val="20"/>
              </w:rPr>
              <w:t>❌</w:t>
            </w:r>
          </w:p>
        </w:tc>
        <w:tc>
          <w:tcPr>
            <w:tcW w:type="dxa" w:w="2835"/>
            <w:shd w:fill="F8F9FA"/>
          </w:tcPr>
          <w:p>
            <w:r/>
            <w:r>
              <w:rPr>
                <w:rFonts w:ascii="Calibri" w:hAnsi="Calibri"/>
                <w:sz w:val="20"/>
              </w:rPr>
              <w:t>NIET-compliant: NaOH en H₂SO₄ op zelfde rack</w:t>
            </w:r>
          </w:p>
        </w:tc>
      </w:tr>
      <w:tr>
        <w:tc>
          <w:tcPr>
            <w:tcW w:type="dxa" w:w="850"/>
          </w:tcPr>
          <w:p>
            <w:r/>
            <w:r>
              <w:rPr>
                <w:rFonts w:ascii="Calibri" w:hAnsi="Calibri"/>
                <w:sz w:val="20"/>
              </w:rPr>
              <w:t>M36</w:t>
            </w:r>
          </w:p>
        </w:tc>
        <w:tc>
          <w:tcPr>
            <w:tcW w:type="dxa" w:w="1984"/>
          </w:tcPr>
          <w:p>
            <w:r/>
            <w:r>
              <w:rPr>
                <w:rFonts w:ascii="Calibri" w:hAnsi="Calibri"/>
                <w:sz w:val="20"/>
              </w:rPr>
              <w:t>Verpakkingsintegriteit</w:t>
            </w:r>
          </w:p>
        </w:tc>
        <w:tc>
          <w:tcPr>
            <w:tcW w:type="dxa" w:w="2268"/>
          </w:tcPr>
          <w:p>
            <w:r/>
            <w:r>
              <w:rPr>
                <w:rFonts w:ascii="Calibri" w:hAnsi="Calibri"/>
                <w:sz w:val="20"/>
              </w:rPr>
              <w:t>Regelmatige controle</w:t>
            </w:r>
          </w:p>
        </w:tc>
        <w:tc>
          <w:tcPr>
            <w:tcW w:type="dxa" w:w="850"/>
          </w:tcPr>
          <w:p>
            <w:r/>
            <w:r>
              <w:rPr>
                <w:rFonts w:ascii="Calibri" w:hAnsi="Calibri"/>
                <w:sz w:val="20"/>
              </w:rPr>
              <w:t>⚠️</w:t>
            </w:r>
          </w:p>
        </w:tc>
        <w:tc>
          <w:tcPr>
            <w:tcW w:type="dxa" w:w="2835"/>
          </w:tcPr>
          <w:p>
            <w:r/>
            <w:r>
              <w:rPr>
                <w:rFonts w:ascii="Calibri" w:hAnsi="Calibri"/>
                <w:sz w:val="20"/>
              </w:rPr>
              <w:t>Ongeopend = OK, controleregime toetsen</w:t>
            </w:r>
          </w:p>
        </w:tc>
      </w:tr>
      <w:tr>
        <w:tc>
          <w:tcPr>
            <w:tcW w:type="dxa" w:w="850"/>
            <w:shd w:fill="F8F9FA"/>
          </w:tcPr>
          <w:p>
            <w:r/>
            <w:r>
              <w:rPr>
                <w:rFonts w:ascii="Calibri" w:hAnsi="Calibri"/>
                <w:sz w:val="20"/>
              </w:rPr>
              <w:t>M45</w:t>
            </w:r>
          </w:p>
        </w:tc>
        <w:tc>
          <w:tcPr>
            <w:tcW w:type="dxa" w:w="1984"/>
            <w:shd w:fill="F8F9FA"/>
          </w:tcPr>
          <w:p>
            <w:r/>
            <w:r>
              <w:rPr>
                <w:rFonts w:ascii="Calibri" w:hAnsi="Calibri"/>
                <w:sz w:val="20"/>
              </w:rPr>
              <w:t>Correct gebruik verpakking</w:t>
            </w:r>
          </w:p>
        </w:tc>
        <w:tc>
          <w:tcPr>
            <w:tcW w:type="dxa" w:w="2268"/>
            <w:shd w:fill="F8F9FA"/>
          </w:tcPr>
          <w:p>
            <w:r/>
            <w:r>
              <w:rPr>
                <w:rFonts w:ascii="Calibri" w:hAnsi="Calibri"/>
                <w:sz w:val="20"/>
              </w:rPr>
              <w:t>Juiste hantering</w:t>
            </w:r>
          </w:p>
        </w:tc>
        <w:tc>
          <w:tcPr>
            <w:tcW w:type="dxa" w:w="850"/>
            <w:shd w:fill="F8F9FA"/>
          </w:tcPr>
          <w:p>
            <w:r/>
            <w:r>
              <w:rPr>
                <w:rFonts w:ascii="Calibri" w:hAnsi="Calibri"/>
                <w:sz w:val="20"/>
              </w:rPr>
              <w:t>⚠️</w:t>
            </w:r>
          </w:p>
        </w:tc>
        <w:tc>
          <w:tcPr>
            <w:tcW w:type="dxa" w:w="2835"/>
            <w:shd w:fill="F8F9FA"/>
          </w:tcPr>
          <w:p>
            <w:r/>
            <w:r>
              <w:rPr>
                <w:rFonts w:ascii="Calibri" w:hAnsi="Calibri"/>
                <w:sz w:val="20"/>
              </w:rPr>
              <w:t>Toetsen</w:t>
            </w:r>
          </w:p>
        </w:tc>
      </w:tr>
      <w:tr>
        <w:tc>
          <w:tcPr>
            <w:tcW w:type="dxa" w:w="850"/>
          </w:tcPr>
          <w:p>
            <w:r/>
            <w:r>
              <w:rPr>
                <w:rFonts w:ascii="Calibri" w:hAnsi="Calibri"/>
                <w:sz w:val="20"/>
              </w:rPr>
              <w:t>M77</w:t>
            </w:r>
          </w:p>
        </w:tc>
        <w:tc>
          <w:tcPr>
            <w:tcW w:type="dxa" w:w="1984"/>
          </w:tcPr>
          <w:p>
            <w:r/>
            <w:r>
              <w:rPr>
                <w:rFonts w:ascii="Calibri" w:hAnsi="Calibri"/>
                <w:sz w:val="20"/>
              </w:rPr>
              <w:t>Fysieke bescherming (botsbeveiliging)</w:t>
            </w:r>
          </w:p>
        </w:tc>
        <w:tc>
          <w:tcPr>
            <w:tcW w:type="dxa" w:w="2268"/>
          </w:tcPr>
          <w:p>
            <w:r/>
            <w:r>
              <w:rPr>
                <w:rFonts w:ascii="Calibri" w:hAnsi="Calibri"/>
                <w:sz w:val="20"/>
              </w:rPr>
              <w:t>Bescherming tegen aanrijding</w:t>
            </w:r>
          </w:p>
        </w:tc>
        <w:tc>
          <w:tcPr>
            <w:tcW w:type="dxa" w:w="850"/>
          </w:tcPr>
          <w:p>
            <w:r/>
            <w:r>
              <w:rPr>
                <w:rFonts w:ascii="Calibri" w:hAnsi="Calibri"/>
                <w:sz w:val="20"/>
              </w:rPr>
              <w:t>⚠️</w:t>
            </w:r>
          </w:p>
        </w:tc>
        <w:tc>
          <w:tcPr>
            <w:tcW w:type="dxa" w:w="2835"/>
          </w:tcPr>
          <w:p>
            <w:r/>
            <w:r>
              <w:rPr>
                <w:rFonts w:ascii="Calibri" w:hAnsi="Calibri"/>
                <w:sz w:val="20"/>
              </w:rPr>
              <w:t>Toetsen of rack afgeschermd</w:t>
            </w:r>
          </w:p>
        </w:tc>
      </w:tr>
      <w:tr>
        <w:tc>
          <w:tcPr>
            <w:tcW w:type="dxa" w:w="850"/>
            <w:shd w:fill="F8F9FA"/>
          </w:tcPr>
          <w:p>
            <w:r/>
            <w:r>
              <w:rPr>
                <w:rFonts w:ascii="Calibri" w:hAnsi="Calibri"/>
                <w:sz w:val="20"/>
              </w:rPr>
              <w:t>M78</w:t>
            </w:r>
          </w:p>
        </w:tc>
        <w:tc>
          <w:tcPr>
            <w:tcW w:type="dxa" w:w="1984"/>
            <w:shd w:fill="F8F9FA"/>
          </w:tcPr>
          <w:p>
            <w:r/>
            <w:r>
              <w:rPr>
                <w:rFonts w:ascii="Calibri" w:hAnsi="Calibri"/>
                <w:sz w:val="20"/>
              </w:rPr>
              <w:t>Fysieke bescherming (stellingen)</w:t>
            </w:r>
          </w:p>
        </w:tc>
        <w:tc>
          <w:tcPr>
            <w:tcW w:type="dxa" w:w="2268"/>
            <w:shd w:fill="F8F9FA"/>
          </w:tcPr>
          <w:p>
            <w:r/>
            <w:r>
              <w:rPr>
                <w:rFonts w:ascii="Calibri" w:hAnsi="Calibri"/>
                <w:sz w:val="20"/>
              </w:rPr>
              <w:t>Stellingen stabiel en veilig</w:t>
            </w:r>
          </w:p>
        </w:tc>
        <w:tc>
          <w:tcPr>
            <w:tcW w:type="dxa" w:w="850"/>
            <w:shd w:fill="F8F9FA"/>
          </w:tcPr>
          <w:p>
            <w:r/>
            <w:r>
              <w:rPr>
                <w:rFonts w:ascii="Calibri" w:hAnsi="Calibri"/>
                <w:sz w:val="20"/>
              </w:rPr>
              <w:t>⚠️</w:t>
            </w:r>
          </w:p>
        </w:tc>
        <w:tc>
          <w:tcPr>
            <w:tcW w:type="dxa" w:w="2835"/>
            <w:shd w:fill="F8F9FA"/>
          </w:tcPr>
          <w:p>
            <w:r/>
            <w:r>
              <w:rPr>
                <w:rFonts w:ascii="Calibri" w:hAnsi="Calibri"/>
                <w:sz w:val="20"/>
              </w:rPr>
              <w:t>Toetsen</w:t>
            </w:r>
          </w:p>
        </w:tc>
      </w:tr>
      <w:tr>
        <w:tc>
          <w:tcPr>
            <w:tcW w:type="dxa" w:w="850"/>
          </w:tcPr>
          <w:p>
            <w:r/>
            <w:r>
              <w:rPr>
                <w:rFonts w:ascii="Calibri" w:hAnsi="Calibri"/>
                <w:sz w:val="20"/>
              </w:rPr>
              <w:t>M85</w:t>
            </w:r>
          </w:p>
        </w:tc>
        <w:tc>
          <w:tcPr>
            <w:tcW w:type="dxa" w:w="1984"/>
          </w:tcPr>
          <w:p>
            <w:r/>
            <w:r>
              <w:rPr>
                <w:rFonts w:ascii="Calibri" w:hAnsi="Calibri"/>
                <w:sz w:val="20"/>
              </w:rPr>
              <w:t>Deskundigheid personeel</w:t>
            </w:r>
          </w:p>
        </w:tc>
        <w:tc>
          <w:tcPr>
            <w:tcW w:type="dxa" w:w="2268"/>
          </w:tcPr>
          <w:p>
            <w:r/>
            <w:r>
              <w:rPr>
                <w:rFonts w:ascii="Calibri" w:hAnsi="Calibri"/>
                <w:sz w:val="20"/>
              </w:rPr>
              <w:t>Opleiding + instructie</w:t>
            </w:r>
          </w:p>
        </w:tc>
        <w:tc>
          <w:tcPr>
            <w:tcW w:type="dxa" w:w="850"/>
          </w:tcPr>
          <w:p>
            <w:r/>
            <w:r>
              <w:rPr>
                <w:rFonts w:ascii="Calibri" w:hAnsi="Calibri"/>
                <w:sz w:val="20"/>
              </w:rPr>
              <w:t>⚠️</w:t>
            </w:r>
          </w:p>
        </w:tc>
        <w:tc>
          <w:tcPr>
            <w:tcW w:type="dxa" w:w="2835"/>
          </w:tcPr>
          <w:p>
            <w:r/>
            <w:r>
              <w:rPr>
                <w:rFonts w:ascii="Calibri" w:hAnsi="Calibri"/>
                <w:sz w:val="20"/>
              </w:rPr>
              <w:t>Verifiëren met PM</w:t>
            </w:r>
          </w:p>
        </w:tc>
      </w:tr>
      <w:tr>
        <w:tc>
          <w:tcPr>
            <w:tcW w:type="dxa" w:w="850"/>
            <w:shd w:fill="F8F9FA"/>
          </w:tcPr>
          <w:p>
            <w:r/>
            <w:r>
              <w:rPr>
                <w:rFonts w:ascii="Calibri" w:hAnsi="Calibri"/>
                <w:sz w:val="20"/>
              </w:rPr>
              <w:t>M86</w:t>
            </w:r>
          </w:p>
        </w:tc>
        <w:tc>
          <w:tcPr>
            <w:tcW w:type="dxa" w:w="1984"/>
            <w:shd w:fill="F8F9FA"/>
          </w:tcPr>
          <w:p>
            <w:r/>
            <w:r>
              <w:rPr>
                <w:rFonts w:ascii="Calibri" w:hAnsi="Calibri"/>
                <w:sz w:val="20"/>
              </w:rPr>
              <w:t>Noodorganisatie</w:t>
            </w:r>
          </w:p>
        </w:tc>
        <w:tc>
          <w:tcPr>
            <w:tcW w:type="dxa" w:w="2268"/>
            <w:shd w:fill="F8F9FA"/>
          </w:tcPr>
          <w:p>
            <w:r/>
            <w:r>
              <w:rPr>
                <w:rFonts w:ascii="Calibri" w:hAnsi="Calibri"/>
                <w:sz w:val="20"/>
              </w:rPr>
              <w:t>Noodplan + oefeningen</w:t>
            </w:r>
          </w:p>
        </w:tc>
        <w:tc>
          <w:tcPr>
            <w:tcW w:type="dxa" w:w="850"/>
            <w:shd w:fill="F8F9FA"/>
          </w:tcPr>
          <w:p>
            <w:r/>
            <w:r>
              <w:rPr>
                <w:rFonts w:ascii="Calibri" w:hAnsi="Calibri"/>
                <w:sz w:val="20"/>
              </w:rPr>
              <w:t>⚠️</w:t>
            </w:r>
          </w:p>
        </w:tc>
        <w:tc>
          <w:tcPr>
            <w:tcW w:type="dxa" w:w="2835"/>
            <w:shd w:fill="F8F9FA"/>
          </w:tcPr>
          <w:p>
            <w:r/>
            <w:r>
              <w:rPr>
                <w:rFonts w:ascii="Calibri" w:hAnsi="Calibri"/>
                <w:sz w:val="20"/>
              </w:rPr>
              <w:t>Verifiëren met PM</w:t>
            </w:r>
          </w:p>
        </w:tc>
      </w:tr>
      <w:tr>
        <w:tc>
          <w:tcPr>
            <w:tcW w:type="dxa" w:w="850"/>
          </w:tcPr>
          <w:p>
            <w:r/>
            <w:r>
              <w:rPr>
                <w:rFonts w:ascii="Calibri" w:hAnsi="Calibri"/>
                <w:sz w:val="20"/>
              </w:rPr>
              <w:t>M89</w:t>
            </w:r>
          </w:p>
        </w:tc>
        <w:tc>
          <w:tcPr>
            <w:tcW w:type="dxa" w:w="1984"/>
          </w:tcPr>
          <w:p>
            <w:r/>
            <w:r>
              <w:rPr>
                <w:rFonts w:ascii="Calibri" w:hAnsi="Calibri"/>
                <w:sz w:val="20"/>
              </w:rPr>
              <w:t>Hulpdienstbereikbaarheid</w:t>
            </w:r>
          </w:p>
        </w:tc>
        <w:tc>
          <w:tcPr>
            <w:tcW w:type="dxa" w:w="2268"/>
          </w:tcPr>
          <w:p>
            <w:r/>
            <w:r>
              <w:rPr>
                <w:rFonts w:ascii="Calibri" w:hAnsi="Calibri"/>
                <w:sz w:val="20"/>
              </w:rPr>
              <w:t>Bereikbaar + toegankelijk</w:t>
            </w:r>
          </w:p>
        </w:tc>
        <w:tc>
          <w:tcPr>
            <w:tcW w:type="dxa" w:w="850"/>
          </w:tcPr>
          <w:p>
            <w:r/>
            <w:r>
              <w:rPr>
                <w:rFonts w:ascii="Calibri" w:hAnsi="Calibri"/>
                <w:sz w:val="20"/>
              </w:rPr>
              <w:t>⚠️</w:t>
            </w:r>
          </w:p>
        </w:tc>
        <w:tc>
          <w:tcPr>
            <w:tcW w:type="dxa" w:w="2835"/>
          </w:tcPr>
          <w:p>
            <w:r/>
            <w:r>
              <w:rPr>
                <w:rFonts w:ascii="Calibri" w:hAnsi="Calibri"/>
                <w:sz w:val="20"/>
              </w:rPr>
              <w:t>Verifiëren met PM</w:t>
            </w:r>
          </w:p>
        </w:tc>
      </w:tr>
      <w:tr>
        <w:tc>
          <w:tcPr>
            <w:tcW w:type="dxa" w:w="850"/>
            <w:shd w:fill="F8F9FA"/>
          </w:tcPr>
          <w:p>
            <w:r/>
            <w:r>
              <w:rPr>
                <w:rFonts w:ascii="Calibri" w:hAnsi="Calibri"/>
                <w:sz w:val="20"/>
              </w:rPr>
              <w:t>M109</w:t>
            </w:r>
          </w:p>
        </w:tc>
        <w:tc>
          <w:tcPr>
            <w:tcW w:type="dxa" w:w="1984"/>
            <w:shd w:fill="F8F9FA"/>
          </w:tcPr>
          <w:p>
            <w:r/>
            <w:r>
              <w:rPr>
                <w:rFonts w:ascii="Calibri" w:hAnsi="Calibri"/>
                <w:sz w:val="20"/>
              </w:rPr>
              <w:t>Bereikbaarheid hulpdiensten</w:t>
            </w:r>
          </w:p>
        </w:tc>
        <w:tc>
          <w:tcPr>
            <w:tcW w:type="dxa" w:w="2268"/>
            <w:shd w:fill="F8F9FA"/>
          </w:tcPr>
          <w:p>
            <w:r/>
            <w:r>
              <w:rPr>
                <w:rFonts w:ascii="Calibri" w:hAnsi="Calibri"/>
                <w:sz w:val="20"/>
              </w:rPr>
              <w:t>Bereikbaar en toegankelijk</w:t>
            </w:r>
          </w:p>
        </w:tc>
        <w:tc>
          <w:tcPr>
            <w:tcW w:type="dxa" w:w="850"/>
            <w:shd w:fill="F8F9FA"/>
          </w:tcPr>
          <w:p>
            <w:r/>
            <w:r>
              <w:rPr>
                <w:rFonts w:ascii="Calibri" w:hAnsi="Calibri"/>
                <w:sz w:val="20"/>
              </w:rPr>
              <w:t>⚠️</w:t>
            </w:r>
          </w:p>
        </w:tc>
        <w:tc>
          <w:tcPr>
            <w:tcW w:type="dxa" w:w="2835"/>
            <w:shd w:fill="F8F9FA"/>
          </w:tcPr>
          <w:p>
            <w:r/>
            <w:r>
              <w:rPr>
                <w:rFonts w:ascii="Calibri" w:hAnsi="Calibri"/>
                <w:sz w:val="20"/>
              </w:rPr>
              <w:t>Verifiëren met PM</w:t>
            </w:r>
          </w:p>
        </w:tc>
      </w:tr>
    </w:tbl>
    <w:p/>
    <w:p>
      <w:r>
        <w:rPr>
          <w:rFonts w:ascii="Calibri" w:hAnsi="Calibri"/>
          <w:b/>
          <w:color w:val="374151"/>
          <w:sz w:val="18"/>
        </w:rPr>
        <w:t>Legenda: ✅ = Compliant | ⚠️ = Verifiëren | ❌ = Niet-compliant</w:t>
      </w:r>
    </w:p>
    <w:p>
      <w:r>
        <w:br w:type="page"/>
      </w:r>
    </w:p>
    <w:p>
      <w:pPr>
        <w:pStyle w:val="Heading1"/>
      </w:pPr>
      <w:r>
        <w:t>9. Wettelijke Kaders</w:t>
      </w:r>
    </w:p>
    <w:tbl>
      <w:tblPr>
        <w:tblStyle w:val="TableGrid"/>
        <w:tblW w:type="auto" w:w="0"/>
        <w:jc w:val="center"/>
        <w:tblLook w:firstColumn="1" w:firstRow="1" w:lastColumn="0" w:lastRow="0" w:noHBand="0" w:noVBand="1" w:val="04A0"/>
      </w:tblPr>
      <w:tblGrid>
        <w:gridCol w:w="2880"/>
        <w:gridCol w:w="2880"/>
        <w:gridCol w:w="2880"/>
      </w:tblGrid>
      <w:tr>
        <w:tc>
          <w:tcPr>
            <w:tcW w:type="dxa" w:w="1701"/>
            <w:shd w:fill="003366"/>
          </w:tcPr>
          <w:p>
            <w:pPr>
              <w:jc w:val="center"/>
            </w:pPr>
            <w:r/>
            <w:r>
              <w:rPr>
                <w:rFonts w:ascii="Calibri" w:hAnsi="Calibri"/>
                <w:b/>
                <w:color w:val="FFFFFF"/>
                <w:sz w:val="20"/>
              </w:rPr>
              <w:t>Wetgeving</w:t>
            </w:r>
          </w:p>
        </w:tc>
        <w:tc>
          <w:tcPr>
            <w:tcW w:type="dxa" w:w="2835"/>
            <w:shd w:fill="003366"/>
          </w:tcPr>
          <w:p>
            <w:pPr>
              <w:jc w:val="center"/>
            </w:pPr>
            <w:r/>
            <w:r>
              <w:rPr>
                <w:rFonts w:ascii="Calibri" w:hAnsi="Calibri"/>
                <w:b/>
                <w:color w:val="FFFFFF"/>
                <w:sz w:val="20"/>
              </w:rPr>
              <w:t>Volledige naam</w:t>
            </w:r>
          </w:p>
        </w:tc>
        <w:tc>
          <w:tcPr>
            <w:tcW w:type="dxa" w:w="4535"/>
            <w:shd w:fill="003366"/>
          </w:tcPr>
          <w:p>
            <w:pPr>
              <w:jc w:val="center"/>
            </w:pPr>
            <w:r/>
            <w:r>
              <w:rPr>
                <w:rFonts w:ascii="Calibri" w:hAnsi="Calibri"/>
                <w:b/>
                <w:color w:val="FFFFFF"/>
                <w:sz w:val="20"/>
              </w:rPr>
              <w:t>Relevantie Phoenix Metals</w:t>
            </w:r>
          </w:p>
        </w:tc>
      </w:tr>
      <w:tr>
        <w:tc>
          <w:tcPr>
            <w:tcW w:type="dxa" w:w="1701"/>
          </w:tcPr>
          <w:p>
            <w:r/>
            <w:r>
              <w:rPr>
                <w:rFonts w:ascii="Calibri" w:hAnsi="Calibri"/>
                <w:sz w:val="20"/>
              </w:rPr>
              <w:t>PGS 15:2025</w:t>
            </w:r>
          </w:p>
        </w:tc>
        <w:tc>
          <w:tcPr>
            <w:tcW w:type="dxa" w:w="2835"/>
          </w:tcPr>
          <w:p>
            <w:r/>
            <w:r>
              <w:rPr>
                <w:rFonts w:ascii="Calibri" w:hAnsi="Calibri"/>
                <w:sz w:val="20"/>
              </w:rPr>
              <w:t>Publicatiereeks Gevaarlijke Stoffen — Opslag verpakte gevaarlijke stoffen</w:t>
            </w:r>
          </w:p>
        </w:tc>
        <w:tc>
          <w:tcPr>
            <w:tcW w:type="dxa" w:w="4535"/>
          </w:tcPr>
          <w:p>
            <w:r/>
            <w:r>
              <w:rPr>
                <w:rFonts w:ascii="Calibri" w:hAnsi="Calibri"/>
                <w:sz w:val="20"/>
              </w:rPr>
              <w:t>Primaire richtlijn. Definieert veiligheidsniveaus, drempelwaarden en maatregelen [1].</w:t>
            </w:r>
          </w:p>
        </w:tc>
      </w:tr>
      <w:tr>
        <w:tc>
          <w:tcPr>
            <w:tcW w:type="dxa" w:w="1701"/>
            <w:shd w:fill="F8F9FA"/>
          </w:tcPr>
          <w:p>
            <w:r/>
            <w:r>
              <w:rPr>
                <w:rFonts w:ascii="Calibri" w:hAnsi="Calibri"/>
                <w:sz w:val="20"/>
              </w:rPr>
              <w:t>Omgevingswet</w:t>
            </w:r>
          </w:p>
        </w:tc>
        <w:tc>
          <w:tcPr>
            <w:tcW w:type="dxa" w:w="2835"/>
            <w:shd w:fill="F8F9FA"/>
          </w:tcPr>
          <w:p>
            <w:r/>
            <w:r>
              <w:rPr>
                <w:rFonts w:ascii="Calibri" w:hAnsi="Calibri"/>
                <w:sz w:val="20"/>
              </w:rPr>
              <w:t>Bouwwerken, activiteiten en milieukwaliteit</w:t>
            </w:r>
          </w:p>
        </w:tc>
        <w:tc>
          <w:tcPr>
            <w:tcW w:type="dxa" w:w="4535"/>
            <w:shd w:fill="F8F9FA"/>
          </w:tcPr>
          <w:p>
            <w:r/>
            <w:r>
              <w:rPr>
                <w:rFonts w:ascii="Calibri" w:hAnsi="Calibri"/>
                <w:sz w:val="20"/>
              </w:rPr>
              <w:t>Bbl (brandcompartimentering), Bkl (externe veiligheidsafstanden), Bal (activiteiten met gevaarlijke stoffen) [1].</w:t>
            </w:r>
          </w:p>
        </w:tc>
      </w:tr>
      <w:tr>
        <w:tc>
          <w:tcPr>
            <w:tcW w:type="dxa" w:w="1701"/>
          </w:tcPr>
          <w:p>
            <w:r/>
            <w:r>
              <w:rPr>
                <w:rFonts w:ascii="Calibri" w:hAnsi="Calibri"/>
                <w:sz w:val="20"/>
              </w:rPr>
              <w:t>Arbowet</w:t>
            </w:r>
          </w:p>
        </w:tc>
        <w:tc>
          <w:tcPr>
            <w:tcW w:type="dxa" w:w="2835"/>
          </w:tcPr>
          <w:p>
            <w:r/>
            <w:r>
              <w:rPr>
                <w:rFonts w:ascii="Calibri" w:hAnsi="Calibri"/>
                <w:sz w:val="20"/>
              </w:rPr>
              <w:t>Arbeidsomstandigheden</w:t>
            </w:r>
          </w:p>
        </w:tc>
        <w:tc>
          <w:tcPr>
            <w:tcW w:type="dxa" w:w="4535"/>
          </w:tcPr>
          <w:p>
            <w:r/>
            <w:r>
              <w:rPr>
                <w:rFonts w:ascii="Calibri" w:hAnsi="Calibri"/>
                <w:sz w:val="20"/>
              </w:rPr>
              <w:t>Zorgplicht werkgever, RI&amp;E verplicht, werkomstandigheden bij blootstelling aan gevaarlijke stoffen.</w:t>
            </w:r>
          </w:p>
        </w:tc>
      </w:tr>
      <w:tr>
        <w:tc>
          <w:tcPr>
            <w:tcW w:type="dxa" w:w="1701"/>
            <w:shd w:fill="F8F9FA"/>
          </w:tcPr>
          <w:p>
            <w:r/>
            <w:r>
              <w:rPr>
                <w:rFonts w:ascii="Calibri" w:hAnsi="Calibri"/>
                <w:sz w:val="20"/>
              </w:rPr>
              <w:t>ADR</w:t>
            </w:r>
          </w:p>
        </w:tc>
        <w:tc>
          <w:tcPr>
            <w:tcW w:type="dxa" w:w="2835"/>
            <w:shd w:fill="F8F9FA"/>
          </w:tcPr>
          <w:p>
            <w:r/>
            <w:r>
              <w:rPr>
                <w:rFonts w:ascii="Calibri" w:hAnsi="Calibri"/>
                <w:sz w:val="20"/>
              </w:rPr>
              <w:t>Accord européen relatief au transport international des marchandises Dangereuses par Route</w:t>
            </w:r>
          </w:p>
        </w:tc>
        <w:tc>
          <w:tcPr>
            <w:tcW w:type="dxa" w:w="4535"/>
            <w:shd w:fill="F8F9FA"/>
          </w:tcPr>
          <w:p>
            <w:r/>
            <w:r>
              <w:rPr>
                <w:rFonts w:ascii="Calibri" w:hAnsi="Calibri"/>
                <w:sz w:val="20"/>
              </w:rPr>
              <w:t>Classificatiesysteem voor vervoer → basis voor PGS 15 opslagklassen.</w:t>
            </w:r>
          </w:p>
        </w:tc>
      </w:tr>
      <w:tr>
        <w:tc>
          <w:tcPr>
            <w:tcW w:type="dxa" w:w="1701"/>
          </w:tcPr>
          <w:p>
            <w:r/>
            <w:r>
              <w:rPr>
                <w:rFonts w:ascii="Calibri" w:hAnsi="Calibri"/>
                <w:sz w:val="20"/>
              </w:rPr>
              <w:t>CLP (EG 1272/2008)</w:t>
            </w:r>
          </w:p>
        </w:tc>
        <w:tc>
          <w:tcPr>
            <w:tcW w:type="dxa" w:w="2835"/>
          </w:tcPr>
          <w:p>
            <w:r/>
            <w:r>
              <w:rPr>
                <w:rFonts w:ascii="Calibri" w:hAnsi="Calibri"/>
                <w:sz w:val="20"/>
              </w:rPr>
              <w:t>Classification, Labelling and Packaging</w:t>
            </w:r>
          </w:p>
        </w:tc>
        <w:tc>
          <w:tcPr>
            <w:tcW w:type="dxa" w:w="4535"/>
          </w:tcPr>
          <w:p>
            <w:r/>
            <w:r>
              <w:rPr>
                <w:rFonts w:ascii="Calibri" w:hAnsi="Calibri"/>
                <w:sz w:val="20"/>
              </w:rPr>
              <w:t>EU-classificatie, etikettering en verpakking van stoffen en mengsels.</w:t>
            </w:r>
          </w:p>
        </w:tc>
      </w:tr>
      <w:tr>
        <w:tc>
          <w:tcPr>
            <w:tcW w:type="dxa" w:w="1701"/>
            <w:shd w:fill="F8F9FA"/>
          </w:tcPr>
          <w:p>
            <w:r/>
            <w:r>
              <w:rPr>
                <w:rFonts w:ascii="Calibri" w:hAnsi="Calibri"/>
                <w:sz w:val="20"/>
              </w:rPr>
              <w:t>REACH (EG 1907/2006)</w:t>
            </w:r>
          </w:p>
        </w:tc>
        <w:tc>
          <w:tcPr>
            <w:tcW w:type="dxa" w:w="2835"/>
            <w:shd w:fill="F8F9FA"/>
          </w:tcPr>
          <w:p>
            <w:r/>
            <w:r>
              <w:rPr>
                <w:rFonts w:ascii="Calibri" w:hAnsi="Calibri"/>
                <w:sz w:val="20"/>
              </w:rPr>
              <w:t>Registration, Evaluation, Authorisation and Restriction of Chemicals</w:t>
            </w:r>
          </w:p>
        </w:tc>
        <w:tc>
          <w:tcPr>
            <w:tcW w:type="dxa" w:w="4535"/>
            <w:shd w:fill="F8F9FA"/>
          </w:tcPr>
          <w:p>
            <w:r/>
            <w:r>
              <w:rPr>
                <w:rFonts w:ascii="Calibri" w:hAnsi="Calibri"/>
                <w:sz w:val="20"/>
              </w:rPr>
              <w:t>Registratie, SDS-verplichtingen, risicobeheer. Zie separaat REACH-kennisdossier.</w:t>
            </w:r>
          </w:p>
        </w:tc>
      </w:tr>
    </w:tbl>
    <w:p/>
    <w:p>
      <w:r>
        <w:br w:type="page"/>
      </w:r>
    </w:p>
    <w:p>
      <w:pPr>
        <w:pStyle w:val="Heading1"/>
      </w:pPr>
      <w:r>
        <w:t>Bijlagen</w:t>
      </w:r>
    </w:p>
    <w:p>
      <w:pPr>
        <w:pStyle w:val="Heading2"/>
      </w:pPr>
      <w:r>
        <w:t>Bijlage A: Bronnenlijst</w:t>
      </w:r>
    </w:p>
    <w:p>
      <w:r>
        <w:rPr>
          <w:rFonts w:ascii="Calibri" w:hAnsi="Calibri"/>
          <w:b w:val="0"/>
          <w:color w:val="374151"/>
          <w:sz w:val="20"/>
        </w:rPr>
        <w:t>[1] PGS 15:2025 versie 1.0 (januari 2025) — Publicatiereeks Gevaarlijke Stoffen</w:t>
      </w:r>
    </w:p>
    <w:p>
      <w:r>
        <w:rPr>
          <w:rFonts w:ascii="Calibri" w:hAnsi="Calibri"/>
          <w:b w:val="0"/>
          <w:color w:val="374151"/>
          <w:sz w:val="20"/>
        </w:rPr>
        <w:t>[2] MASTER_STYLEGUIDE v1.2 — JvG Consultancy</w:t>
      </w:r>
    </w:p>
    <w:p>
      <w:r>
        <w:rPr>
          <w:rFonts w:ascii="Calibri" w:hAnsi="Calibri"/>
          <w:b w:val="0"/>
          <w:color w:val="374151"/>
          <w:sz w:val="20"/>
        </w:rPr>
        <w:t>[3] Phoenix Metals — Registration Chemicals MASTER v2.1.0 (november 2024)</w:t>
      </w:r>
    </w:p>
    <w:p>
      <w:r>
        <w:rPr>
          <w:rFonts w:ascii="Calibri" w:hAnsi="Calibri"/>
          <w:b w:val="0"/>
          <w:color w:val="374151"/>
          <w:sz w:val="20"/>
        </w:rPr>
        <w:t>[4] Omgevingswet — Bouwbesluit leefomgeving (Bbl)</w:t>
      </w:r>
    </w:p>
    <w:p>
      <w:r>
        <w:rPr>
          <w:rFonts w:ascii="Calibri" w:hAnsi="Calibri"/>
          <w:b w:val="0"/>
          <w:color w:val="374151"/>
          <w:sz w:val="20"/>
        </w:rPr>
        <w:t>[5] Arbeidsomstandighedenwet — Arbobesluit art. 4.1c</w:t>
      </w:r>
    </w:p>
    <w:p>
      <w:r>
        <w:rPr>
          <w:rFonts w:ascii="Calibri" w:hAnsi="Calibri"/>
          <w:b w:val="0"/>
          <w:color w:val="374151"/>
          <w:sz w:val="20"/>
        </w:rPr>
        <w:t>[6] ADR 2025 — UN Economic Commission for Europe</w:t>
      </w:r>
    </w:p>
    <w:p>
      <w:r>
        <w:rPr>
          <w:rFonts w:ascii="Calibri" w:hAnsi="Calibri"/>
          <w:b w:val="0"/>
          <w:color w:val="374151"/>
          <w:sz w:val="20"/>
        </w:rPr>
        <w:t>[7] CLP-Verordening (EG) Nr. 1272/2008</w:t>
      </w:r>
    </w:p>
    <w:p>
      <w:r>
        <w:rPr>
          <w:rFonts w:ascii="Calibri" w:hAnsi="Calibri"/>
          <w:b w:val="0"/>
          <w:color w:val="374151"/>
          <w:sz w:val="20"/>
        </w:rPr>
        <w:t>[8] REACH-Verordening (EG) Nr. 1907/2006</w:t>
      </w:r>
    </w:p>
    <w:p>
      <w:pPr>
        <w:pStyle w:val="Heading2"/>
      </w:pPr>
      <w:r>
        <w:t>Bijlage B: Tabel 6 — Volledige Criteria Vereist Veiligheidsniveau</w:t>
      </w:r>
    </w:p>
    <w:p>
      <w:r>
        <w:rPr>
          <w:rFonts w:ascii="Calibri" w:hAnsi="Calibri"/>
          <w:b w:val="0"/>
          <w:color w:val="374151"/>
          <w:sz w:val="20"/>
        </w:rPr>
        <w:t>Zie PGS 15:2025, pagina 65-68 voor de volledige tabel. Een samenvatting is opgenomen in Hoofdstuk 3 van dit dossier.</w:t>
      </w:r>
    </w:p>
    <w:p>
      <w:pPr>
        <w:pStyle w:val="Heading2"/>
      </w:pPr>
      <w:r>
        <w:t>Bijlage C: Tabel 9 — Combinaties ADR-klassen</w:t>
      </w:r>
    </w:p>
    <w:p>
      <w:r>
        <w:rPr>
          <w:rFonts w:ascii="Calibri" w:hAnsi="Calibri"/>
          <w:b w:val="0"/>
          <w:color w:val="374151"/>
          <w:sz w:val="20"/>
        </w:rPr>
        <w:t>Zie PGS 15:2025, pagina 194 voor de volledige matrix. Een uitgebreide weergave is opgenomen in Hoofdstuk 4 van dit dossier.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4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3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