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2011680" cy="1803575"/>
            <wp:docPr id="1" name="Picture 1"/>
            <wp:cNvGraphicFramePr>
              <a:graphicFrameLocks noChangeAspect="1"/>
            </wp:cNvGraphicFramePr>
            <a:graphic>
              <a:graphicData uri="http://schemas.openxmlformats.org/drawingml/2006/picture">
                <pic:pic>
                  <pic:nvPicPr>
                    <pic:cNvPr id="0" name="jvg-consultancy-logo.jpg"/>
                    <pic:cNvPicPr/>
                  </pic:nvPicPr>
                  <pic:blipFill>
                    <a:blip r:embed="rId9"/>
                    <a:stretch>
                      <a:fillRect/>
                    </a:stretch>
                  </pic:blipFill>
                  <pic:spPr>
                    <a:xfrm>
                      <a:off x="0" y="0"/>
                      <a:ext cx="2011680" cy="1803575"/>
                    </a:xfrm>
                    <a:prstGeom prst="rect"/>
                  </pic:spPr>
                </pic:pic>
              </a:graphicData>
            </a:graphic>
          </wp:inline>
        </w:drawing>
      </w:r>
    </w:p>
    <w:p/>
    <w:p>
      <w:pPr>
        <w:jc w:val="center"/>
      </w:pPr>
      <w:r>
        <w:rPr>
          <w:rFonts w:ascii="Calibri" w:hAnsi="Calibri"/>
          <w:b/>
          <w:color w:val="003366"/>
          <w:sz w:val="56"/>
        </w:rPr>
        <w:t>WERKINSTRUCTIE</w:t>
        <w:br/>
        <w:t>GEVAARLIJKE STOFFEN</w:t>
      </w:r>
    </w:p>
    <w:p>
      <w:pPr>
        <w:jc w:val="center"/>
      </w:pPr>
      <w:r>
        <w:rPr>
          <w:rFonts w:ascii="Calibri" w:hAnsi="Calibri"/>
          <w:color w:val="374151"/>
          <w:sz w:val="28"/>
        </w:rPr>
        <w:t>Phoenix Metals IJmuiden — Lab Medewerkers</w:t>
      </w:r>
    </w:p>
    <w:p/>
    <w:tbl>
      <w:tblPr>
        <w:tblStyle w:val="TableGrid"/>
        <w:tblW w:type="auto" w:w="0"/>
        <w:jc w:val="center"/>
        <w:tblLook w:firstColumn="1" w:firstRow="1" w:lastColumn="0" w:lastRow="0" w:noHBand="0" w:noVBand="1" w:val="04A0"/>
      </w:tblPr>
      <w:tblGrid>
        <w:gridCol w:w="4680"/>
        <w:gridCol w:w="4680"/>
      </w:tblGrid>
      <w:tr>
        <w:tc>
          <w:tcPr>
            <w:tcW w:type="dxa" w:w="4680"/>
            <w:shd w:fill="003366"/>
          </w:tcPr>
          <w:p>
            <w:pPr>
              <w:jc w:val="center"/>
            </w:pPr>
            <w:r>
              <w:rPr>
                <w:color w:val="FFFFFF"/>
              </w:rPr>
            </w:r>
            <w:r>
              <w:rPr>
                <w:rFonts w:ascii="Calibri" w:hAnsi="Calibri"/>
                <w:b/>
                <w:color w:val="FFFFFF"/>
                <w:sz w:val="20"/>
              </w:rPr>
              <w:t>Parameter</w:t>
            </w:r>
          </w:p>
        </w:tc>
        <w:tc>
          <w:tcPr>
            <w:tcW w:type="dxa" w:w="4680"/>
            <w:shd w:fill="003366"/>
          </w:tcPr>
          <w:p>
            <w:pPr>
              <w:jc w:val="center"/>
            </w:pPr>
            <w:r>
              <w:rPr>
                <w:color w:val="FFFFFF"/>
              </w:rPr>
            </w:r>
            <w:r>
              <w:rPr>
                <w:rFonts w:ascii="Calibri" w:hAnsi="Calibri"/>
                <w:b/>
                <w:color w:val="FFFFFF"/>
                <w:sz w:val="20"/>
              </w:rPr>
              <w:t>Waarde</w:t>
            </w:r>
          </w:p>
        </w:tc>
      </w:tr>
      <w:tr>
        <w:tc>
          <w:tcPr>
            <w:tcW w:type="dxa" w:w="4680"/>
          </w:tcPr>
          <w:p>
            <w:r/>
            <w:r>
              <w:rPr>
                <w:rFonts w:ascii="Calibri" w:hAnsi="Calibri"/>
                <w:color w:val="1F2937"/>
                <w:sz w:val="20"/>
              </w:rPr>
              <w:t>Documentnummer</w:t>
            </w:r>
          </w:p>
        </w:tc>
        <w:tc>
          <w:tcPr>
            <w:tcW w:type="dxa" w:w="4680"/>
          </w:tcPr>
          <w:p>
            <w:r/>
            <w:r>
              <w:rPr>
                <w:rFonts w:ascii="Calibri" w:hAnsi="Calibri"/>
                <w:color w:val="1F2937"/>
                <w:sz w:val="20"/>
              </w:rPr>
              <w:t>PM-WI-GS-005</w:t>
            </w:r>
          </w:p>
        </w:tc>
      </w:tr>
      <w:tr>
        <w:tc>
          <w:tcPr>
            <w:tcW w:type="dxa" w:w="4680"/>
          </w:tcPr>
          <w:p>
            <w:r/>
            <w:r>
              <w:rPr>
                <w:rFonts w:ascii="Calibri" w:hAnsi="Calibri"/>
                <w:color w:val="1F2937"/>
                <w:sz w:val="20"/>
              </w:rPr>
              <w:t>Versie</w:t>
            </w:r>
          </w:p>
        </w:tc>
        <w:tc>
          <w:tcPr>
            <w:tcW w:type="dxa" w:w="4680"/>
          </w:tcPr>
          <w:p>
            <w:r>
              <w:t>2.0</w:t>
            </w:r>
          </w:p>
        </w:tc>
      </w:tr>
      <w:tr>
        <w:tc>
          <w:tcPr>
            <w:tcW w:type="dxa" w:w="4680"/>
          </w:tcPr>
          <w:p>
            <w:r/>
            <w:r>
              <w:rPr>
                <w:rFonts w:ascii="Calibri" w:hAnsi="Calibri"/>
                <w:color w:val="1F2937"/>
                <w:sz w:val="20"/>
              </w:rPr>
              <w:t>Datum</w:t>
            </w:r>
          </w:p>
        </w:tc>
        <w:tc>
          <w:tcPr>
            <w:tcW w:type="dxa" w:w="4680"/>
          </w:tcPr>
          <w:p>
            <w:r>
              <w:t>6 mei 2026</w:t>
            </w:r>
          </w:p>
        </w:tc>
      </w:tr>
      <w:tr>
        <w:tc>
          <w:tcPr>
            <w:tcW w:type="dxa" w:w="4680"/>
          </w:tcPr>
          <w:p>
            <w:r/>
            <w:r>
              <w:rPr>
                <w:rFonts w:ascii="Calibri" w:hAnsi="Calibri"/>
                <w:color w:val="1F2937"/>
                <w:sz w:val="20"/>
              </w:rPr>
              <w:t>Auteur</w:t>
            </w:r>
          </w:p>
        </w:tc>
        <w:tc>
          <w:tcPr>
            <w:tcW w:type="dxa" w:w="4680"/>
          </w:tcPr>
          <w:p>
            <w:r/>
            <w:r>
              <w:rPr>
                <w:rFonts w:ascii="Calibri" w:hAnsi="Calibri"/>
                <w:color w:val="1F2937"/>
                <w:sz w:val="20"/>
              </w:rPr>
              <w:t>JVG Consultancy</w:t>
            </w:r>
          </w:p>
        </w:tc>
      </w:tr>
      <w:tr>
        <w:tc>
          <w:tcPr>
            <w:tcW w:type="dxa" w:w="4680"/>
          </w:tcPr>
          <w:p>
            <w:r/>
            <w:r>
              <w:rPr>
                <w:rFonts w:ascii="Calibri" w:hAnsi="Calibri"/>
                <w:color w:val="1F2937"/>
                <w:sz w:val="20"/>
              </w:rPr>
              <w:t>Classificatie</w:t>
            </w:r>
          </w:p>
        </w:tc>
        <w:tc>
          <w:tcPr>
            <w:tcW w:type="dxa" w:w="4680"/>
          </w:tcPr>
          <w:p>
            <w:r/>
            <w:r>
              <w:rPr>
                <w:rFonts w:ascii="Calibri" w:hAnsi="Calibri"/>
                <w:color w:val="1F2937"/>
                <w:sz w:val="20"/>
              </w:rPr>
              <w:t>Vertrouwelijk — Intern gebruik</w:t>
            </w:r>
          </w:p>
        </w:tc>
      </w:tr>
      <w:tr>
        <w:tc>
          <w:tcPr>
            <w:tcW w:type="dxa" w:w="4680"/>
          </w:tcPr>
          <w:p>
            <w:r/>
            <w:r>
              <w:rPr>
                <w:rFonts w:ascii="Calibri" w:hAnsi="Calibri"/>
                <w:color w:val="1F2937"/>
                <w:sz w:val="20"/>
              </w:rPr>
              <w:t>Geldigheidsduur</w:t>
            </w:r>
          </w:p>
        </w:tc>
        <w:tc>
          <w:tcPr>
            <w:tcW w:type="dxa" w:w="4680"/>
          </w:tcPr>
          <w:p>
            <w:r>
              <w:t>1 jaar na publicatiedatum</w:t>
            </w:r>
          </w:p>
        </w:tc>
      </w:tr>
    </w:tbl>
    <w:p/>
    <w:p>
      <w:pPr>
        <w:spacing w:after="120"/>
      </w:pPr>
      <w:r>
        <w:rPr>
          <w:rFonts w:ascii="Calibri" w:hAnsi="Calibri"/>
          <w:sz w:val="22"/>
        </w:rPr>
        <w:t>Goedkeuring</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2340"/>
            <w:shd w:fill="003366"/>
          </w:tcPr>
          <w:p>
            <w:pPr>
              <w:jc w:val="center"/>
            </w:pPr>
            <w:r>
              <w:rPr>
                <w:color w:val="FFFFFF"/>
              </w:rPr>
            </w:r>
            <w:r>
              <w:rPr>
                <w:rFonts w:ascii="Calibri" w:hAnsi="Calibri"/>
                <w:b/>
                <w:color w:val="FFFFFF"/>
                <w:sz w:val="20"/>
              </w:rPr>
              <w:t>Rol</w:t>
            </w:r>
          </w:p>
        </w:tc>
        <w:tc>
          <w:tcPr>
            <w:tcW w:type="dxa" w:w="2340"/>
            <w:shd w:fill="003366"/>
          </w:tcPr>
          <w:p>
            <w:pPr>
              <w:jc w:val="center"/>
            </w:pPr>
            <w:r>
              <w:rPr>
                <w:color w:val="FFFFFF"/>
              </w:rPr>
            </w:r>
            <w:r>
              <w:rPr>
                <w:rFonts w:ascii="Calibri" w:hAnsi="Calibri"/>
                <w:b/>
                <w:color w:val="FFFFFF"/>
                <w:sz w:val="20"/>
              </w:rPr>
              <w:t>Naam</w:t>
            </w:r>
          </w:p>
        </w:tc>
        <w:tc>
          <w:tcPr>
            <w:tcW w:type="dxa" w:w="2340"/>
            <w:shd w:fill="003366"/>
          </w:tcPr>
          <w:p>
            <w:pPr>
              <w:jc w:val="center"/>
            </w:pPr>
            <w:r>
              <w:rPr>
                <w:color w:val="FFFFFF"/>
              </w:rPr>
            </w:r>
            <w:r>
              <w:rPr>
                <w:rFonts w:ascii="Calibri" w:hAnsi="Calibri"/>
                <w:b/>
                <w:color w:val="FFFFFF"/>
                <w:sz w:val="20"/>
              </w:rPr>
              <w:t>Datum</w:t>
            </w:r>
          </w:p>
        </w:tc>
        <w:tc>
          <w:tcPr>
            <w:tcW w:type="dxa" w:w="2340"/>
            <w:shd w:fill="003366"/>
          </w:tcPr>
          <w:p>
            <w:pPr>
              <w:jc w:val="center"/>
            </w:pPr>
            <w:r>
              <w:rPr>
                <w:color w:val="FFFFFF"/>
              </w:rPr>
            </w:r>
            <w:r>
              <w:rPr>
                <w:rFonts w:ascii="Calibri" w:hAnsi="Calibri"/>
                <w:b/>
                <w:color w:val="FFFFFF"/>
                <w:sz w:val="20"/>
              </w:rPr>
              <w:t>Handtekening</w:t>
            </w:r>
          </w:p>
        </w:tc>
      </w:tr>
      <w:tr>
        <w:tc>
          <w:tcPr>
            <w:tcW w:type="dxa" w:w="2340"/>
          </w:tcPr>
          <w:p>
            <w:r/>
            <w:r>
              <w:rPr>
                <w:rFonts w:ascii="Calibri" w:hAnsi="Calibri"/>
                <w:color w:val="1F2937"/>
                <w:sz w:val="20"/>
              </w:rPr>
              <w:t>Opsteller</w:t>
            </w:r>
          </w:p>
        </w:tc>
        <w:tc>
          <w:tcPr>
            <w:tcW w:type="dxa" w:w="2340"/>
          </w:tcPr>
          <w:p>
            <w:r/>
            <w:r>
              <w:rPr>
                <w:rFonts w:ascii="Calibri" w:hAnsi="Calibri"/>
                <w:color w:val="1F2937"/>
                <w:sz w:val="20"/>
              </w:rPr>
              <w:t>JVG Consultancy</w:t>
            </w:r>
          </w:p>
        </w:tc>
        <w:tc>
          <w:tcPr>
            <w:tcW w:type="dxa" w:w="2340"/>
          </w:tcPr>
          <w:p>
            <w:r>
              <w:t>06-05-2026</w:t>
            </w:r>
          </w:p>
        </w:tc>
        <w:tc>
          <w:tcPr>
            <w:tcW w:type="dxa" w:w="2340"/>
          </w:tcPr>
          <w:p>
            <w:r/>
            <w:r>
              <w:rPr>
                <w:rFonts w:ascii="Calibri" w:hAnsi="Calibri"/>
                <w:color w:val="1F2937"/>
                <w:sz w:val="20"/>
              </w:rPr>
            </w:r>
          </w:p>
        </w:tc>
      </w:tr>
      <w:tr>
        <w:tc>
          <w:tcPr>
            <w:tcW w:type="dxa" w:w="2340"/>
          </w:tcPr>
          <w:p>
            <w:r/>
            <w:r>
              <w:rPr>
                <w:rFonts w:ascii="Calibri" w:hAnsi="Calibri"/>
                <w:color w:val="1F2937"/>
                <w:sz w:val="20"/>
              </w:rPr>
              <w:t>Lab Manager</w:t>
            </w:r>
          </w:p>
        </w:tc>
        <w:tc>
          <w:tcPr>
            <w:tcW w:type="dxa" w:w="2340"/>
          </w:tcPr>
          <w:p>
            <w:r/>
            <w:r>
              <w:rPr>
                <w:rFonts w:ascii="Calibri" w:hAnsi="Calibri"/>
                <w:color w:val="1F2937"/>
                <w:sz w:val="20"/>
              </w:rPr>
            </w:r>
          </w:p>
        </w:tc>
        <w:tc>
          <w:tcPr>
            <w:tcW w:type="dxa" w:w="2340"/>
          </w:tcPr>
          <w:p>
            <w:r/>
            <w:r>
              <w:rPr>
                <w:rFonts w:ascii="Calibri" w:hAnsi="Calibri"/>
                <w:color w:val="1F2937"/>
                <w:sz w:val="20"/>
              </w:rPr>
            </w:r>
          </w:p>
        </w:tc>
        <w:tc>
          <w:tcPr>
            <w:tcW w:type="dxa" w:w="2340"/>
          </w:tcPr>
          <w:p>
            <w:r/>
            <w:r>
              <w:rPr>
                <w:rFonts w:ascii="Calibri" w:hAnsi="Calibri"/>
                <w:color w:val="1F2937"/>
                <w:sz w:val="20"/>
              </w:rPr>
            </w:r>
          </w:p>
        </w:tc>
      </w:tr>
      <w:tr>
        <w:tc>
          <w:tcPr>
            <w:tcW w:type="dxa" w:w="2340"/>
          </w:tcPr>
          <w:p>
            <w:r/>
            <w:r>
              <w:rPr>
                <w:rFonts w:ascii="Calibri" w:hAnsi="Calibri"/>
                <w:color w:val="1F2937"/>
                <w:sz w:val="20"/>
              </w:rPr>
              <w:t>HSE Coördinator</w:t>
            </w:r>
          </w:p>
        </w:tc>
        <w:tc>
          <w:tcPr>
            <w:tcW w:type="dxa" w:w="2340"/>
          </w:tcPr>
          <w:p>
            <w:r/>
            <w:r>
              <w:rPr>
                <w:rFonts w:ascii="Calibri" w:hAnsi="Calibri"/>
                <w:color w:val="1F2937"/>
                <w:sz w:val="20"/>
              </w:rPr>
            </w:r>
          </w:p>
        </w:tc>
        <w:tc>
          <w:tcPr>
            <w:tcW w:type="dxa" w:w="2340"/>
          </w:tcPr>
          <w:p>
            <w:r/>
            <w:r>
              <w:rPr>
                <w:rFonts w:ascii="Calibri" w:hAnsi="Calibri"/>
                <w:color w:val="1F2937"/>
                <w:sz w:val="20"/>
              </w:rPr>
            </w:r>
          </w:p>
        </w:tc>
        <w:tc>
          <w:tcPr>
            <w:tcW w:type="dxa" w:w="2340"/>
          </w:tcPr>
          <w:p>
            <w:r/>
            <w:r>
              <w:rPr>
                <w:rFonts w:ascii="Calibri" w:hAnsi="Calibri"/>
                <w:color w:val="1F2937"/>
                <w:sz w:val="20"/>
              </w:rPr>
            </w:r>
          </w:p>
        </w:tc>
      </w:tr>
      <w:tr>
        <w:tc>
          <w:tcPr>
            <w:tcW w:type="dxa" w:w="2340"/>
          </w:tcPr>
          <w:p>
            <w:r/>
            <w:r>
              <w:rPr>
                <w:rFonts w:ascii="Calibri" w:hAnsi="Calibri"/>
                <w:color w:val="1F2937"/>
                <w:sz w:val="20"/>
              </w:rPr>
              <w:t>Directie</w:t>
            </w:r>
          </w:p>
        </w:tc>
        <w:tc>
          <w:tcPr>
            <w:tcW w:type="dxa" w:w="2340"/>
          </w:tcPr>
          <w:p>
            <w:r/>
            <w:r>
              <w:rPr>
                <w:rFonts w:ascii="Calibri" w:hAnsi="Calibri"/>
                <w:color w:val="1F2937"/>
                <w:sz w:val="20"/>
              </w:rPr>
            </w:r>
          </w:p>
        </w:tc>
        <w:tc>
          <w:tcPr>
            <w:tcW w:type="dxa" w:w="2340"/>
          </w:tcPr>
          <w:p>
            <w:r/>
            <w:r>
              <w:rPr>
                <w:rFonts w:ascii="Calibri" w:hAnsi="Calibri"/>
                <w:color w:val="1F2937"/>
                <w:sz w:val="20"/>
              </w:rPr>
            </w:r>
          </w:p>
        </w:tc>
        <w:tc>
          <w:tcPr>
            <w:tcW w:type="dxa" w:w="2340"/>
          </w:tcPr>
          <w:p>
            <w:r/>
            <w:r>
              <w:rPr>
                <w:rFonts w:ascii="Calibri" w:hAnsi="Calibri"/>
                <w:color w:val="1F2937"/>
                <w:sz w:val="20"/>
              </w:rPr>
            </w:r>
          </w:p>
        </w:tc>
      </w:tr>
    </w:tbl>
    <w:p/>
    <w:p>
      <w:pPr>
        <w:jc w:val="center"/>
      </w:pPr>
      <w:r>
        <w:rPr>
          <w:rFonts w:ascii="Calibri" w:hAnsi="Calibri"/>
          <w:b/>
          <w:color w:val="003366"/>
          <w:sz w:val="20"/>
        </w:rPr>
        <w:t>VERTROUWELIJKHEIDSCLAUSULE</w:t>
      </w:r>
    </w:p>
    <w:p>
      <w:pPr>
        <w:spacing w:after="120"/>
      </w:pPr>
      <w:r>
        <w:rPr>
          <w:rFonts w:ascii="Calibri" w:hAnsi="Calibri"/>
          <w:sz w:val="22"/>
        </w:rPr>
        <w:t>Dit document bevat vertrouwelijke informatie van Phoenix Metals IJmuiden. Ongeautoriseerde verspreiding, reproductie of openbaarmaking is strikt verboden. Dit document is uitsluitend bestemd voor geautoriseerd personeel dat direct betrokken is bij de hantering van gevaarlijke stoffen in het laboratorium.</w:t>
      </w:r>
    </w:p>
    <w:p>
      <w:r>
        <w:br w:type="page"/>
      </w:r>
    </w:p>
    <w:p>
      <w:pPr>
        <w:pStyle w:val="Heading1"/>
      </w:pPr>
      <w:r>
        <w:rPr>
          <w:rFonts w:ascii="Calibri" w:hAnsi="Calibri"/>
          <w:color w:val="003366"/>
        </w:rPr>
        <w:t>1. Doel en Toepassing</w:t>
      </w:r>
    </w:p>
    <w:p>
      <w:pPr>
        <w:spacing w:after="120"/>
      </w:pPr>
      <w:r>
        <w:rPr>
          <w:rFonts w:ascii="Calibri" w:hAnsi="Calibri"/>
          <w:sz w:val="22"/>
        </w:rPr>
        <w:t>Deze werkinstructie heeft tot doel labmedewerkers van Phoenix Metals IJmuiden te voorzien van eenduidige, bindende voorschriften voor het veilig hanteren, opslaan en verwerken van gevaarlijke stoffen. Het document is opgesteld conform de eisen van PGS 15:2025 (Publicatiereeks Gevaarlijke Stoffen) en de Nederlandse Arbowet (Arbobesluit artikel 4.1c), en fungeert als praktisch hulpmiddel voor het dagelijks werk in het laboratorium.</w:t>
      </w:r>
    </w:p>
    <w:p>
      <w:pPr>
        <w:spacing w:after="120"/>
      </w:pPr>
      <w:r>
        <w:rPr>
          <w:rFonts w:ascii="Calibri" w:hAnsi="Calibri"/>
          <w:sz w:val="22"/>
        </w:rPr>
        <w:t>De werkinstructie is van toepassing op elke medewerker die gevaarlijke stoffen hanteert, transporteert, opslaat of afvoert binnen de Phoenix Metals faciliteit aan de IJmuiden locatie. Dit omvat vaste medewerkers, tijdelijke krachten, stagiaires en onderaannemers die toegang hebben tot het lab of de opslaglocatie. Naleving van deze instructie is verplicht; afwijkingen vereisen voorafgaande schriftelijke goedkeuring van de Lab Manager en de HSE Coördinator.</w:t>
      </w:r>
    </w:p>
    <w:p>
      <w:pPr>
        <w:spacing w:after="120"/>
      </w:pPr>
      <w:r>
        <w:rPr>
          <w:rFonts w:ascii="Calibri" w:hAnsi="Calibri"/>
          <w:sz w:val="22"/>
        </w:rPr>
        <w:t>Het laboratorium van Phoenix Metals werkt met twintig geregistreerde stoffen (waarvan 8 ADR-geclassificeerd en 12 zonder ADR-classificatie), die gebruikt worden in het Pilot Plant proces van Phoenix Metals IJmuiden. Acht stoffen vallen onder ADR-klasse 8 (bijtende stoffen) en twee als niet-ADR-goederen met specifieke gevarenprofielen. Het totale opslagvolume bedraagt circa 300 liter vloeistof en 15 kg vaste stoffen. Hoewel dit volume onder de drempelwaarden van PGS 15 Tabel 6 valt, blijven de scheidingseisen (Tabel 9, Bijlage E) en de basisveiligheidsmaatregelen onverkort van kracht.</w:t>
      </w:r>
    </w:p>
    <w:p>
      <w:pPr>
        <w:spacing w:after="120"/>
      </w:pPr>
      <w:r>
        <w:rPr>
          <w:rFonts w:ascii="Calibri" w:hAnsi="Calibri"/>
          <w:sz w:val="22"/>
        </w:rPr>
        <w:t>Deze werkinstructie is een levend document en wordt jaarlijks geëvalueerd, dan wel tussentijds bij wijzigingen in het stoffenbestand, de inrichting of de geldende regelgeving. Medewerkers zijn verplicht wijzigingen direct te implementeren en de meest recente versie te raadplegen via de documentatiehouder.</w:t>
      </w:r>
    </w:p>
    <w:p>
      <w:pPr>
        <w:pStyle w:val="Heading1"/>
      </w:pPr>
      <w:r>
        <w:rPr>
          <w:rFonts w:ascii="Calibri" w:hAnsi="Calibri"/>
          <w:color w:val="003366"/>
        </w:rPr>
        <w:t>2. Stoffenoverzicht</w:t>
      </w:r>
    </w:p>
    <w:p>
      <w:pPr>
        <w:spacing w:after="120"/>
      </w:pPr>
      <w:r>
        <w:rPr>
          <w:rFonts w:ascii="Calibri" w:hAnsi="Calibri"/>
          <w:sz w:val="22"/>
        </w:rPr>
        <w:t>Het chemisch register van Phoenix Metals omvat twintig stoffen die gebruikt worden in het Pilot Plant proces: 5 input chemicals, 5 intermediaire stoffen en 10 eindproducten en chemische procesvoering. Het overzicht hieronder specificeert per stof de primaire gevaren, de vereiste persoonlijke beschermingsmiddelen en bijzondere aandachtspunten. Elke medewerker dient dit overzicht paraat te hebben vóórdat men met een van deze stoffen werkt.</w:t>
      </w:r>
    </w:p>
    <w:p>
      <w:pPr>
        <w:spacing w:before="120" w:after="120"/>
      </w:pPr>
      <w:r>
        <w:rPr>
          <w:rFonts w:ascii="Calibri" w:hAnsi="Calibri"/>
          <w:b/>
          <w:color w:val="EF4444"/>
          <w:sz w:val="22"/>
        </w:rPr>
        <w:t xml:space="preserve">⛔ WAARSCHUWING: </w:t>
      </w:r>
      <w:r>
        <w:rPr>
          <w:rFonts w:ascii="Calibri" w:hAnsi="Calibri"/>
          <w:b/>
          <w:color w:val="EF4444"/>
          <w:sz w:val="22"/>
        </w:rPr>
        <w:t>Natriumhydroxide (NaAlO₂) en Zwavelzuur (H₂SO₄) mogen NOOIT in contact komen met elkaar. De reactie is sterk exotherm en kan leiden tot spatten, hitteontwikkeling en ernstige brandwonden. Scheiding in aparte opslagzones is wettelijk verplicht.</w:t>
      </w:r>
    </w:p>
    <w:tbl>
      <w:tblPr>
        <w:tblStyle w:val="TableGrid"/>
        <w:tblW w:type="auto" w:w="0"/>
        <w:jc w:val="center"/>
        <w:tblLook w:firstColumn="1" w:firstRow="1" w:lastColumn="0" w:lastRow="0" w:noHBand="0" w:noVBand="1" w:val="04A0"/>
      </w:tblPr>
      <w:tblGrid>
        <w:gridCol w:w="1872"/>
        <w:gridCol w:w="1872"/>
        <w:gridCol w:w="1872"/>
        <w:gridCol w:w="1872"/>
        <w:gridCol w:w="1872"/>
      </w:tblGrid>
      <w:tr>
        <w:tc>
          <w:tcPr>
            <w:tcW w:type="dxa" w:w="1872"/>
            <w:shd w:fill="003366"/>
          </w:tcPr>
          <w:p>
            <w:pPr>
              <w:jc w:val="center"/>
            </w:pPr>
            <w:r>
              <w:rPr>
                <w:color w:val="FFFFFF"/>
              </w:rPr>
            </w:r>
            <w:r>
              <w:rPr>
                <w:rFonts w:ascii="Calibri" w:hAnsi="Calibri"/>
                <w:b/>
                <w:color w:val="FFFFFF"/>
                <w:sz w:val="20"/>
              </w:rPr>
              <w:t>Stof</w:t>
            </w:r>
          </w:p>
        </w:tc>
        <w:tc>
          <w:tcPr>
            <w:tcW w:type="dxa" w:w="1872"/>
            <w:shd w:fill="003366"/>
          </w:tcPr>
          <w:p>
            <w:pPr>
              <w:jc w:val="center"/>
            </w:pPr>
            <w:r>
              <w:rPr>
                <w:color w:val="FFFFFF"/>
              </w:rPr>
            </w:r>
            <w:r>
              <w:rPr>
                <w:rFonts w:ascii="Calibri" w:hAnsi="Calibri"/>
                <w:b/>
                <w:color w:val="FFFFFF"/>
                <w:sz w:val="20"/>
              </w:rPr>
              <w:t>Gevaar</w:t>
            </w:r>
          </w:p>
        </w:tc>
        <w:tc>
          <w:tcPr>
            <w:tcW w:type="dxa" w:w="1872"/>
            <w:shd w:fill="003366"/>
          </w:tcPr>
          <w:p>
            <w:pPr>
              <w:jc w:val="center"/>
            </w:pPr>
            <w:r>
              <w:rPr>
                <w:color w:val="FFFFFF"/>
              </w:rPr>
            </w:r>
            <w:r>
              <w:rPr>
                <w:rFonts w:ascii="Calibri" w:hAnsi="Calibri"/>
                <w:b/>
                <w:color w:val="FFFFFF"/>
                <w:sz w:val="20"/>
              </w:rPr>
              <w:t>GHS-pictogram</w:t>
            </w:r>
          </w:p>
        </w:tc>
        <w:tc>
          <w:tcPr>
            <w:tcW w:type="dxa" w:w="1872"/>
            <w:shd w:fill="003366"/>
          </w:tcPr>
          <w:p>
            <w:pPr>
              <w:jc w:val="center"/>
            </w:pPr>
            <w:r>
              <w:rPr>
                <w:color w:val="FFFFFF"/>
              </w:rPr>
            </w:r>
            <w:r>
              <w:rPr>
                <w:rFonts w:ascii="Calibri" w:hAnsi="Calibri"/>
                <w:b/>
                <w:color w:val="FFFFFF"/>
                <w:sz w:val="20"/>
              </w:rPr>
              <w:t>PBM-vereisten</w:t>
            </w:r>
          </w:p>
        </w:tc>
        <w:tc>
          <w:tcPr>
            <w:tcW w:type="dxa" w:w="1872"/>
            <w:shd w:fill="003366"/>
          </w:tcPr>
          <w:p>
            <w:pPr>
              <w:jc w:val="center"/>
            </w:pPr>
            <w:r>
              <w:rPr>
                <w:color w:val="FFFFFF"/>
              </w:rPr>
            </w:r>
            <w:r>
              <w:rPr>
                <w:rFonts w:ascii="Calibri" w:hAnsi="Calibri"/>
                <w:b/>
                <w:color w:val="FFFFFF"/>
                <w:sz w:val="20"/>
              </w:rPr>
              <w:t>Speciale aandacht</w:t>
            </w:r>
          </w:p>
        </w:tc>
      </w:tr>
      <w:tr>
        <w:tc>
          <w:tcPr>
            <w:tcW w:type="dxa" w:w="1872"/>
          </w:tcPr>
          <w:p>
            <w:r/>
            <w:r>
              <w:rPr>
                <w:rFonts w:ascii="Calibri" w:hAnsi="Calibri"/>
                <w:sz w:val="16"/>
              </w:rPr>
              <w:t>Steelmaking Slag</w:t>
              <w:br/>
              <w:t>(poeder, IC-01)</w:t>
            </w:r>
          </w:p>
        </w:tc>
        <w:tc>
          <w:tcPr>
            <w:tcW w:type="dxa" w:w="1872"/>
          </w:tcPr>
          <w:p>
            <w:r/>
            <w:r>
              <w:rPr>
                <w:rFonts w:ascii="Calibri" w:hAnsi="Calibri"/>
                <w:sz w:val="16"/>
              </w:rPr>
              <w:t>Huidirritatie, oogschade,</w:t>
              <w:br/>
              <w:t>stof—H315, H318, H335,</w:t>
              <w:br/>
              <w:t>H372</w:t>
            </w:r>
          </w:p>
        </w:tc>
        <w:tc>
          <w:tcPr>
            <w:tcW w:type="dxa" w:w="1872"/>
          </w:tcPr>
          <w:p>
            <w:r/>
            <w:r>
              <w:rPr>
                <w:rFonts w:ascii="Calibri" w:hAnsi="Calibri"/>
                <w:sz w:val="16"/>
              </w:rPr>
              <w:t>GHS05, GHS07,</w:t>
              <w:br/>
              <w:t>GHS08</w:t>
            </w:r>
          </w:p>
        </w:tc>
        <w:tc>
          <w:tcPr>
            <w:tcW w:type="dxa" w:w="1872"/>
          </w:tcPr>
          <w:p>
            <w:r/>
            <w:r>
              <w:rPr>
                <w:rFonts w:ascii="Calibri" w:hAnsi="Calibri"/>
                <w:sz w:val="16"/>
              </w:rPr>
              <w:t>Stofmasker P2,</w:t>
              <w:br/>
              <w:t>nitril handschoenen,</w:t>
              <w:br/>
              <w:t>veiligheidsbril</w:t>
            </w:r>
          </w:p>
        </w:tc>
        <w:tc>
          <w:tcPr>
            <w:tcW w:type="dxa" w:w="1872"/>
          </w:tcPr>
          <w:p>
            <w:r/>
            <w:r>
              <w:rPr>
                <w:rFonts w:ascii="Calibri" w:hAnsi="Calibri"/>
                <w:sz w:val="16"/>
              </w:rPr>
              <w:t>Bevat SiO₂, CaO, MgO.</w:t>
              <w:br/>
              <w:t>Stofvorming bij droge</w:t>
              <w:br/>
              <w:t>hantering. CMR-negatief.</w:t>
            </w:r>
          </w:p>
        </w:tc>
      </w:tr>
      <w:tr>
        <w:tc>
          <w:tcPr>
            <w:tcW w:type="dxa" w:w="1872"/>
          </w:tcPr>
          <w:p>
            <w:r/>
            <w:r>
              <w:rPr>
                <w:rFonts w:ascii="Calibri" w:hAnsi="Calibri"/>
                <w:sz w:val="16"/>
              </w:rPr>
              <w:t>Zwavelzuur 25% / 3M</w:t>
              <w:br/>
              <w:t>(H₂SO₄, IC-02)</w:t>
            </w:r>
          </w:p>
        </w:tc>
        <w:tc>
          <w:tcPr>
            <w:tcW w:type="dxa" w:w="1872"/>
          </w:tcPr>
          <w:p>
            <w:r/>
            <w:r>
              <w:rPr>
                <w:rFonts w:ascii="Calibri" w:hAnsi="Calibri"/>
                <w:sz w:val="16"/>
              </w:rPr>
              <w:t>Bijtend—H290, H314,</w:t>
              <w:br/>
              <w:t>H318</w:t>
            </w:r>
          </w:p>
        </w:tc>
        <w:tc>
          <w:tcPr>
            <w:tcW w:type="dxa" w:w="1872"/>
          </w:tcPr>
          <w:p>
            <w:r/>
            <w:r>
              <w:rPr>
                <w:rFonts w:ascii="Calibri" w:hAnsi="Calibri"/>
                <w:sz w:val="16"/>
              </w:rPr>
              <w:t>GHS05</w:t>
            </w:r>
          </w:p>
        </w:tc>
        <w:tc>
          <w:tcPr>
            <w:tcW w:type="dxa" w:w="1872"/>
          </w:tcPr>
          <w:p>
            <w:r/>
            <w:r>
              <w:rPr>
                <w:rFonts w:ascii="Calibri" w:hAnsi="Calibri"/>
                <w:sz w:val="16"/>
              </w:rPr>
              <w:t>Zuur-bestendige</w:t>
              <w:br/>
              <w:t>handschoenen,</w:t>
              <w:br/>
              <w:t>gezichtsscherm</w:t>
            </w:r>
          </w:p>
        </w:tc>
        <w:tc>
          <w:tcPr>
            <w:tcW w:type="dxa" w:w="1872"/>
          </w:tcPr>
          <w:p>
            <w:r/>
            <w:r>
              <w:rPr>
                <w:rFonts w:ascii="Calibri" w:hAnsi="Calibri"/>
                <w:sz w:val="16"/>
              </w:rPr>
              <w:t>ADR 8 / UN 2796 /</w:t>
              <w:br/>
              <w:t>PG II. pH &lt;1. Verdunnen</w:t>
              <w:br/>
              <w:t>altich langzaam.</w:t>
            </w:r>
          </w:p>
        </w:tc>
      </w:tr>
      <w:tr>
        <w:tc>
          <w:tcPr>
            <w:tcW w:type="dxa" w:w="1872"/>
          </w:tcPr>
          <w:p>
            <w:r/>
            <w:r>
              <w:rPr>
                <w:rFonts w:ascii="Calibri" w:hAnsi="Calibri"/>
                <w:sz w:val="16"/>
              </w:rPr>
              <w:t>Waterstofperoxide 30%</w:t>
              <w:br/>
              <w:t>(H₂O₂, IC-03)</w:t>
            </w:r>
          </w:p>
        </w:tc>
        <w:tc>
          <w:tcPr>
            <w:tcW w:type="dxa" w:w="1872"/>
          </w:tcPr>
          <w:p>
            <w:r/>
            <w:r>
              <w:rPr>
                <w:rFonts w:ascii="Calibri" w:hAnsi="Calibri"/>
                <w:sz w:val="16"/>
              </w:rPr>
              <w:t>Oxiderend, bijtend—</w:t>
              <w:br/>
              <w:t>H302, H318, H332</w:t>
            </w:r>
          </w:p>
        </w:tc>
        <w:tc>
          <w:tcPr>
            <w:tcW w:type="dxa" w:w="1872"/>
          </w:tcPr>
          <w:p>
            <w:r/>
            <w:r>
              <w:rPr>
                <w:rFonts w:ascii="Calibri" w:hAnsi="Calibri"/>
                <w:sz w:val="16"/>
              </w:rPr>
              <w:t>GHS05, GHS07</w:t>
            </w:r>
          </w:p>
        </w:tc>
        <w:tc>
          <w:tcPr>
            <w:tcW w:type="dxa" w:w="1872"/>
          </w:tcPr>
          <w:p>
            <w:r/>
            <w:r>
              <w:rPr>
                <w:rFonts w:ascii="Calibri" w:hAnsi="Calibri"/>
                <w:sz w:val="16"/>
              </w:rPr>
              <w:t>Nitril handschoenen,</w:t>
              <w:br/>
              <w:t>gezichtsscherm, labjas</w:t>
            </w:r>
          </w:p>
        </w:tc>
        <w:tc>
          <w:tcPr>
            <w:tcW w:type="dxa" w:w="1872"/>
          </w:tcPr>
          <w:p>
            <w:r/>
            <w:r>
              <w:rPr>
                <w:rFonts w:ascii="Calibri" w:hAnsi="Calibri"/>
                <w:sz w:val="16"/>
              </w:rPr>
              <w:t>ADR 5.1(8) / UN 2014 /</w:t>
              <w:br/>
              <w:t>PG II. Niet mengen met</w:t>
              <w:br/>
              <w:t>brandbare stoffen.</w:t>
            </w:r>
          </w:p>
        </w:tc>
      </w:tr>
      <w:tr>
        <w:tc>
          <w:tcPr>
            <w:tcW w:type="dxa" w:w="1872"/>
          </w:tcPr>
          <w:p>
            <w:r/>
            <w:r>
              <w:rPr>
                <w:rFonts w:ascii="Calibri" w:hAnsi="Calibri"/>
                <w:sz w:val="16"/>
              </w:rPr>
              <w:t>Natriumpersulfaat</w:t>
              <w:br/>
              <w:t>(Na₂S₂O₈, IC-04)</w:t>
            </w:r>
          </w:p>
        </w:tc>
        <w:tc>
          <w:tcPr>
            <w:tcW w:type="dxa" w:w="1872"/>
          </w:tcPr>
          <w:p>
            <w:r/>
            <w:r>
              <w:rPr>
                <w:rFonts w:ascii="Calibri" w:hAnsi="Calibri"/>
                <w:sz w:val="16"/>
              </w:rPr>
              <w:t>Oxiderend, irriterend,</w:t>
              <w:br/>
              <w:t>sensibiliserend—H272,</w:t>
              <w:br/>
              <w:t>H302, H315, H317,</w:t>
              <w:br/>
              <w:t>H319, H334, H335</w:t>
            </w:r>
          </w:p>
        </w:tc>
        <w:tc>
          <w:tcPr>
            <w:tcW w:type="dxa" w:w="1872"/>
          </w:tcPr>
          <w:p>
            <w:r/>
            <w:r>
              <w:rPr>
                <w:rFonts w:ascii="Calibri" w:hAnsi="Calibri"/>
                <w:sz w:val="16"/>
              </w:rPr>
              <w:t>GHS03, GHS07,</w:t>
              <w:br/>
              <w:t>GHS08</w:t>
            </w:r>
          </w:p>
        </w:tc>
        <w:tc>
          <w:tcPr>
            <w:tcW w:type="dxa" w:w="1872"/>
          </w:tcPr>
          <w:p>
            <w:r/>
            <w:r>
              <w:rPr>
                <w:rFonts w:ascii="Calibri" w:hAnsi="Calibri"/>
                <w:sz w:val="16"/>
              </w:rPr>
              <w:t>Stofmasker P2,</w:t>
              <w:br/>
              <w:t>nitril handschoenen,</w:t>
              <w:br/>
              <w:t>veiligheidsbril</w:t>
            </w:r>
          </w:p>
        </w:tc>
        <w:tc>
          <w:tcPr>
            <w:tcW w:type="dxa" w:w="1872"/>
          </w:tcPr>
          <w:p>
            <w:r/>
            <w:r>
              <w:rPr>
                <w:rFonts w:ascii="Calibri" w:hAnsi="Calibri"/>
                <w:sz w:val="16"/>
              </w:rPr>
              <w:t>ADR 5.1 / UN 1505 /</w:t>
              <w:br/>
              <w:t>PG III. Respiratoire</w:t>
              <w:br/>
              <w:t>sensibilisator (H334).</w:t>
            </w:r>
          </w:p>
        </w:tc>
      </w:tr>
      <w:tr>
        <w:tc>
          <w:tcPr>
            <w:tcW w:type="dxa" w:w="1872"/>
          </w:tcPr>
          <w:p>
            <w:r/>
            <w:r>
              <w:rPr>
                <w:rFonts w:ascii="Calibri" w:hAnsi="Calibri"/>
                <w:sz w:val="16"/>
              </w:rPr>
              <w:t>Zoutzuur 20%</w:t>
              <w:br/>
              <w:t>(HCl, IC-05)</w:t>
            </w:r>
          </w:p>
        </w:tc>
        <w:tc>
          <w:tcPr>
            <w:tcW w:type="dxa" w:w="1872"/>
          </w:tcPr>
          <w:p>
            <w:r/>
            <w:r>
              <w:rPr>
                <w:rFonts w:ascii="Calibri" w:hAnsi="Calibri"/>
                <w:sz w:val="16"/>
              </w:rPr>
              <w:t>Bijtend, irriterend—</w:t>
              <w:br/>
              <w:t>H290, H315, H319,</w:t>
              <w:br/>
              <w:t>H335</w:t>
            </w:r>
          </w:p>
        </w:tc>
        <w:tc>
          <w:tcPr>
            <w:tcW w:type="dxa" w:w="1872"/>
          </w:tcPr>
          <w:p>
            <w:r/>
            <w:r>
              <w:rPr>
                <w:rFonts w:ascii="Calibri" w:hAnsi="Calibri"/>
                <w:sz w:val="16"/>
              </w:rPr>
              <w:t>GHS05, GHS07</w:t>
            </w:r>
          </w:p>
        </w:tc>
        <w:tc>
          <w:tcPr>
            <w:tcW w:type="dxa" w:w="1872"/>
          </w:tcPr>
          <w:p>
            <w:r/>
            <w:r>
              <w:rPr>
                <w:rFonts w:ascii="Calibri" w:hAnsi="Calibri"/>
                <w:sz w:val="16"/>
              </w:rPr>
              <w:t>Zuur-bestendige</w:t>
              <w:br/>
              <w:t>handschoenen,</w:t>
              <w:br/>
              <w:t>gezichtsscherm</w:t>
            </w:r>
          </w:p>
        </w:tc>
        <w:tc>
          <w:tcPr>
            <w:tcW w:type="dxa" w:w="1872"/>
          </w:tcPr>
          <w:p>
            <w:r/>
            <w:r>
              <w:rPr>
                <w:rFonts w:ascii="Calibri" w:hAnsi="Calibri"/>
                <w:sz w:val="16"/>
              </w:rPr>
              <w:t>ADR 8 / UN 1789 /</w:t>
              <w:br/>
              <w:t>PG II. Dampen irriteren</w:t>
              <w:br/>
              <w:t>ademhalingswegen.</w:t>
            </w:r>
          </w:p>
        </w:tc>
      </w:tr>
      <w:tr>
        <w:tc>
          <w:tcPr>
            <w:tcW w:type="dxa" w:w="1872"/>
          </w:tcPr>
          <w:p>
            <w:r/>
            <w:r>
              <w:rPr>
                <w:rFonts w:ascii="Calibri" w:hAnsi="Calibri"/>
                <w:sz w:val="16"/>
              </w:rPr>
              <w:t>Calciumsulfaat/silica</w:t>
              <w:br/>
              <w:t>(CaSO₄/SiO₂, IM-01)</w:t>
            </w:r>
          </w:p>
        </w:tc>
        <w:tc>
          <w:tcPr>
            <w:tcW w:type="dxa" w:w="1872"/>
          </w:tcPr>
          <w:p>
            <w:r/>
            <w:r>
              <w:rPr>
                <w:rFonts w:ascii="Calibri" w:hAnsi="Calibri"/>
                <w:sz w:val="16"/>
              </w:rPr>
              <w:t>Geen H-codes</w:t>
              <w:br/>
              <w:t>(ongeclassificeerd)</w:t>
            </w:r>
          </w:p>
        </w:tc>
        <w:tc>
          <w:tcPr>
            <w:tcW w:type="dxa" w:w="1872"/>
          </w:tcPr>
          <w:p>
            <w:r/>
            <w:r>
              <w:rPr>
                <w:rFonts w:ascii="Calibri" w:hAnsi="Calibri"/>
                <w:sz w:val="16"/>
              </w:rPr>
              <w:t>Geen</w:t>
            </w:r>
          </w:p>
        </w:tc>
        <w:tc>
          <w:tcPr>
            <w:tcW w:type="dxa" w:w="1872"/>
          </w:tcPr>
          <w:p>
            <w:r/>
            <w:r>
              <w:rPr>
                <w:rFonts w:ascii="Calibri" w:hAnsi="Calibri"/>
                <w:sz w:val="16"/>
              </w:rPr>
              <w:t>Standaard PBM</w:t>
              <w:br/>
              <w:t>(volstaat)</w:t>
            </w:r>
          </w:p>
        </w:tc>
        <w:tc>
          <w:tcPr>
            <w:tcW w:type="dxa" w:w="1872"/>
          </w:tcPr>
          <w:p>
            <w:r/>
            <w:r>
              <w:rPr>
                <w:rFonts w:ascii="Calibri" w:hAnsi="Calibri"/>
                <w:sz w:val="16"/>
              </w:rPr>
              <w:t>Mengsel. Individuele</w:t>
              <w:br/>
              <w:t>componenten niet</w:t>
              <w:br/>
              <w:t>gevaarlijk.</w:t>
            </w:r>
          </w:p>
        </w:tc>
      </w:tr>
      <w:tr>
        <w:tc>
          <w:tcPr>
            <w:tcW w:type="dxa" w:w="1872"/>
          </w:tcPr>
          <w:p>
            <w:r/>
            <w:r>
              <w:rPr>
                <w:rFonts w:ascii="Calibri" w:hAnsi="Calibri"/>
                <w:sz w:val="16"/>
              </w:rPr>
              <w:t>Natriumsulfaat</w:t>
              <w:br/>
              <w:t>(Na₂SO₄·10H₂O, IM-02)</w:t>
            </w:r>
          </w:p>
        </w:tc>
        <w:tc>
          <w:tcPr>
            <w:tcW w:type="dxa" w:w="1872"/>
          </w:tcPr>
          <w:p>
            <w:r/>
            <w:r>
              <w:rPr>
                <w:rFonts w:ascii="Calibri" w:hAnsi="Calibri"/>
                <w:sz w:val="16"/>
              </w:rPr>
              <w:t>Geen H-codes</w:t>
              <w:br/>
              <w:t>(ongeclassificeerd)</w:t>
            </w:r>
          </w:p>
        </w:tc>
        <w:tc>
          <w:tcPr>
            <w:tcW w:type="dxa" w:w="1872"/>
          </w:tcPr>
          <w:p>
            <w:r/>
            <w:r>
              <w:rPr>
                <w:rFonts w:ascii="Calibri" w:hAnsi="Calibri"/>
                <w:sz w:val="16"/>
              </w:rPr>
              <w:t>Geen</w:t>
            </w:r>
          </w:p>
        </w:tc>
        <w:tc>
          <w:tcPr>
            <w:tcW w:type="dxa" w:w="1872"/>
          </w:tcPr>
          <w:p>
            <w:r/>
            <w:r>
              <w:rPr>
                <w:rFonts w:ascii="Calibri" w:hAnsi="Calibri"/>
                <w:sz w:val="16"/>
              </w:rPr>
              <w:t>Standaard PBM</w:t>
              <w:br/>
              <w:t>(volstaat)</w:t>
            </w:r>
          </w:p>
        </w:tc>
        <w:tc>
          <w:tcPr>
            <w:tcW w:type="dxa" w:w="1872"/>
          </w:tcPr>
          <w:p>
            <w:r/>
            <w:r>
              <w:rPr>
                <w:rFonts w:ascii="Calibri" w:hAnsi="Calibri"/>
                <w:sz w:val="16"/>
              </w:rPr>
              <w:t>Niet ADR-gereguleerd.</w:t>
              <w:br/>
              <w:t>Hygroscopisch.</w:t>
            </w:r>
          </w:p>
        </w:tc>
      </w:tr>
      <w:tr>
        <w:tc>
          <w:tcPr>
            <w:tcW w:type="dxa" w:w="1872"/>
          </w:tcPr>
          <w:p>
            <w:r/>
            <w:r>
              <w:rPr>
                <w:rFonts w:ascii="Calibri" w:hAnsi="Calibri"/>
                <w:sz w:val="16"/>
              </w:rPr>
              <w:t>Trinatriumorthovanadaat</w:t>
              <w:br/>
              <w:t>(Na₃VO₄, IM-03)</w:t>
            </w:r>
          </w:p>
        </w:tc>
        <w:tc>
          <w:tcPr>
            <w:tcW w:type="dxa" w:w="1872"/>
          </w:tcPr>
          <w:p>
            <w:r/>
            <w:r>
              <w:rPr>
                <w:rFonts w:ascii="Calibri" w:hAnsi="Calibri"/>
                <w:sz w:val="16"/>
              </w:rPr>
              <w:t>Irriterend—H302,</w:t>
              <w:br/>
              <w:t>H312, H315, H319,</w:t>
              <w:br/>
              <w:t>H332</w:t>
            </w:r>
          </w:p>
        </w:tc>
        <w:tc>
          <w:tcPr>
            <w:tcW w:type="dxa" w:w="1872"/>
          </w:tcPr>
          <w:p>
            <w:r/>
            <w:r>
              <w:rPr>
                <w:rFonts w:ascii="Calibri" w:hAnsi="Calibri"/>
                <w:sz w:val="16"/>
              </w:rPr>
              <w:t>GHS07</w:t>
            </w:r>
          </w:p>
        </w:tc>
        <w:tc>
          <w:tcPr>
            <w:tcW w:type="dxa" w:w="1872"/>
          </w:tcPr>
          <w:p>
            <w:r/>
            <w:r>
              <w:rPr>
                <w:rFonts w:ascii="Calibri" w:hAnsi="Calibri"/>
                <w:sz w:val="16"/>
              </w:rPr>
              <w:t>Nitril handschoenen,</w:t>
              <w:br/>
              <w:t>veiligheidsbril, labjas</w:t>
            </w:r>
          </w:p>
        </w:tc>
        <w:tc>
          <w:tcPr>
            <w:tcW w:type="dxa" w:w="1872"/>
          </w:tcPr>
          <w:p>
            <w:r/>
            <w:r>
              <w:rPr>
                <w:rFonts w:ascii="Calibri" w:hAnsi="Calibri"/>
                <w:sz w:val="16"/>
              </w:rPr>
              <w:t>Niet ADR-gereguleerd.</w:t>
              <w:br/>
              <w:t>Vanadiumverbinding—</w:t>
              <w:br/>
              <w:t>voorkom inademing.</w:t>
            </w:r>
          </w:p>
        </w:tc>
      </w:tr>
      <w:tr>
        <w:tc>
          <w:tcPr>
            <w:tcW w:type="dxa" w:w="1872"/>
          </w:tcPr>
          <w:p>
            <w:r/>
            <w:r>
              <w:rPr>
                <w:rFonts w:ascii="Calibri" w:hAnsi="Calibri"/>
                <w:sz w:val="16"/>
              </w:rPr>
              <w:t>Natriummetavanadaat</w:t>
              <w:br/>
              <w:t>(NaVO₃, IM-04)</w:t>
            </w:r>
          </w:p>
        </w:tc>
        <w:tc>
          <w:tcPr>
            <w:tcW w:type="dxa" w:w="1872"/>
          </w:tcPr>
          <w:p>
            <w:r/>
            <w:r>
              <w:rPr>
                <w:rFonts w:ascii="Calibri" w:hAnsi="Calibri"/>
                <w:sz w:val="16"/>
              </w:rPr>
              <w:t>Giftig, mutageen,</w:t>
              <w:br/>
              <w:t>carcinogeen verdenking—</w:t>
              <w:br/>
              <w:t>H301, H319, H332,</w:t>
              <w:br/>
              <w:t>H341, H361fd, H372,</w:t>
              <w:br/>
              <w:t>H411</w:t>
            </w:r>
          </w:p>
        </w:tc>
        <w:tc>
          <w:tcPr>
            <w:tcW w:type="dxa" w:w="1872"/>
          </w:tcPr>
          <w:p>
            <w:r/>
            <w:r>
              <w:rPr>
                <w:rFonts w:ascii="Calibri" w:hAnsi="Calibri"/>
                <w:sz w:val="16"/>
              </w:rPr>
              <w:t>GHS06, GHS08,</w:t>
              <w:br/>
              <w:t>GHS09</w:t>
            </w:r>
          </w:p>
        </w:tc>
        <w:tc>
          <w:tcPr>
            <w:tcW w:type="dxa" w:w="1872"/>
          </w:tcPr>
          <w:p>
            <w:r/>
            <w:r>
              <w:rPr>
                <w:rFonts w:ascii="Calibri" w:hAnsi="Calibri"/>
                <w:sz w:val="16"/>
              </w:rPr>
              <w:t>Chemisch bestendige</w:t>
              <w:br/>
              <w:t>handschoenen,</w:t>
              <w:br/>
              <w:t>gezichtsscherm,</w:t>
              <w:br/>
              <w:t>stofmasker P3</w:t>
            </w:r>
          </w:p>
        </w:tc>
        <w:tc>
          <w:tcPr>
            <w:tcW w:type="dxa" w:w="1872"/>
          </w:tcPr>
          <w:p>
            <w:r/>
            <w:r>
              <w:rPr>
                <w:rFonts w:ascii="Calibri" w:hAnsi="Calibri"/>
                <w:sz w:val="16"/>
              </w:rPr>
              <w:t>ADR 6.1 / UN 3285 /</w:t>
              <w:br/>
              <w:t>PG III. H341 (Muta. 2)</w:t>
              <w:br/>
              <w:t>toegevoegd per Merck</w:t>
              <w:br/>
              <w:t>SDS. Milieugevaarlijk.</w:t>
            </w:r>
          </w:p>
        </w:tc>
      </w:tr>
      <w:tr>
        <w:tc>
          <w:tcPr>
            <w:tcW w:type="dxa" w:w="1872"/>
          </w:tcPr>
          <w:p>
            <w:r/>
            <w:r>
              <w:rPr>
                <w:rFonts w:ascii="Calibri" w:hAnsi="Calibri"/>
                <w:sz w:val="16"/>
              </w:rPr>
              <w:t>Calciumhydroxide</w:t>
              <w:br/>
              <w:t>(Ca(OH)₂, EP-01)</w:t>
            </w:r>
          </w:p>
        </w:tc>
        <w:tc>
          <w:tcPr>
            <w:tcW w:type="dxa" w:w="1872"/>
          </w:tcPr>
          <w:p>
            <w:r/>
            <w:r>
              <w:rPr>
                <w:rFonts w:ascii="Calibri" w:hAnsi="Calibri"/>
                <w:sz w:val="16"/>
              </w:rPr>
              <w:t>Irriterend, oogschade—</w:t>
              <w:br/>
              <w:t>H315, H318, H335</w:t>
            </w:r>
          </w:p>
        </w:tc>
        <w:tc>
          <w:tcPr>
            <w:tcW w:type="dxa" w:w="1872"/>
          </w:tcPr>
          <w:p>
            <w:r/>
            <w:r>
              <w:rPr>
                <w:rFonts w:ascii="Calibri" w:hAnsi="Calibri"/>
                <w:sz w:val="16"/>
              </w:rPr>
              <w:t>GHS05, GHS07</w:t>
            </w:r>
          </w:p>
        </w:tc>
        <w:tc>
          <w:tcPr>
            <w:tcW w:type="dxa" w:w="1872"/>
          </w:tcPr>
          <w:p>
            <w:r/>
            <w:r>
              <w:rPr>
                <w:rFonts w:ascii="Calibri" w:hAnsi="Calibri"/>
                <w:sz w:val="16"/>
              </w:rPr>
              <w:t>Nitril handschoenen,</w:t>
              <w:br/>
              <w:t>veiligheidsbril,</w:t>
              <w:br/>
              <w:t>stofmasker P2</w:t>
            </w:r>
          </w:p>
        </w:tc>
        <w:tc>
          <w:tcPr>
            <w:tcW w:type="dxa" w:w="1872"/>
          </w:tcPr>
          <w:p>
            <w:r/>
            <w:r>
              <w:rPr>
                <w:rFonts w:ascii="Calibri" w:hAnsi="Calibri"/>
                <w:sz w:val="16"/>
              </w:rPr>
              <w:t>Niet ADR-gereguleerd.</w:t>
              <w:br/>
              <w:t>Reageert exotherm met</w:t>
              <w:br/>
              <w:t>water.</w:t>
            </w:r>
          </w:p>
        </w:tc>
      </w:tr>
      <w:tr>
        <w:tc>
          <w:tcPr>
            <w:tcW w:type="dxa" w:w="1872"/>
          </w:tcPr>
          <w:p>
            <w:r/>
            <w:r>
              <w:rPr>
                <w:rFonts w:ascii="Calibri" w:hAnsi="Calibri"/>
                <w:sz w:val="16"/>
              </w:rPr>
              <w:t>Silica, neergeslagen</w:t>
              <w:br/>
              <w:t>(amorf, EP-02)</w:t>
            </w:r>
          </w:p>
        </w:tc>
        <w:tc>
          <w:tcPr>
            <w:tcW w:type="dxa" w:w="1872"/>
          </w:tcPr>
          <w:p>
            <w:r/>
            <w:r>
              <w:rPr>
                <w:rFonts w:ascii="Calibri" w:hAnsi="Calibri"/>
                <w:sz w:val="16"/>
              </w:rPr>
              <w:t>Geen H-codes</w:t>
              <w:br/>
              <w:t>(ongeclassificeerd)</w:t>
            </w:r>
          </w:p>
        </w:tc>
        <w:tc>
          <w:tcPr>
            <w:tcW w:type="dxa" w:w="1872"/>
          </w:tcPr>
          <w:p>
            <w:r/>
            <w:r>
              <w:rPr>
                <w:rFonts w:ascii="Calibri" w:hAnsi="Calibri"/>
                <w:sz w:val="16"/>
              </w:rPr>
              <w:t>Geen</w:t>
            </w:r>
          </w:p>
        </w:tc>
        <w:tc>
          <w:tcPr>
            <w:tcW w:type="dxa" w:w="1872"/>
          </w:tcPr>
          <w:p>
            <w:r/>
            <w:r>
              <w:rPr>
                <w:rFonts w:ascii="Calibri" w:hAnsi="Calibri"/>
                <w:sz w:val="16"/>
              </w:rPr>
              <w:t>Stofmasker P2 bij</w:t>
              <w:br/>
              <w:t>stofvorming</w:t>
            </w:r>
          </w:p>
        </w:tc>
        <w:tc>
          <w:tcPr>
            <w:tcW w:type="dxa" w:w="1872"/>
          </w:tcPr>
          <w:p>
            <w:r/>
            <w:r>
              <w:rPr>
                <w:rFonts w:ascii="Calibri" w:hAnsi="Calibri"/>
                <w:sz w:val="16"/>
              </w:rPr>
              <w:t>Amorfe silica.</w:t>
              <w:br/>
              <w:t>Niet kristallijn.</w:t>
              <w:br/>
              <w:t>Niet ADR-gereguleerd.</w:t>
            </w:r>
          </w:p>
        </w:tc>
      </w:tr>
      <w:tr>
        <w:tc>
          <w:tcPr>
            <w:tcW w:type="dxa" w:w="1872"/>
          </w:tcPr>
          <w:p>
            <w:r/>
            <w:r>
              <w:rPr>
                <w:rFonts w:ascii="Calibri" w:hAnsi="Calibri"/>
                <w:sz w:val="16"/>
              </w:rPr>
              <w:t>IJzeroxide</w:t>
              <w:br/>
              <w:t>(Fe₂O₃, EP-03)</w:t>
            </w:r>
          </w:p>
        </w:tc>
        <w:tc>
          <w:tcPr>
            <w:tcW w:type="dxa" w:w="1872"/>
          </w:tcPr>
          <w:p>
            <w:r/>
            <w:r>
              <w:rPr>
                <w:rFonts w:ascii="Calibri" w:hAnsi="Calibri"/>
                <w:sz w:val="16"/>
              </w:rPr>
              <w:t>Geen H-codes</w:t>
              <w:br/>
              <w:t>(ongeclassificeerd)</w:t>
            </w:r>
          </w:p>
        </w:tc>
        <w:tc>
          <w:tcPr>
            <w:tcW w:type="dxa" w:w="1872"/>
          </w:tcPr>
          <w:p>
            <w:r/>
            <w:r>
              <w:rPr>
                <w:rFonts w:ascii="Calibri" w:hAnsi="Calibri"/>
                <w:sz w:val="16"/>
              </w:rPr>
              <w:t>Geen</w:t>
            </w:r>
          </w:p>
        </w:tc>
        <w:tc>
          <w:tcPr>
            <w:tcW w:type="dxa" w:w="1872"/>
          </w:tcPr>
          <w:p>
            <w:r/>
            <w:r>
              <w:rPr>
                <w:rFonts w:ascii="Calibri" w:hAnsi="Calibri"/>
                <w:sz w:val="16"/>
              </w:rPr>
              <w:t>Standaard PBM</w:t>
              <w:br/>
              <w:t>(volstaat)</w:t>
            </w:r>
          </w:p>
        </w:tc>
        <w:tc>
          <w:tcPr>
            <w:tcW w:type="dxa" w:w="1872"/>
          </w:tcPr>
          <w:p>
            <w:r/>
            <w:r>
              <w:rPr>
                <w:rFonts w:ascii="Calibri" w:hAnsi="Calibri"/>
                <w:sz w:val="16"/>
              </w:rPr>
              <w:t>Niet ADR-gereguleerd.</w:t>
              <w:br/>
              <w:t>Stofvorming mogelijk.</w:t>
            </w:r>
          </w:p>
        </w:tc>
      </w:tr>
      <w:tr>
        <w:tc>
          <w:tcPr>
            <w:tcW w:type="dxa" w:w="1872"/>
          </w:tcPr>
          <w:p>
            <w:r/>
            <w:r>
              <w:rPr>
                <w:rFonts w:ascii="Calibri" w:hAnsi="Calibri"/>
                <w:sz w:val="16"/>
              </w:rPr>
              <w:t>Mangaan(IV)oxide</w:t>
              <w:br/>
              <w:t>(MnO₂, EP-04)</w:t>
            </w:r>
          </w:p>
        </w:tc>
        <w:tc>
          <w:tcPr>
            <w:tcW w:type="dxa" w:w="1872"/>
          </w:tcPr>
          <w:p>
            <w:r/>
            <w:r>
              <w:rPr>
                <w:rFonts w:ascii="Calibri" w:hAnsi="Calibri"/>
                <w:sz w:val="16"/>
              </w:rPr>
              <w:t>Schadelijk—H302,</w:t>
              <w:br/>
              <w:t>H332, H373</w:t>
            </w:r>
          </w:p>
        </w:tc>
        <w:tc>
          <w:tcPr>
            <w:tcW w:type="dxa" w:w="1872"/>
          </w:tcPr>
          <w:p>
            <w:r/>
            <w:r>
              <w:rPr>
                <w:rFonts w:ascii="Calibri" w:hAnsi="Calibri"/>
                <w:sz w:val="16"/>
              </w:rPr>
              <w:t>GHS07, GHS08</w:t>
            </w:r>
          </w:p>
        </w:tc>
        <w:tc>
          <w:tcPr>
            <w:tcW w:type="dxa" w:w="1872"/>
          </w:tcPr>
          <w:p>
            <w:r/>
            <w:r>
              <w:rPr>
                <w:rFonts w:ascii="Calibri" w:hAnsi="Calibri"/>
                <w:sz w:val="16"/>
              </w:rPr>
              <w:t>Nitril handschoenen,</w:t>
              <w:br/>
              <w:t>veiligheidsbril,</w:t>
              <w:br/>
              <w:t>stofmasker P2</w:t>
            </w:r>
          </w:p>
        </w:tc>
        <w:tc>
          <w:tcPr>
            <w:tcW w:type="dxa" w:w="1872"/>
          </w:tcPr>
          <w:p>
            <w:r/>
            <w:r>
              <w:rPr>
                <w:rFonts w:ascii="Calibri" w:hAnsi="Calibri"/>
                <w:sz w:val="16"/>
              </w:rPr>
              <w:t>Niet ADR-gereguleerd.</w:t>
              <w:br/>
              <w:t>Lange-termijn schade</w:t>
              <w:br/>
              <w:t>organen (H373).</w:t>
            </w:r>
          </w:p>
        </w:tc>
      </w:tr>
      <w:tr>
        <w:tc>
          <w:tcPr>
            <w:tcW w:type="dxa" w:w="1872"/>
          </w:tcPr>
          <w:p>
            <w:r/>
            <w:r>
              <w:rPr>
                <w:rFonts w:ascii="Calibri" w:hAnsi="Calibri"/>
                <w:sz w:val="16"/>
              </w:rPr>
              <w:t>Magnesiumhydroxide</w:t>
              <w:br/>
              <w:t>(Mg(OH)₂, EP-05)</w:t>
            </w:r>
          </w:p>
        </w:tc>
        <w:tc>
          <w:tcPr>
            <w:tcW w:type="dxa" w:w="1872"/>
          </w:tcPr>
          <w:p>
            <w:r/>
            <w:r>
              <w:rPr>
                <w:rFonts w:ascii="Calibri" w:hAnsi="Calibri"/>
                <w:sz w:val="16"/>
              </w:rPr>
              <w:t>Geen H-codes</w:t>
              <w:br/>
              <w:t>(ongeclassificeerd)</w:t>
            </w:r>
          </w:p>
        </w:tc>
        <w:tc>
          <w:tcPr>
            <w:tcW w:type="dxa" w:w="1872"/>
          </w:tcPr>
          <w:p>
            <w:r/>
            <w:r>
              <w:rPr>
                <w:rFonts w:ascii="Calibri" w:hAnsi="Calibri"/>
                <w:sz w:val="16"/>
              </w:rPr>
              <w:t>Geen</w:t>
            </w:r>
          </w:p>
        </w:tc>
        <w:tc>
          <w:tcPr>
            <w:tcW w:type="dxa" w:w="1872"/>
          </w:tcPr>
          <w:p>
            <w:r/>
            <w:r>
              <w:rPr>
                <w:rFonts w:ascii="Calibri" w:hAnsi="Calibri"/>
                <w:sz w:val="16"/>
              </w:rPr>
              <w:t>Standaard PBM</w:t>
              <w:br/>
              <w:t>(volstaat)</w:t>
            </w:r>
          </w:p>
        </w:tc>
        <w:tc>
          <w:tcPr>
            <w:tcW w:type="dxa" w:w="1872"/>
          </w:tcPr>
          <w:p>
            <w:r/>
            <w:r>
              <w:rPr>
                <w:rFonts w:ascii="Calibri" w:hAnsi="Calibri"/>
                <w:sz w:val="16"/>
              </w:rPr>
              <w:t>Niet ADR-gereguleerd.</w:t>
              <w:br/>
              <w:t>Zwak basisch.</w:t>
            </w:r>
          </w:p>
        </w:tc>
      </w:tr>
      <w:tr>
        <w:tc>
          <w:tcPr>
            <w:tcW w:type="dxa" w:w="1872"/>
          </w:tcPr>
          <w:p>
            <w:r/>
            <w:r>
              <w:rPr>
                <w:rFonts w:ascii="Calibri" w:hAnsi="Calibri"/>
                <w:sz w:val="16"/>
              </w:rPr>
              <w:t>Natriumaluminaat</w:t>
              <w:br/>
              <w:t>oplossing (NaAlO₂,</w:t>
              <w:br/>
              <w:t>EP-06)</w:t>
            </w:r>
          </w:p>
        </w:tc>
        <w:tc>
          <w:tcPr>
            <w:tcW w:type="dxa" w:w="1872"/>
          </w:tcPr>
          <w:p>
            <w:r/>
            <w:r>
              <w:rPr>
                <w:rFonts w:ascii="Calibri" w:hAnsi="Calibri"/>
                <w:sz w:val="16"/>
              </w:rPr>
              <w:t>Bijtend—H290, H314,</w:t>
              <w:br/>
              <w:t>H318</w:t>
            </w:r>
          </w:p>
        </w:tc>
        <w:tc>
          <w:tcPr>
            <w:tcW w:type="dxa" w:w="1872"/>
          </w:tcPr>
          <w:p>
            <w:r/>
            <w:r>
              <w:rPr>
                <w:rFonts w:ascii="Calibri" w:hAnsi="Calibri"/>
                <w:sz w:val="16"/>
              </w:rPr>
              <w:t>GHS05</w:t>
            </w:r>
          </w:p>
        </w:tc>
        <w:tc>
          <w:tcPr>
            <w:tcW w:type="dxa" w:w="1872"/>
          </w:tcPr>
          <w:p>
            <w:r/>
            <w:r>
              <w:rPr>
                <w:rFonts w:ascii="Calibri" w:hAnsi="Calibri"/>
                <w:sz w:val="16"/>
              </w:rPr>
              <w:t>Zuur-bestendige</w:t>
              <w:br/>
              <w:t>handschoenen,</w:t>
              <w:br/>
              <w:t>gezichtsscherm,</w:t>
              <w:br/>
              <w:t>zuur-bestendig schort</w:t>
            </w:r>
          </w:p>
        </w:tc>
        <w:tc>
          <w:tcPr>
            <w:tcW w:type="dxa" w:w="1872"/>
          </w:tcPr>
          <w:p>
            <w:r/>
            <w:r>
              <w:rPr>
                <w:rFonts w:ascii="Calibri" w:hAnsi="Calibri"/>
                <w:sz w:val="16"/>
              </w:rPr>
              <w:t>ADR 8 / UN 1819 /</w:t>
              <w:br/>
              <w:t>PG II ⚠️ (List zegt PG III,</w:t>
              <w:br/>
              <w:t>SDS bevestigt PG II).</w:t>
              <w:br/>
              <w:t>H290 toegevoegd. pH &gt;13.</w:t>
            </w:r>
          </w:p>
        </w:tc>
      </w:tr>
      <w:tr>
        <w:tc>
          <w:tcPr>
            <w:tcW w:type="dxa" w:w="1872"/>
          </w:tcPr>
          <w:p>
            <w:r/>
            <w:r>
              <w:rPr>
                <w:rFonts w:ascii="Calibri" w:hAnsi="Calibri"/>
                <w:sz w:val="16"/>
              </w:rPr>
              <w:t>Natriumfosfaat</w:t>
              <w:br/>
              <w:t>(Na₃PO₄, EP-07)</w:t>
            </w:r>
          </w:p>
        </w:tc>
        <w:tc>
          <w:tcPr>
            <w:tcW w:type="dxa" w:w="1872"/>
          </w:tcPr>
          <w:p>
            <w:r/>
            <w:r>
              <w:rPr>
                <w:rFonts w:ascii="Calibri" w:hAnsi="Calibri"/>
                <w:sz w:val="16"/>
              </w:rPr>
              <w:t>Irriterend—H315,</w:t>
              <w:br/>
              <w:t>H319, H335</w:t>
            </w:r>
          </w:p>
        </w:tc>
        <w:tc>
          <w:tcPr>
            <w:tcW w:type="dxa" w:w="1872"/>
          </w:tcPr>
          <w:p>
            <w:r/>
            <w:r>
              <w:rPr>
                <w:rFonts w:ascii="Calibri" w:hAnsi="Calibri"/>
                <w:sz w:val="16"/>
              </w:rPr>
              <w:t>GHS07</w:t>
            </w:r>
          </w:p>
        </w:tc>
        <w:tc>
          <w:tcPr>
            <w:tcW w:type="dxa" w:w="1872"/>
          </w:tcPr>
          <w:p>
            <w:r/>
            <w:r>
              <w:rPr>
                <w:rFonts w:ascii="Calibri" w:hAnsi="Calibri"/>
                <w:sz w:val="16"/>
              </w:rPr>
              <w:t>Nitril handschoenen,</w:t>
              <w:br/>
              <w:t>veiligheidsbril</w:t>
            </w:r>
          </w:p>
        </w:tc>
        <w:tc>
          <w:tcPr>
            <w:tcW w:type="dxa" w:w="1872"/>
          </w:tcPr>
          <w:p>
            <w:r/>
            <w:r>
              <w:rPr>
                <w:rFonts w:ascii="Calibri" w:hAnsi="Calibri"/>
                <w:sz w:val="16"/>
              </w:rPr>
              <w:t>Niet ADR-gereguleerd.</w:t>
              <w:br/>
              <w:t>Waarschuwingssignaal.</w:t>
            </w:r>
          </w:p>
        </w:tc>
      </w:tr>
      <w:tr>
        <w:tc>
          <w:tcPr>
            <w:tcW w:type="dxa" w:w="1872"/>
          </w:tcPr>
          <w:p>
            <w:r/>
            <w:r>
              <w:rPr>
                <w:rFonts w:ascii="Calibri" w:hAnsi="Calibri"/>
                <w:sz w:val="16"/>
              </w:rPr>
              <w:t>Vanadiumpentoxide</w:t>
              <w:br/>
              <w:t>(V₂O₅, EP-08)</w:t>
            </w:r>
          </w:p>
        </w:tc>
        <w:tc>
          <w:tcPr>
            <w:tcW w:type="dxa" w:w="1872"/>
          </w:tcPr>
          <w:p>
            <w:r/>
            <w:r>
              <w:rPr>
                <w:rFonts w:ascii="Calibri" w:hAnsi="Calibri"/>
                <w:sz w:val="16"/>
              </w:rPr>
              <w:t>Giftig, carcinogeen,</w:t>
              <w:br/>
              <w:t>mutageen—H301, H318,</w:t>
              <w:br/>
              <w:t>H330, H335, H341,</w:t>
              <w:br/>
              <w:t>H350, H361fd, H362,</w:t>
              <w:br/>
              <w:t>H372, H411</w:t>
            </w:r>
          </w:p>
        </w:tc>
        <w:tc>
          <w:tcPr>
            <w:tcW w:type="dxa" w:w="1872"/>
          </w:tcPr>
          <w:p>
            <w:r/>
            <w:r>
              <w:rPr>
                <w:rFonts w:ascii="Calibri" w:hAnsi="Calibri"/>
                <w:sz w:val="16"/>
              </w:rPr>
              <w:t>GHS05, GHS06,</w:t>
              <w:br/>
              <w:t>GHS08, GHS09</w:t>
            </w:r>
          </w:p>
        </w:tc>
        <w:tc>
          <w:tcPr>
            <w:tcW w:type="dxa" w:w="1872"/>
          </w:tcPr>
          <w:p>
            <w:r/>
            <w:r>
              <w:rPr>
                <w:rFonts w:ascii="Calibri" w:hAnsi="Calibri"/>
                <w:sz w:val="16"/>
              </w:rPr>
              <w:t>Volledige bescherming:</w:t>
              <w:br/>
              <w:t>P3 masker, chemisch</w:t>
              <w:br/>
              <w:t>bestendige handschoenen,</w:t>
              <w:br/>
              <w:t>gezichtsscherm, schort</w:t>
            </w:r>
          </w:p>
        </w:tc>
        <w:tc>
          <w:tcPr>
            <w:tcW w:type="dxa" w:w="1872"/>
          </w:tcPr>
          <w:p>
            <w:r/>
            <w:r>
              <w:rPr>
                <w:rFonts w:ascii="Calibri" w:hAnsi="Calibri"/>
                <w:sz w:val="16"/>
              </w:rPr>
              <w:t>ADR 6.1 / UN 2862 /</w:t>
              <w:br/>
              <w:t>PG III. CARCEROGEEN</w:t>
              <w:br/>
              <w:t>(H350, Carc. 1B).</w:t>
              <w:br/>
              <w:t>Strengste maatregelen</w:t>
              <w:br/>
              <w:t>vereist. H411 milieu.</w:t>
            </w:r>
          </w:p>
        </w:tc>
      </w:tr>
      <w:tr>
        <w:tc>
          <w:tcPr>
            <w:tcW w:type="dxa" w:w="1872"/>
          </w:tcPr>
          <w:p>
            <w:r/>
            <w:r>
              <w:rPr>
                <w:rFonts w:ascii="Calibri" w:hAnsi="Calibri"/>
                <w:sz w:val="16"/>
              </w:rPr>
              <w:t>Vanadiumelektrolyt</w:t>
              <w:br/>
              <w:t>(H₂SO₄/VOSO₄/V₂(SO₄)₃,</w:t>
              <w:br/>
              <w:t>EP-09)</w:t>
            </w:r>
          </w:p>
        </w:tc>
        <w:tc>
          <w:tcPr>
            <w:tcW w:type="dxa" w:w="1872"/>
          </w:tcPr>
          <w:p>
            <w:r/>
            <w:r>
              <w:rPr>
                <w:rFonts w:ascii="Calibri" w:hAnsi="Calibri"/>
                <w:sz w:val="16"/>
              </w:rPr>
              <w:t>Bijtend, giftig,</w:t>
              <w:br/>
              <w:t>reproductief giftig—</w:t>
              <w:br/>
              <w:t>H290, H302, H314,</w:t>
              <w:br/>
              <w:t>H318, H335, H361,</w:t>
              <w:br/>
              <w:t>H370, H372, H401,</w:t>
              <w:br/>
              <w:t>H411</w:t>
            </w:r>
          </w:p>
        </w:tc>
        <w:tc>
          <w:tcPr>
            <w:tcW w:type="dxa" w:w="1872"/>
          </w:tcPr>
          <w:p>
            <w:r/>
            <w:r>
              <w:rPr>
                <w:rFonts w:ascii="Calibri" w:hAnsi="Calibri"/>
                <w:sz w:val="16"/>
              </w:rPr>
              <w:t>GHS05, GHS07,</w:t>
              <w:br/>
              <w:t>GHS08, GHS09</w:t>
            </w:r>
          </w:p>
        </w:tc>
        <w:tc>
          <w:tcPr>
            <w:tcW w:type="dxa" w:w="1872"/>
          </w:tcPr>
          <w:p>
            <w:r/>
            <w:r>
              <w:rPr>
                <w:rFonts w:ascii="Calibri" w:hAnsi="Calibri"/>
                <w:sz w:val="16"/>
              </w:rPr>
              <w:t>Volledige bescherming:</w:t>
              <w:br/>
              <w:t>gezichtsscherm, zuur-</w:t>
              <w:br/>
              <w:t>bestendig schort, P3</w:t>
              <w:br/>
              <w:t>masker bij spatgevaar</w:t>
            </w:r>
          </w:p>
        </w:tc>
        <w:tc>
          <w:tcPr>
            <w:tcW w:type="dxa" w:w="1872"/>
          </w:tcPr>
          <w:p>
            <w:r/>
            <w:r>
              <w:rPr>
                <w:rFonts w:ascii="Calibri" w:hAnsi="Calibri"/>
                <w:sz w:val="16"/>
              </w:rPr>
              <w:t>ADR 8 / UN 2796 /</w:t>
              <w:br/>
              <w:t>PG II. H411 toegevoegd</w:t>
              <w:br/>
              <w:t>per SDS. Multi-</w:t>
              <w:br/>
              <w:t>component mengsel.</w:t>
              <w:br/>
              <w:t>Repr. 2 (H361).</w:t>
            </w:r>
          </w:p>
        </w:tc>
      </w:tr>
    </w:tbl>
    <w:p>
      <w:pPr>
        <w:spacing w:after="120"/>
      </w:pPr>
    </w:p>
    <w:p>
      <w:pPr>
        <w:spacing w:after="120"/>
      </w:pPr>
      <w:r>
        <w:rPr>
          <w:rFonts w:ascii="Calibri" w:hAnsi="Calibri"/>
          <w:sz w:val="22"/>
        </w:rPr>
        <w:t>Natriumaluminaat-oplossing (NaAlO₂, EP-06) en natriumaluminaat zijn sterk basisch (pH &gt;13) en veroorzaken ernstige chemische brandwonden bij huid- en oogcontact. De stof is uiterst reactief met zuren — zelfs kleine hoeveelheden zwavelzuur leiden tot een gewelddadige exotherme reactie met spatten als gevolg. NaAlO₂ is de meest gebruikte base in het lab en wordt opgeslagen in vier jerrycans van 25 liter elk.</w:t>
      </w:r>
    </w:p>
    <w:p>
      <w:pPr>
        <w:spacing w:after="120"/>
      </w:pPr>
      <w:r>
        <w:rPr>
          <w:rFonts w:ascii="Calibri" w:hAnsi="Calibri"/>
          <w:sz w:val="22"/>
        </w:rPr>
        <w:t>Zwavelzuur is aanwezig in concentraties van 25% en 20% HCl. Het vanadium-elektrolyt bevat eveneens zwavelzuur. De hoogste concentratie vereist de strengste veiligheidsmaatregelen: bijverdunning met water komt veel warmte vrij. De gouden regel luidt: voeg altijd zuur aan water toe, nooit omgekeerd. De totale zwavelzuurvoorraad bedraagt 200 liter verdeeld over jerrycans van 10 en 25 liter.</w:t>
      </w:r>
    </w:p>
    <w:p>
      <w:pPr>
        <w:spacing w:after="120"/>
      </w:pPr>
      <w:r>
        <w:rPr>
          <w:rFonts w:ascii="Calibri" w:hAnsi="Calibri"/>
          <w:sz w:val="22"/>
        </w:rPr>
        <w:t>Steelmaking Slag (IC-01), calciumsulfaat/silica, natriumsulfaat, calciumhydroxide, silica, ijzeroxide, mangaandioxide, magnesiumhydroxide en natriumfosfaat zijn vaste stoffen die grotendeels niet onder ADR vallen. Vanadineverbindingen (V₂O₅, NaVO₃, Na₃VO₄) zijn wel gevaarlijk: V₂O₅ is carcinogeen (H350), NaVO₃ is mutageen (H341). Natriumaluminaat (NaAlO₂) is voornamelijk een stof- en irriteringsgevaar. Calciumhydroxide (Ca(OH)₂) (gebluste kalk) reageert exotherm met water en vormt bijtende calciumhydroxide; stofinzinking is irriterend voor de luchtwegen.</w:t>
      </w:r>
    </w:p>
    <w:p>
      <w:pPr>
        <w:pStyle w:val="Heading1"/>
      </w:pPr>
      <w:r>
        <w:rPr>
          <w:rFonts w:ascii="Calibri" w:hAnsi="Calibri"/>
          <w:color w:val="003366"/>
        </w:rPr>
        <w:t>3. Persoonlijke Beschermingsmiddelen</w:t>
      </w:r>
    </w:p>
    <w:p>
      <w:pPr>
        <w:pStyle w:val="Heading2"/>
      </w:pPr>
      <w:r>
        <w:rPr>
          <w:rFonts w:ascii="Calibri" w:hAnsi="Calibri"/>
          <w:color w:val="003366"/>
        </w:rPr>
        <w:t>3.1 Standaard PBM (Altijd Verplicht)</w:t>
      </w:r>
    </w:p>
    <w:p>
      <w:pPr>
        <w:spacing w:after="120"/>
      </w:pPr>
      <w:r>
        <w:rPr>
          <w:rFonts w:ascii="Calibri" w:hAnsi="Calibri"/>
          <w:sz w:val="22"/>
        </w:rPr>
        <w:t>Bij het betreden van het laboratorium en bij elke handeling met gevaarlijke stoffen zijn de volgende standaard beschermingsmiddelen verplicht. Deze vormen het absolute minimum en gelden onverkort, ongeacht de aard van de werkzaamheden. Het niet dragen van standaard PBM resulteert in een directe werkvergunning intrekking.</w:t>
      </w:r>
    </w:p>
    <w:p>
      <w:pPr>
        <w:pStyle w:val="ListBullet"/>
      </w:pPr>
      <w:r>
        <w:rPr>
          <w:rFonts w:ascii="Calibri" w:hAnsi="Calibri"/>
          <w:sz w:val="22"/>
        </w:rPr>
        <w:t>Veiligheidsbril (EN 166) — beschermt tegen spatten en deeltjes. verplicht bij het betreden van het lab. Gewone brillen zijn geen vervanging.</w:t>
      </w:r>
    </w:p>
    <w:p>
      <w:pPr>
        <w:pStyle w:val="ListBullet"/>
      </w:pPr>
      <w:r>
        <w:rPr>
          <w:rFonts w:ascii="Calibri" w:hAnsi="Calibri"/>
          <w:sz w:val="22"/>
        </w:rPr>
        <w:t>Labjas (100% katoen of polyester-katoen mix) — beschermt kleding en huid tegen spatten. De jas moet altijd gesloten worden gedragen. Controleer op gaten of slijtage vooraf.</w:t>
      </w:r>
    </w:p>
    <w:p>
      <w:pPr>
        <w:pStyle w:val="ListBullet"/>
      </w:pPr>
      <w:r>
        <w:rPr>
          <w:rFonts w:ascii="Calibri" w:hAnsi="Calibri"/>
          <w:sz w:val="22"/>
        </w:rPr>
        <w:t>Gesloten schoenen (geen sandalen, geen open neus) — beschermt tegen morsen en vallende voorwerpen. Schoenen moeten de volledige voet bedekken. Het dragen van veiligheidsschoenen (EN ISO 20345) wordt sterk aanbevolen.</w:t>
      </w:r>
    </w:p>
    <w:p>
      <w:pPr>
        <w:pStyle w:val="Heading2"/>
      </w:pPr>
      <w:r>
        <w:rPr>
          <w:rFonts w:ascii="Calibri" w:hAnsi="Calibri"/>
          <w:color w:val="003366"/>
        </w:rPr>
        <w:t>3.2 Specifieke PBM per Stof</w:t>
      </w:r>
    </w:p>
    <w:p>
      <w:pPr>
        <w:spacing w:after="120"/>
      </w:pPr>
      <w:r>
        <w:rPr>
          <w:rFonts w:ascii="Calibri" w:hAnsi="Calibri"/>
          <w:sz w:val="22"/>
        </w:rPr>
        <w:t>Naast de standaard PBM gelden per stof aanvullende beschermingsmaatregelen. De onderstaande tabel toont de minimale aanvullende PBM-eisen per stof. Bij twijfel altijd het zwaarste beschermingsniveau kiezen.</w:t>
      </w:r>
    </w:p>
    <w:tbl>
      <w:tblPr>
        <w:tblStyle w:val="TableGrid"/>
        <w:tblW w:type="auto" w:w="0"/>
        <w:jc w:val="center"/>
        <w:tblLook w:firstColumn="1" w:firstRow="1" w:lastColumn="0" w:lastRow="0" w:noHBand="0" w:noVBand="1" w:val="04A0"/>
      </w:tblPr>
      <w:tblGrid>
        <w:gridCol w:w="1872"/>
        <w:gridCol w:w="1872"/>
        <w:gridCol w:w="1872"/>
        <w:gridCol w:w="1872"/>
        <w:gridCol w:w="1872"/>
      </w:tblGrid>
      <w:tr>
        <w:tc>
          <w:tcPr>
            <w:tcW w:type="dxa" w:w="1872"/>
            <w:shd w:fill="003366"/>
          </w:tcPr>
          <w:p>
            <w:pPr>
              <w:jc w:val="center"/>
            </w:pPr>
            <w:r>
              <w:rPr>
                <w:color w:val="FFFFFF"/>
              </w:rPr>
            </w:r>
            <w:r>
              <w:rPr>
                <w:rFonts w:ascii="Calibri" w:hAnsi="Calibri"/>
                <w:b/>
                <w:color w:val="FFFFFF"/>
                <w:sz w:val="20"/>
              </w:rPr>
              <w:t>Stof</w:t>
            </w:r>
          </w:p>
        </w:tc>
        <w:tc>
          <w:tcPr>
            <w:tcW w:type="dxa" w:w="1872"/>
            <w:shd w:fill="003366"/>
          </w:tcPr>
          <w:p>
            <w:pPr>
              <w:jc w:val="center"/>
            </w:pPr>
            <w:r>
              <w:rPr>
                <w:color w:val="FFFFFF"/>
              </w:rPr>
            </w:r>
            <w:r>
              <w:rPr>
                <w:rFonts w:ascii="Calibri" w:hAnsi="Calibri"/>
                <w:b/>
                <w:color w:val="FFFFFF"/>
                <w:sz w:val="20"/>
              </w:rPr>
              <w:t>Handen</w:t>
            </w:r>
          </w:p>
        </w:tc>
        <w:tc>
          <w:tcPr>
            <w:tcW w:type="dxa" w:w="1872"/>
            <w:shd w:fill="003366"/>
          </w:tcPr>
          <w:p>
            <w:pPr>
              <w:jc w:val="center"/>
            </w:pPr>
            <w:r>
              <w:rPr>
                <w:color w:val="FFFFFF"/>
              </w:rPr>
            </w:r>
            <w:r>
              <w:rPr>
                <w:rFonts w:ascii="Calibri" w:hAnsi="Calibri"/>
                <w:b/>
                <w:color w:val="FFFFFF"/>
                <w:sz w:val="20"/>
              </w:rPr>
              <w:t>Ogen/Gezicht</w:t>
            </w:r>
          </w:p>
        </w:tc>
        <w:tc>
          <w:tcPr>
            <w:tcW w:type="dxa" w:w="1872"/>
            <w:shd w:fill="003366"/>
          </w:tcPr>
          <w:p>
            <w:pPr>
              <w:jc w:val="center"/>
            </w:pPr>
            <w:r>
              <w:rPr>
                <w:color w:val="FFFFFF"/>
              </w:rPr>
            </w:r>
            <w:r>
              <w:rPr>
                <w:rFonts w:ascii="Calibri" w:hAnsi="Calibri"/>
                <w:b/>
                <w:color w:val="FFFFFF"/>
                <w:sz w:val="20"/>
              </w:rPr>
              <w:t>Lichaam</w:t>
            </w:r>
          </w:p>
        </w:tc>
        <w:tc>
          <w:tcPr>
            <w:tcW w:type="dxa" w:w="1872"/>
            <w:shd w:fill="003366"/>
          </w:tcPr>
          <w:p>
            <w:pPr>
              <w:jc w:val="center"/>
            </w:pPr>
            <w:r>
              <w:rPr>
                <w:color w:val="FFFFFF"/>
              </w:rPr>
            </w:r>
            <w:r>
              <w:rPr>
                <w:rFonts w:ascii="Calibri" w:hAnsi="Calibri"/>
                <w:b/>
                <w:color w:val="FFFFFF"/>
                <w:sz w:val="20"/>
              </w:rPr>
              <w:t>Ademhalingsbescherming</w:t>
            </w:r>
          </w:p>
        </w:tc>
      </w:tr>
      <w:tr>
        <w:tc>
          <w:tcPr>
            <w:tcW w:type="dxa" w:w="1872"/>
          </w:tcPr>
          <w:p>
            <w:r/>
            <w:r>
              <w:rPr>
                <w:rFonts w:ascii="Calibri" w:hAnsi="Calibri"/>
                <w:sz w:val="16"/>
              </w:rPr>
              <w:t>Steelmaking Slag</w:t>
            </w:r>
          </w:p>
        </w:tc>
        <w:tc>
          <w:tcPr>
            <w:tcW w:type="dxa" w:w="1872"/>
          </w:tcPr>
          <w:p>
            <w:r/>
            <w:r>
              <w:rPr>
                <w:rFonts w:ascii="Calibri" w:hAnsi="Calibri"/>
                <w:sz w:val="16"/>
              </w:rPr>
              <w:t>Nitril handschoenen</w:t>
            </w:r>
          </w:p>
        </w:tc>
        <w:tc>
          <w:tcPr>
            <w:tcW w:type="dxa" w:w="1872"/>
          </w:tcPr>
          <w:p>
            <w:r/>
            <w:r>
              <w:rPr>
                <w:rFonts w:ascii="Calibri" w:hAnsi="Calibri"/>
                <w:sz w:val="16"/>
              </w:rPr>
              <w:t>Veiligheidsbril</w:t>
            </w:r>
          </w:p>
        </w:tc>
        <w:tc>
          <w:tcPr>
            <w:tcW w:type="dxa" w:w="1872"/>
          </w:tcPr>
          <w:p>
            <w:r/>
            <w:r>
              <w:rPr>
                <w:rFonts w:ascii="Calibri" w:hAnsi="Calibri"/>
                <w:sz w:val="16"/>
              </w:rPr>
              <w:t>Labjas (standaard)</w:t>
            </w:r>
          </w:p>
        </w:tc>
        <w:tc>
          <w:tcPr>
            <w:tcW w:type="dxa" w:w="1872"/>
          </w:tcPr>
          <w:p>
            <w:r/>
            <w:r>
              <w:rPr>
                <w:rFonts w:ascii="Calibri" w:hAnsi="Calibri"/>
                <w:sz w:val="16"/>
              </w:rPr>
              <w:t>Stofmasker P2</w:t>
              <w:br/>
              <w:t>bij stofvorming</w:t>
            </w:r>
          </w:p>
        </w:tc>
      </w:tr>
      <w:tr>
        <w:tc>
          <w:tcPr>
            <w:tcW w:type="dxa" w:w="1872"/>
          </w:tcPr>
          <w:p>
            <w:r/>
            <w:r>
              <w:rPr>
                <w:rFonts w:ascii="Calibri" w:hAnsi="Calibri"/>
                <w:sz w:val="16"/>
              </w:rPr>
              <w:t>H₂SO₄ 25%</w:t>
            </w:r>
          </w:p>
        </w:tc>
        <w:tc>
          <w:tcPr>
            <w:tcW w:type="dxa" w:w="1872"/>
          </w:tcPr>
          <w:p>
            <w:r/>
            <w:r>
              <w:rPr>
                <w:rFonts w:ascii="Calibri" w:hAnsi="Calibri"/>
                <w:sz w:val="16"/>
              </w:rPr>
              <w:t>Zuur-bestendige</w:t>
              <w:br/>
              <w:t>handschoenen (EN 374)</w:t>
            </w:r>
          </w:p>
        </w:tc>
        <w:tc>
          <w:tcPr>
            <w:tcW w:type="dxa" w:w="1872"/>
          </w:tcPr>
          <w:p>
            <w:r/>
            <w:r>
              <w:rPr>
                <w:rFonts w:ascii="Calibri" w:hAnsi="Calibri"/>
                <w:sz w:val="16"/>
              </w:rPr>
              <w:t>Gezichtsscherm</w:t>
              <w:br/>
              <w:t>(EN 166)</w:t>
            </w:r>
          </w:p>
        </w:tc>
        <w:tc>
          <w:tcPr>
            <w:tcW w:type="dxa" w:w="1872"/>
          </w:tcPr>
          <w:p>
            <w:r/>
            <w:r>
              <w:rPr>
                <w:rFonts w:ascii="Calibri" w:hAnsi="Calibri"/>
                <w:sz w:val="16"/>
              </w:rPr>
              <w:t>Labjas (standaard)</w:t>
            </w:r>
          </w:p>
        </w:tc>
        <w:tc>
          <w:tcPr>
            <w:tcW w:type="dxa" w:w="1872"/>
          </w:tcPr>
          <w:p>
            <w:r/>
            <w:r>
              <w:rPr>
                <w:rFonts w:ascii="Calibri" w:hAnsi="Calibri"/>
                <w:sz w:val="16"/>
              </w:rPr>
              <w:t>Niet vereist</w:t>
              <w:br/>
              <w:t>(vloeistof)</w:t>
            </w:r>
          </w:p>
        </w:tc>
      </w:tr>
      <w:tr>
        <w:tc>
          <w:tcPr>
            <w:tcW w:type="dxa" w:w="1872"/>
          </w:tcPr>
          <w:p>
            <w:r/>
            <w:r>
              <w:rPr>
                <w:rFonts w:ascii="Calibri" w:hAnsi="Calibri"/>
                <w:sz w:val="16"/>
              </w:rPr>
              <w:t>H₂O₂ 30%</w:t>
            </w:r>
          </w:p>
        </w:tc>
        <w:tc>
          <w:tcPr>
            <w:tcW w:type="dxa" w:w="1872"/>
          </w:tcPr>
          <w:p>
            <w:r/>
            <w:r>
              <w:rPr>
                <w:rFonts w:ascii="Calibri" w:hAnsi="Calibri"/>
                <w:sz w:val="16"/>
              </w:rPr>
              <w:t>Nitril handschoenen</w:t>
              <w:br/>
              <w:t>(EN 374)</w:t>
            </w:r>
          </w:p>
        </w:tc>
        <w:tc>
          <w:tcPr>
            <w:tcW w:type="dxa" w:w="1872"/>
          </w:tcPr>
          <w:p>
            <w:r/>
            <w:r>
              <w:rPr>
                <w:rFonts w:ascii="Calibri" w:hAnsi="Calibri"/>
                <w:sz w:val="16"/>
              </w:rPr>
              <w:t>Gezichtsscherm</w:t>
              <w:br/>
              <w:t>(EN 166)</w:t>
            </w:r>
          </w:p>
        </w:tc>
        <w:tc>
          <w:tcPr>
            <w:tcW w:type="dxa" w:w="1872"/>
          </w:tcPr>
          <w:p>
            <w:r/>
            <w:r>
              <w:rPr>
                <w:rFonts w:ascii="Calibri" w:hAnsi="Calibri"/>
                <w:sz w:val="16"/>
              </w:rPr>
              <w:t>Labjas (standaard)</w:t>
            </w:r>
          </w:p>
        </w:tc>
        <w:tc>
          <w:tcPr>
            <w:tcW w:type="dxa" w:w="1872"/>
          </w:tcPr>
          <w:p>
            <w:r/>
            <w:r>
              <w:rPr>
                <w:rFonts w:ascii="Calibri" w:hAnsi="Calibri"/>
                <w:sz w:val="16"/>
              </w:rPr>
              <w:t>Niet vereist</w:t>
            </w:r>
          </w:p>
        </w:tc>
      </w:tr>
      <w:tr>
        <w:tc>
          <w:tcPr>
            <w:tcW w:type="dxa" w:w="1872"/>
          </w:tcPr>
          <w:p>
            <w:r/>
            <w:r>
              <w:rPr>
                <w:rFonts w:ascii="Calibri" w:hAnsi="Calibri"/>
                <w:sz w:val="16"/>
              </w:rPr>
              <w:t>Na₂S₂O₈</w:t>
            </w:r>
          </w:p>
        </w:tc>
        <w:tc>
          <w:tcPr>
            <w:tcW w:type="dxa" w:w="1872"/>
          </w:tcPr>
          <w:p>
            <w:r/>
            <w:r>
              <w:rPr>
                <w:rFonts w:ascii="Calibri" w:hAnsi="Calibri"/>
                <w:sz w:val="16"/>
              </w:rPr>
              <w:t>Nitril handschoenen</w:t>
            </w:r>
          </w:p>
        </w:tc>
        <w:tc>
          <w:tcPr>
            <w:tcW w:type="dxa" w:w="1872"/>
          </w:tcPr>
          <w:p>
            <w:r/>
            <w:r>
              <w:rPr>
                <w:rFonts w:ascii="Calibri" w:hAnsi="Calibri"/>
                <w:sz w:val="16"/>
              </w:rPr>
              <w:t>Veiligheidsbril</w:t>
            </w:r>
          </w:p>
        </w:tc>
        <w:tc>
          <w:tcPr>
            <w:tcW w:type="dxa" w:w="1872"/>
          </w:tcPr>
          <w:p>
            <w:r/>
            <w:r>
              <w:rPr>
                <w:rFonts w:ascii="Calibri" w:hAnsi="Calibri"/>
                <w:sz w:val="16"/>
              </w:rPr>
              <w:t>Labjas (standaard)</w:t>
            </w:r>
          </w:p>
        </w:tc>
        <w:tc>
          <w:tcPr>
            <w:tcW w:type="dxa" w:w="1872"/>
          </w:tcPr>
          <w:p>
            <w:r/>
            <w:r>
              <w:rPr>
                <w:rFonts w:ascii="Calibri" w:hAnsi="Calibri"/>
                <w:sz w:val="16"/>
              </w:rPr>
              <w:t>Stofmasker P2</w:t>
              <w:br/>
              <w:t>bij stofvorming</w:t>
            </w:r>
          </w:p>
        </w:tc>
      </w:tr>
      <w:tr>
        <w:tc>
          <w:tcPr>
            <w:tcW w:type="dxa" w:w="1872"/>
          </w:tcPr>
          <w:p>
            <w:r/>
            <w:r>
              <w:rPr>
                <w:rFonts w:ascii="Calibri" w:hAnsi="Calibri"/>
                <w:sz w:val="16"/>
              </w:rPr>
              <w:t>HCl 20%</w:t>
            </w:r>
          </w:p>
        </w:tc>
        <w:tc>
          <w:tcPr>
            <w:tcW w:type="dxa" w:w="1872"/>
          </w:tcPr>
          <w:p>
            <w:r/>
            <w:r>
              <w:rPr>
                <w:rFonts w:ascii="Calibri" w:hAnsi="Calibri"/>
                <w:sz w:val="16"/>
              </w:rPr>
              <w:t>Zuur-bestendige</w:t>
              <w:br/>
              <w:t>handschoenen</w:t>
            </w:r>
          </w:p>
        </w:tc>
        <w:tc>
          <w:tcPr>
            <w:tcW w:type="dxa" w:w="1872"/>
          </w:tcPr>
          <w:p>
            <w:r/>
            <w:r>
              <w:rPr>
                <w:rFonts w:ascii="Calibri" w:hAnsi="Calibri"/>
                <w:sz w:val="16"/>
              </w:rPr>
              <w:t>Gezichtsscherm</w:t>
              <w:br/>
              <w:t>(EN 166)</w:t>
            </w:r>
          </w:p>
        </w:tc>
        <w:tc>
          <w:tcPr>
            <w:tcW w:type="dxa" w:w="1872"/>
          </w:tcPr>
          <w:p>
            <w:r/>
            <w:r>
              <w:rPr>
                <w:rFonts w:ascii="Calibri" w:hAnsi="Calibri"/>
                <w:sz w:val="16"/>
              </w:rPr>
              <w:t>Labjas (standaard)</w:t>
            </w:r>
          </w:p>
        </w:tc>
        <w:tc>
          <w:tcPr>
            <w:tcW w:type="dxa" w:w="1872"/>
          </w:tcPr>
          <w:p>
            <w:r/>
            <w:r>
              <w:rPr>
                <w:rFonts w:ascii="Calibri" w:hAnsi="Calibri"/>
                <w:sz w:val="16"/>
              </w:rPr>
              <w:t>Niet vereist</w:t>
            </w:r>
          </w:p>
        </w:tc>
      </w:tr>
      <w:tr>
        <w:tc>
          <w:tcPr>
            <w:tcW w:type="dxa" w:w="1872"/>
          </w:tcPr>
          <w:p>
            <w:r/>
            <w:r>
              <w:rPr>
                <w:rFonts w:ascii="Calibri" w:hAnsi="Calibri"/>
                <w:sz w:val="16"/>
              </w:rPr>
              <w:t>CaSO₄/SiO₂</w:t>
            </w:r>
          </w:p>
        </w:tc>
        <w:tc>
          <w:tcPr>
            <w:tcW w:type="dxa" w:w="1872"/>
          </w:tcPr>
          <w:p>
            <w:r/>
            <w:r>
              <w:rPr>
                <w:rFonts w:ascii="Calibri" w:hAnsi="Calibri"/>
                <w:sz w:val="16"/>
              </w:rPr>
              <w:t>Standaard</w:t>
            </w:r>
          </w:p>
        </w:tc>
        <w:tc>
          <w:tcPr>
            <w:tcW w:type="dxa" w:w="1872"/>
          </w:tcPr>
          <w:p>
            <w:r/>
            <w:r>
              <w:rPr>
                <w:rFonts w:ascii="Calibri" w:hAnsi="Calibri"/>
                <w:sz w:val="16"/>
              </w:rPr>
              <w:t>Standaard</w:t>
            </w:r>
          </w:p>
        </w:tc>
        <w:tc>
          <w:tcPr>
            <w:tcW w:type="dxa" w:w="1872"/>
          </w:tcPr>
          <w:p>
            <w:r/>
            <w:r>
              <w:rPr>
                <w:rFonts w:ascii="Calibri" w:hAnsi="Calibri"/>
                <w:sz w:val="16"/>
              </w:rPr>
              <w:t>Standaard</w:t>
            </w:r>
          </w:p>
        </w:tc>
        <w:tc>
          <w:tcPr>
            <w:tcW w:type="dxa" w:w="1872"/>
          </w:tcPr>
          <w:p>
            <w:r/>
            <w:r>
              <w:rPr>
                <w:rFonts w:ascii="Calibri" w:hAnsi="Calibri"/>
                <w:sz w:val="16"/>
              </w:rPr>
              <w:t>Niet vereist</w:t>
            </w:r>
          </w:p>
        </w:tc>
      </w:tr>
      <w:tr>
        <w:tc>
          <w:tcPr>
            <w:tcW w:type="dxa" w:w="1872"/>
          </w:tcPr>
          <w:p>
            <w:r/>
            <w:r>
              <w:rPr>
                <w:rFonts w:ascii="Calibri" w:hAnsi="Calibri"/>
                <w:sz w:val="16"/>
              </w:rPr>
              <w:t>Na₂SO₄</w:t>
            </w:r>
          </w:p>
        </w:tc>
        <w:tc>
          <w:tcPr>
            <w:tcW w:type="dxa" w:w="1872"/>
          </w:tcPr>
          <w:p>
            <w:r/>
            <w:r>
              <w:rPr>
                <w:rFonts w:ascii="Calibri" w:hAnsi="Calibri"/>
                <w:sz w:val="16"/>
              </w:rPr>
              <w:t>Standaard</w:t>
            </w:r>
          </w:p>
        </w:tc>
        <w:tc>
          <w:tcPr>
            <w:tcW w:type="dxa" w:w="1872"/>
          </w:tcPr>
          <w:p>
            <w:r/>
            <w:r>
              <w:rPr>
                <w:rFonts w:ascii="Calibri" w:hAnsi="Calibri"/>
                <w:sz w:val="16"/>
              </w:rPr>
              <w:t>Standaard</w:t>
            </w:r>
          </w:p>
        </w:tc>
        <w:tc>
          <w:tcPr>
            <w:tcW w:type="dxa" w:w="1872"/>
          </w:tcPr>
          <w:p>
            <w:r/>
            <w:r>
              <w:rPr>
                <w:rFonts w:ascii="Calibri" w:hAnsi="Calibri"/>
                <w:sz w:val="16"/>
              </w:rPr>
              <w:t>Standaard</w:t>
            </w:r>
          </w:p>
        </w:tc>
        <w:tc>
          <w:tcPr>
            <w:tcW w:type="dxa" w:w="1872"/>
          </w:tcPr>
          <w:p>
            <w:r/>
            <w:r>
              <w:rPr>
                <w:rFonts w:ascii="Calibri" w:hAnsi="Calibri"/>
                <w:sz w:val="16"/>
              </w:rPr>
              <w:t>Niet vereist</w:t>
            </w:r>
          </w:p>
        </w:tc>
      </w:tr>
      <w:tr>
        <w:tc>
          <w:tcPr>
            <w:tcW w:type="dxa" w:w="1872"/>
          </w:tcPr>
          <w:p>
            <w:r/>
            <w:r>
              <w:rPr>
                <w:rFonts w:ascii="Calibri" w:hAnsi="Calibri"/>
                <w:sz w:val="16"/>
              </w:rPr>
              <w:t>Na₃VO₄</w:t>
            </w:r>
          </w:p>
        </w:tc>
        <w:tc>
          <w:tcPr>
            <w:tcW w:type="dxa" w:w="1872"/>
          </w:tcPr>
          <w:p>
            <w:r/>
            <w:r>
              <w:rPr>
                <w:rFonts w:ascii="Calibri" w:hAnsi="Calibri"/>
                <w:sz w:val="16"/>
              </w:rPr>
              <w:t>Nitril handschoenen</w:t>
            </w:r>
          </w:p>
        </w:tc>
        <w:tc>
          <w:tcPr>
            <w:tcW w:type="dxa" w:w="1872"/>
          </w:tcPr>
          <w:p>
            <w:r/>
            <w:r>
              <w:rPr>
                <w:rFonts w:ascii="Calibri" w:hAnsi="Calibri"/>
                <w:sz w:val="16"/>
              </w:rPr>
              <w:t>Veiligheidsbril</w:t>
            </w:r>
          </w:p>
        </w:tc>
        <w:tc>
          <w:tcPr>
            <w:tcW w:type="dxa" w:w="1872"/>
          </w:tcPr>
          <w:p>
            <w:r/>
            <w:r>
              <w:rPr>
                <w:rFonts w:ascii="Calibri" w:hAnsi="Calibri"/>
                <w:sz w:val="16"/>
              </w:rPr>
              <w:t>Labjas</w:t>
            </w:r>
          </w:p>
        </w:tc>
        <w:tc>
          <w:tcPr>
            <w:tcW w:type="dxa" w:w="1872"/>
          </w:tcPr>
          <w:p>
            <w:r/>
            <w:r>
              <w:rPr>
                <w:rFonts w:ascii="Calibri" w:hAnsi="Calibri"/>
                <w:sz w:val="16"/>
              </w:rPr>
              <w:t>Niet vereist</w:t>
            </w:r>
          </w:p>
        </w:tc>
      </w:tr>
      <w:tr>
        <w:tc>
          <w:tcPr>
            <w:tcW w:type="dxa" w:w="1872"/>
          </w:tcPr>
          <w:p>
            <w:r/>
            <w:r>
              <w:rPr>
                <w:rFonts w:ascii="Calibri" w:hAnsi="Calibri"/>
                <w:sz w:val="16"/>
              </w:rPr>
              <w:t>NaVO₃</w:t>
            </w:r>
          </w:p>
        </w:tc>
        <w:tc>
          <w:tcPr>
            <w:tcW w:type="dxa" w:w="1872"/>
          </w:tcPr>
          <w:p>
            <w:r/>
            <w:r>
              <w:rPr>
                <w:rFonts w:ascii="Calibri" w:hAnsi="Calibri"/>
                <w:sz w:val="16"/>
              </w:rPr>
              <w:t>Chemisch bestendig</w:t>
              <w:br/>
              <w:t>(EN 374 type A)</w:t>
            </w:r>
          </w:p>
        </w:tc>
        <w:tc>
          <w:tcPr>
            <w:tcW w:type="dxa" w:w="1872"/>
          </w:tcPr>
          <w:p>
            <w:r/>
            <w:r>
              <w:rPr>
                <w:rFonts w:ascii="Calibri" w:hAnsi="Calibri"/>
                <w:sz w:val="16"/>
              </w:rPr>
              <w:t>Gezichtsscherm</w:t>
              <w:br/>
              <w:t>(EN 166)</w:t>
            </w:r>
          </w:p>
        </w:tc>
        <w:tc>
          <w:tcPr>
            <w:tcW w:type="dxa" w:w="1872"/>
          </w:tcPr>
          <w:p>
            <w:r/>
            <w:r>
              <w:rPr>
                <w:rFonts w:ascii="Calibri" w:hAnsi="Calibri"/>
                <w:sz w:val="16"/>
              </w:rPr>
              <w:t>Zuur-bestendig schort</w:t>
            </w:r>
          </w:p>
        </w:tc>
        <w:tc>
          <w:tcPr>
            <w:tcW w:type="dxa" w:w="1872"/>
          </w:tcPr>
          <w:p>
            <w:r/>
            <w:r>
              <w:rPr>
                <w:rFonts w:ascii="Calibri" w:hAnsi="Calibri"/>
                <w:sz w:val="16"/>
              </w:rPr>
              <w:t>Stofmasker P3</w:t>
              <w:br/>
              <w:t>(altijd)</w:t>
            </w:r>
          </w:p>
        </w:tc>
      </w:tr>
      <w:tr>
        <w:tc>
          <w:tcPr>
            <w:tcW w:type="dxa" w:w="1872"/>
          </w:tcPr>
          <w:p>
            <w:r/>
            <w:r>
              <w:rPr>
                <w:rFonts w:ascii="Calibri" w:hAnsi="Calibri"/>
                <w:sz w:val="16"/>
              </w:rPr>
              <w:t>Ca(OH)₂</w:t>
            </w:r>
          </w:p>
        </w:tc>
        <w:tc>
          <w:tcPr>
            <w:tcW w:type="dxa" w:w="1872"/>
          </w:tcPr>
          <w:p>
            <w:r/>
            <w:r>
              <w:rPr>
                <w:rFonts w:ascii="Calibri" w:hAnsi="Calibri"/>
                <w:sz w:val="16"/>
              </w:rPr>
              <w:t>Nitril handschoenen</w:t>
            </w:r>
          </w:p>
        </w:tc>
        <w:tc>
          <w:tcPr>
            <w:tcW w:type="dxa" w:w="1872"/>
          </w:tcPr>
          <w:p>
            <w:r/>
            <w:r>
              <w:rPr>
                <w:rFonts w:ascii="Calibri" w:hAnsi="Calibri"/>
                <w:sz w:val="16"/>
              </w:rPr>
              <w:t>Veiligheidsbril</w:t>
            </w:r>
          </w:p>
        </w:tc>
        <w:tc>
          <w:tcPr>
            <w:tcW w:type="dxa" w:w="1872"/>
          </w:tcPr>
          <w:p>
            <w:r/>
            <w:r>
              <w:rPr>
                <w:rFonts w:ascii="Calibri" w:hAnsi="Calibri"/>
                <w:sz w:val="16"/>
              </w:rPr>
              <w:t>Labjas (standaard)</w:t>
            </w:r>
          </w:p>
        </w:tc>
        <w:tc>
          <w:tcPr>
            <w:tcW w:type="dxa" w:w="1872"/>
          </w:tcPr>
          <w:p>
            <w:r/>
            <w:r>
              <w:rPr>
                <w:rFonts w:ascii="Calibri" w:hAnsi="Calibri"/>
                <w:sz w:val="16"/>
              </w:rPr>
              <w:t>Stofmasker P2</w:t>
              <w:br/>
              <w:t>bij stofvorming</w:t>
            </w:r>
          </w:p>
        </w:tc>
      </w:tr>
      <w:tr>
        <w:tc>
          <w:tcPr>
            <w:tcW w:type="dxa" w:w="1872"/>
          </w:tcPr>
          <w:p>
            <w:r/>
            <w:r>
              <w:rPr>
                <w:rFonts w:ascii="Calibri" w:hAnsi="Calibri"/>
                <w:sz w:val="16"/>
              </w:rPr>
              <w:t>Silica (amorf)</w:t>
            </w:r>
          </w:p>
        </w:tc>
        <w:tc>
          <w:tcPr>
            <w:tcW w:type="dxa" w:w="1872"/>
          </w:tcPr>
          <w:p>
            <w:r/>
            <w:r>
              <w:rPr>
                <w:rFonts w:ascii="Calibri" w:hAnsi="Calibri"/>
                <w:sz w:val="16"/>
              </w:rPr>
              <w:t>Standaard</w:t>
            </w:r>
          </w:p>
        </w:tc>
        <w:tc>
          <w:tcPr>
            <w:tcW w:type="dxa" w:w="1872"/>
          </w:tcPr>
          <w:p>
            <w:r/>
            <w:r>
              <w:rPr>
                <w:rFonts w:ascii="Calibri" w:hAnsi="Calibri"/>
                <w:sz w:val="16"/>
              </w:rPr>
              <w:t>Standaard</w:t>
            </w:r>
          </w:p>
        </w:tc>
        <w:tc>
          <w:tcPr>
            <w:tcW w:type="dxa" w:w="1872"/>
          </w:tcPr>
          <w:p>
            <w:r/>
            <w:r>
              <w:rPr>
                <w:rFonts w:ascii="Calibri" w:hAnsi="Calibri"/>
                <w:sz w:val="16"/>
              </w:rPr>
              <w:t>Standaard</w:t>
            </w:r>
          </w:p>
        </w:tc>
        <w:tc>
          <w:tcPr>
            <w:tcW w:type="dxa" w:w="1872"/>
          </w:tcPr>
          <w:p>
            <w:r/>
            <w:r>
              <w:rPr>
                <w:rFonts w:ascii="Calibri" w:hAnsi="Calibri"/>
                <w:sz w:val="16"/>
              </w:rPr>
              <w:t>Stofmasker P2</w:t>
              <w:br/>
              <w:t>bij stofvorming</w:t>
            </w:r>
          </w:p>
        </w:tc>
      </w:tr>
      <w:tr>
        <w:tc>
          <w:tcPr>
            <w:tcW w:type="dxa" w:w="1872"/>
          </w:tcPr>
          <w:p>
            <w:r/>
            <w:r>
              <w:rPr>
                <w:rFonts w:ascii="Calibri" w:hAnsi="Calibri"/>
                <w:sz w:val="16"/>
              </w:rPr>
              <w:t>Fe₂O₃</w:t>
            </w:r>
          </w:p>
        </w:tc>
        <w:tc>
          <w:tcPr>
            <w:tcW w:type="dxa" w:w="1872"/>
          </w:tcPr>
          <w:p>
            <w:r/>
            <w:r>
              <w:rPr>
                <w:rFonts w:ascii="Calibri" w:hAnsi="Calibri"/>
                <w:sz w:val="16"/>
              </w:rPr>
              <w:t>Standaard</w:t>
            </w:r>
          </w:p>
        </w:tc>
        <w:tc>
          <w:tcPr>
            <w:tcW w:type="dxa" w:w="1872"/>
          </w:tcPr>
          <w:p>
            <w:r/>
            <w:r>
              <w:rPr>
                <w:rFonts w:ascii="Calibri" w:hAnsi="Calibri"/>
                <w:sz w:val="16"/>
              </w:rPr>
              <w:t>Standaard</w:t>
            </w:r>
          </w:p>
        </w:tc>
        <w:tc>
          <w:tcPr>
            <w:tcW w:type="dxa" w:w="1872"/>
          </w:tcPr>
          <w:p>
            <w:r/>
            <w:r>
              <w:rPr>
                <w:rFonts w:ascii="Calibri" w:hAnsi="Calibri"/>
                <w:sz w:val="16"/>
              </w:rPr>
              <w:t>Standaard</w:t>
            </w:r>
          </w:p>
        </w:tc>
        <w:tc>
          <w:tcPr>
            <w:tcW w:type="dxa" w:w="1872"/>
          </w:tcPr>
          <w:p>
            <w:r/>
            <w:r>
              <w:rPr>
                <w:rFonts w:ascii="Calibri" w:hAnsi="Calibri"/>
                <w:sz w:val="16"/>
              </w:rPr>
              <w:t>Niet vereist</w:t>
            </w:r>
          </w:p>
        </w:tc>
      </w:tr>
      <w:tr>
        <w:tc>
          <w:tcPr>
            <w:tcW w:type="dxa" w:w="1872"/>
          </w:tcPr>
          <w:p>
            <w:r/>
            <w:r>
              <w:rPr>
                <w:rFonts w:ascii="Calibri" w:hAnsi="Calibri"/>
                <w:sz w:val="16"/>
              </w:rPr>
              <w:t>MnO₂</w:t>
            </w:r>
          </w:p>
        </w:tc>
        <w:tc>
          <w:tcPr>
            <w:tcW w:type="dxa" w:w="1872"/>
          </w:tcPr>
          <w:p>
            <w:r/>
            <w:r>
              <w:rPr>
                <w:rFonts w:ascii="Calibri" w:hAnsi="Calibri"/>
                <w:sz w:val="16"/>
              </w:rPr>
              <w:t>Nitril handschoenen</w:t>
            </w:r>
          </w:p>
        </w:tc>
        <w:tc>
          <w:tcPr>
            <w:tcW w:type="dxa" w:w="1872"/>
          </w:tcPr>
          <w:p>
            <w:r/>
            <w:r>
              <w:rPr>
                <w:rFonts w:ascii="Calibri" w:hAnsi="Calibri"/>
                <w:sz w:val="16"/>
              </w:rPr>
              <w:t>Veiligheidsbril</w:t>
            </w:r>
          </w:p>
        </w:tc>
        <w:tc>
          <w:tcPr>
            <w:tcW w:type="dxa" w:w="1872"/>
          </w:tcPr>
          <w:p>
            <w:r/>
            <w:r>
              <w:rPr>
                <w:rFonts w:ascii="Calibri" w:hAnsi="Calibri"/>
                <w:sz w:val="16"/>
              </w:rPr>
              <w:t>Labjas (standaard)</w:t>
            </w:r>
          </w:p>
        </w:tc>
        <w:tc>
          <w:tcPr>
            <w:tcW w:type="dxa" w:w="1872"/>
          </w:tcPr>
          <w:p>
            <w:r/>
            <w:r>
              <w:rPr>
                <w:rFonts w:ascii="Calibri" w:hAnsi="Calibri"/>
                <w:sz w:val="16"/>
              </w:rPr>
              <w:t>Stofmasker P2</w:t>
            </w:r>
          </w:p>
        </w:tc>
      </w:tr>
      <w:tr>
        <w:tc>
          <w:tcPr>
            <w:tcW w:type="dxa" w:w="1872"/>
          </w:tcPr>
          <w:p>
            <w:r/>
            <w:r>
              <w:rPr>
                <w:rFonts w:ascii="Calibri" w:hAnsi="Calibri"/>
                <w:sz w:val="16"/>
              </w:rPr>
              <w:t>Mg(OH)₂</w:t>
            </w:r>
          </w:p>
        </w:tc>
        <w:tc>
          <w:tcPr>
            <w:tcW w:type="dxa" w:w="1872"/>
          </w:tcPr>
          <w:p>
            <w:r/>
            <w:r>
              <w:rPr>
                <w:rFonts w:ascii="Calibri" w:hAnsi="Calibri"/>
                <w:sz w:val="16"/>
              </w:rPr>
              <w:t>Standaard</w:t>
            </w:r>
          </w:p>
        </w:tc>
        <w:tc>
          <w:tcPr>
            <w:tcW w:type="dxa" w:w="1872"/>
          </w:tcPr>
          <w:p>
            <w:r/>
            <w:r>
              <w:rPr>
                <w:rFonts w:ascii="Calibri" w:hAnsi="Calibri"/>
                <w:sz w:val="16"/>
              </w:rPr>
              <w:t>Standaard</w:t>
            </w:r>
          </w:p>
        </w:tc>
        <w:tc>
          <w:tcPr>
            <w:tcW w:type="dxa" w:w="1872"/>
          </w:tcPr>
          <w:p>
            <w:r/>
            <w:r>
              <w:rPr>
                <w:rFonts w:ascii="Calibri" w:hAnsi="Calibri"/>
                <w:sz w:val="16"/>
              </w:rPr>
              <w:t>Standaard</w:t>
            </w:r>
          </w:p>
        </w:tc>
        <w:tc>
          <w:tcPr>
            <w:tcW w:type="dxa" w:w="1872"/>
          </w:tcPr>
          <w:p>
            <w:r/>
            <w:r>
              <w:rPr>
                <w:rFonts w:ascii="Calibri" w:hAnsi="Calibri"/>
                <w:sz w:val="16"/>
              </w:rPr>
              <w:t>Niet vereist</w:t>
            </w:r>
          </w:p>
        </w:tc>
      </w:tr>
      <w:tr>
        <w:tc>
          <w:tcPr>
            <w:tcW w:type="dxa" w:w="1872"/>
          </w:tcPr>
          <w:p>
            <w:r/>
            <w:r>
              <w:rPr>
                <w:rFonts w:ascii="Calibri" w:hAnsi="Calibri"/>
                <w:sz w:val="16"/>
              </w:rPr>
              <w:t>NaAlO₂ oplossing</w:t>
            </w:r>
          </w:p>
        </w:tc>
        <w:tc>
          <w:tcPr>
            <w:tcW w:type="dxa" w:w="1872"/>
          </w:tcPr>
          <w:p>
            <w:r/>
            <w:r>
              <w:rPr>
                <w:rFonts w:ascii="Calibri" w:hAnsi="Calibri"/>
                <w:sz w:val="16"/>
              </w:rPr>
              <w:t>Zuur-bestendige</w:t>
              <w:br/>
              <w:t>handschoenen</w:t>
            </w:r>
          </w:p>
        </w:tc>
        <w:tc>
          <w:tcPr>
            <w:tcW w:type="dxa" w:w="1872"/>
          </w:tcPr>
          <w:p>
            <w:r/>
            <w:r>
              <w:rPr>
                <w:rFonts w:ascii="Calibri" w:hAnsi="Calibri"/>
                <w:sz w:val="16"/>
              </w:rPr>
              <w:t>Gezichtsscherm</w:t>
              <w:br/>
              <w:t>(EN 166)</w:t>
            </w:r>
          </w:p>
        </w:tc>
        <w:tc>
          <w:tcPr>
            <w:tcW w:type="dxa" w:w="1872"/>
          </w:tcPr>
          <w:p>
            <w:r/>
            <w:r>
              <w:rPr>
                <w:rFonts w:ascii="Calibri" w:hAnsi="Calibri"/>
                <w:sz w:val="16"/>
              </w:rPr>
              <w:t>Zuur-bestendig schort</w:t>
              <w:br/>
              <w:t>over labjas</w:t>
            </w:r>
          </w:p>
        </w:tc>
        <w:tc>
          <w:tcPr>
            <w:tcW w:type="dxa" w:w="1872"/>
          </w:tcPr>
          <w:p>
            <w:r/>
            <w:r>
              <w:rPr>
                <w:rFonts w:ascii="Calibri" w:hAnsi="Calibri"/>
                <w:sz w:val="16"/>
              </w:rPr>
              <w:t>Niet vereist</w:t>
              <w:br/>
              <w:t>(vloeistof)</w:t>
            </w:r>
          </w:p>
        </w:tc>
      </w:tr>
      <w:tr>
        <w:tc>
          <w:tcPr>
            <w:tcW w:type="dxa" w:w="1872"/>
          </w:tcPr>
          <w:p>
            <w:r/>
            <w:r>
              <w:rPr>
                <w:rFonts w:ascii="Calibri" w:hAnsi="Calibri"/>
                <w:sz w:val="16"/>
              </w:rPr>
              <w:t>Na₃PO₄</w:t>
            </w:r>
          </w:p>
        </w:tc>
        <w:tc>
          <w:tcPr>
            <w:tcW w:type="dxa" w:w="1872"/>
          </w:tcPr>
          <w:p>
            <w:r/>
            <w:r>
              <w:rPr>
                <w:rFonts w:ascii="Calibri" w:hAnsi="Calibri"/>
                <w:sz w:val="16"/>
              </w:rPr>
              <w:t>Nitril handschoenen</w:t>
            </w:r>
          </w:p>
        </w:tc>
        <w:tc>
          <w:tcPr>
            <w:tcW w:type="dxa" w:w="1872"/>
          </w:tcPr>
          <w:p>
            <w:r/>
            <w:r>
              <w:rPr>
                <w:rFonts w:ascii="Calibri" w:hAnsi="Calibri"/>
                <w:sz w:val="16"/>
              </w:rPr>
              <w:t>Veiligheidsbril</w:t>
            </w:r>
          </w:p>
        </w:tc>
        <w:tc>
          <w:tcPr>
            <w:tcW w:type="dxa" w:w="1872"/>
          </w:tcPr>
          <w:p>
            <w:r/>
            <w:r>
              <w:rPr>
                <w:rFonts w:ascii="Calibri" w:hAnsi="Calibri"/>
                <w:sz w:val="16"/>
              </w:rPr>
              <w:t>Labjas (standaard)</w:t>
            </w:r>
          </w:p>
        </w:tc>
        <w:tc>
          <w:tcPr>
            <w:tcW w:type="dxa" w:w="1872"/>
          </w:tcPr>
          <w:p>
            <w:r/>
            <w:r>
              <w:rPr>
                <w:rFonts w:ascii="Calibri" w:hAnsi="Calibri"/>
                <w:sz w:val="16"/>
              </w:rPr>
              <w:t>Niet vereist</w:t>
            </w:r>
          </w:p>
        </w:tc>
      </w:tr>
      <w:tr>
        <w:tc>
          <w:tcPr>
            <w:tcW w:type="dxa" w:w="1872"/>
          </w:tcPr>
          <w:p>
            <w:r/>
            <w:r>
              <w:rPr>
                <w:rFonts w:ascii="Calibri" w:hAnsi="Calibri"/>
                <w:sz w:val="16"/>
              </w:rPr>
              <w:t>V₂O₅</w:t>
            </w:r>
          </w:p>
        </w:tc>
        <w:tc>
          <w:tcPr>
            <w:tcW w:type="dxa" w:w="1872"/>
          </w:tcPr>
          <w:p>
            <w:r/>
            <w:r>
              <w:rPr>
                <w:rFonts w:ascii="Calibri" w:hAnsi="Calibri"/>
                <w:sz w:val="16"/>
              </w:rPr>
              <w:t>Chemisch bestendig</w:t>
              <w:br/>
              <w:t>(EN 374 type A)</w:t>
            </w:r>
          </w:p>
        </w:tc>
        <w:tc>
          <w:tcPr>
            <w:tcW w:type="dxa" w:w="1872"/>
          </w:tcPr>
          <w:p>
            <w:r/>
            <w:r>
              <w:rPr>
                <w:rFonts w:ascii="Calibri" w:hAnsi="Calibri"/>
                <w:sz w:val="16"/>
              </w:rPr>
              <w:t>Gezichtsscherm</w:t>
              <w:br/>
              <w:t>(EN 166)</w:t>
            </w:r>
          </w:p>
        </w:tc>
        <w:tc>
          <w:tcPr>
            <w:tcW w:type="dxa" w:w="1872"/>
          </w:tcPr>
          <w:p>
            <w:r/>
            <w:r>
              <w:rPr>
                <w:rFonts w:ascii="Calibri" w:hAnsi="Calibri"/>
                <w:sz w:val="16"/>
              </w:rPr>
              <w:t>Zuur-bestendig schort</w:t>
            </w:r>
          </w:p>
        </w:tc>
        <w:tc>
          <w:tcPr>
            <w:tcW w:type="dxa" w:w="1872"/>
          </w:tcPr>
          <w:p>
            <w:r/>
            <w:r>
              <w:rPr>
                <w:rFonts w:ascii="Calibri" w:hAnsi="Calibri"/>
                <w:sz w:val="16"/>
              </w:rPr>
              <w:t>P3 masker</w:t>
              <w:br/>
              <w:t>(altijd verplicht)</w:t>
            </w:r>
          </w:p>
        </w:tc>
      </w:tr>
      <w:tr>
        <w:tc>
          <w:tcPr>
            <w:tcW w:type="dxa" w:w="1872"/>
          </w:tcPr>
          <w:p>
            <w:r/>
            <w:r>
              <w:rPr>
                <w:rFonts w:ascii="Calibri" w:hAnsi="Calibri"/>
                <w:sz w:val="16"/>
              </w:rPr>
              <w:t>Vanadiumelektrolyt</w:t>
            </w:r>
          </w:p>
        </w:tc>
        <w:tc>
          <w:tcPr>
            <w:tcW w:type="dxa" w:w="1872"/>
          </w:tcPr>
          <w:p>
            <w:r/>
            <w:r>
              <w:rPr>
                <w:rFonts w:ascii="Calibri" w:hAnsi="Calibri"/>
                <w:sz w:val="16"/>
              </w:rPr>
              <w:t>Chemisch bestendig</w:t>
              <w:br/>
              <w:t>(EN 374 type A)</w:t>
            </w:r>
          </w:p>
        </w:tc>
        <w:tc>
          <w:tcPr>
            <w:tcW w:type="dxa" w:w="1872"/>
          </w:tcPr>
          <w:p>
            <w:r/>
            <w:r>
              <w:rPr>
                <w:rFonts w:ascii="Calibri" w:hAnsi="Calibri"/>
                <w:sz w:val="16"/>
              </w:rPr>
              <w:t>Gezichtsscherm</w:t>
              <w:br/>
              <w:t>(EN 166)</w:t>
            </w:r>
          </w:p>
        </w:tc>
        <w:tc>
          <w:tcPr>
            <w:tcW w:type="dxa" w:w="1872"/>
          </w:tcPr>
          <w:p>
            <w:r/>
            <w:r>
              <w:rPr>
                <w:rFonts w:ascii="Calibri" w:hAnsi="Calibri"/>
                <w:sz w:val="16"/>
              </w:rPr>
              <w:t>Zuur-bestendig schort</w:t>
            </w:r>
          </w:p>
        </w:tc>
        <w:tc>
          <w:tcPr>
            <w:tcW w:type="dxa" w:w="1872"/>
          </w:tcPr>
          <w:p>
            <w:r/>
            <w:r>
              <w:rPr>
                <w:rFonts w:ascii="Calibri" w:hAnsi="Calibri"/>
                <w:sz w:val="16"/>
              </w:rPr>
              <w:t>P3 masker bij</w:t>
              <w:br/>
              <w:t>spatgevaar</w:t>
            </w:r>
          </w:p>
        </w:tc>
      </w:tr>
    </w:tbl>
    <w:p>
      <w:pPr>
        <w:pStyle w:val="Heading2"/>
      </w:pPr>
      <w:r>
        <w:rPr>
          <w:rFonts w:ascii="Calibri" w:hAnsi="Calibri"/>
          <w:color w:val="003366"/>
        </w:rPr>
        <w:t>3.3 PBM Controle Checklist (Vooraf)</w:t>
      </w:r>
    </w:p>
    <w:p>
      <w:pPr>
        <w:spacing w:after="120"/>
      </w:pPr>
      <w:r>
        <w:rPr>
          <w:rFonts w:ascii="Calibri" w:hAnsi="Calibri"/>
          <w:sz w:val="22"/>
        </w:rPr>
        <w:t>Voordat u begint met het hanteren van gevaarlijke stoffen, doorloopt u de volgende vijf controlepunten. Elk punt moet positief worden afgevinkt. Bij een negatieve uitslag op één of meer punten wordt het werk NIET gestart.</w:t>
      </w:r>
    </w:p>
    <w:p>
      <w:pPr>
        <w:ind w:left="283"/>
      </w:pPr>
      <w:r>
        <w:rPr>
          <w:rFonts w:ascii="Calibri" w:hAnsi="Calibri"/>
          <w:sz w:val="22"/>
        </w:rPr>
        <w:t>1. Veiligheidsbril: glazen schoon en krasvrij, goede pasvorm, geen scheuren in het montuur.</w:t>
      </w:r>
    </w:p>
    <w:p>
      <w:pPr>
        <w:ind w:left="283"/>
      </w:pPr>
      <w:r>
        <w:rPr>
          <w:rFonts w:ascii="Calibri" w:hAnsi="Calibri"/>
          <w:sz w:val="22"/>
        </w:rPr>
        <w:t>2. Handschoenen: juist type voor de betreffende stof (nitril voor base, zuur-bestendig voor zuren), geen perforaties of scheuren, juiste maat.</w:t>
      </w:r>
    </w:p>
    <w:p>
      <w:pPr>
        <w:ind w:left="283"/>
      </w:pPr>
      <w:r>
        <w:rPr>
          <w:rFonts w:ascii="Calibri" w:hAnsi="Calibri"/>
          <w:sz w:val="22"/>
        </w:rPr>
        <w:t>3. Labjas: schoon, droog, alle knopen aanwezig, geen gaten of gerafelde naden. Jas volledig gesloten.</w:t>
      </w:r>
    </w:p>
    <w:p>
      <w:pPr>
        <w:ind w:left="283"/>
      </w:pPr>
      <w:r>
        <w:rPr>
          <w:rFonts w:ascii="Calibri" w:hAnsi="Calibri"/>
          <w:sz w:val="22"/>
        </w:rPr>
        <w:t>4. Gesloten schoenen: schoon, droge zolen, geen chemische residu van eerdere werkzaamheden.</w:t>
      </w:r>
    </w:p>
    <w:p>
      <w:pPr>
        <w:ind w:left="283"/>
      </w:pPr>
      <w:r>
        <w:rPr>
          <w:rFonts w:ascii="Calibri" w:hAnsi="Calibri"/>
          <w:sz w:val="22"/>
        </w:rPr>
        <w:t>5. Aanvullende PBM: gezichtsscherm, schort of stofmasker gereed en in goede staat, indien vereist per stof (zie tabel §3.2).</w:t>
      </w:r>
    </w:p>
    <w:p>
      <w:pPr>
        <w:pStyle w:val="Heading2"/>
      </w:pPr>
      <w:r>
        <w:rPr>
          <w:rFonts w:ascii="Calibri" w:hAnsi="Calibri"/>
          <w:color w:val="003366"/>
        </w:rPr>
        <w:t>3.4 PBM Onderhoud en Vervanging</w:t>
      </w:r>
    </w:p>
    <w:p>
      <w:pPr>
        <w:spacing w:after="120"/>
      </w:pPr>
      <w:r>
        <w:rPr>
          <w:rFonts w:ascii="Calibri" w:hAnsi="Calibri"/>
          <w:sz w:val="22"/>
        </w:rPr>
        <w:t>Persoonlijke beschermingsmiddelen zijn geen eenmalige investering. Regelmatig onderhoud en tijdige vervanging zijn essentieel om de beschermingsfunctie te garanderen. De volgende richtlijnen gelden voor alle PBM in het laboratorium.</w:t>
      </w:r>
    </w:p>
    <w:p>
      <w:pPr>
        <w:spacing w:after="120"/>
      </w:pPr>
      <w:r>
        <w:rPr>
          <w:rFonts w:ascii="Calibri" w:hAnsi="Calibri"/>
          <w:sz w:val="22"/>
        </w:rPr>
        <w:t>Handschoenen worden na elk gebruik geïnspecteerd op scheuren, perforaties en verkleuring. Bij twijfel over de integriteit worden handschoenen direct vervangen — hergebruik van beschadigde handschoenen is verboden. Wegwerp-handschoenen worden na één gebruik afgevoerd als chemisch afval. Herbruikbare zuur-bestendige handschoenen worden na gebruik gespoeld met water en opgehangen te drogen.</w:t>
      </w:r>
    </w:p>
    <w:p>
      <w:pPr>
        <w:spacing w:after="120"/>
      </w:pPr>
      <w:r>
        <w:rPr>
          <w:rFonts w:ascii="Calibri" w:hAnsi="Calibri"/>
          <w:sz w:val="22"/>
        </w:rPr>
        <w:t>Veiligheidsbrillen en gezichtsschermen worden wekelijks gereinigd met een zachte doek en milde zeep. Krassen in het vizier verminderen de zichtbaarheid en moeten leiden tot vervanging. De labjas wordt minimaal wekelijks gewassen; bij zichtbare verontreiniging met chemicaliën direct wisselen en de besmette jas apart houden voor speciale reiniging. Stofmaskers (P2) worden na maximaal acht uur gebruik of bij zichtbare vervuiling vervangen. Filters nooit hergebruiken na blootstelling aan vocht.</w:t>
      </w:r>
    </w:p>
    <w:p>
      <w:pPr>
        <w:pStyle w:val="Heading1"/>
      </w:pPr>
      <w:r>
        <w:rPr>
          <w:rFonts w:ascii="Calibri" w:hAnsi="Calibri"/>
          <w:color w:val="003366"/>
        </w:rPr>
        <w:t>4. Opslagregels</w:t>
      </w:r>
    </w:p>
    <w:p>
      <w:pPr>
        <w:spacing w:before="120" w:after="120"/>
      </w:pPr>
      <w:r>
        <w:rPr>
          <w:sz w:val="22"/>
        </w:rPr>
        <w:t xml:space="preserve">⚠️ </w:t>
      </w:r>
      <w:r>
        <w:rPr>
          <w:rFonts w:ascii="Calibri" w:hAnsi="Calibri"/>
          <w:b/>
          <w:color w:val="FF6D00"/>
          <w:sz w:val="22"/>
        </w:rPr>
        <w:t>ZUREN EN BASEN WORDEN IN APARTE ZONES OPGESLAGEN. DIT IS WETTELIJK VERPLICHT OP GROND VAN PGS 15:2025, BIJLAGE E, TABEL 9. NIET-NALEVING IS EEN OVERTREDING VAN DE ARBOWET.</w:t>
      </w:r>
    </w:p>
    <w:p>
      <w:pPr>
        <w:pStyle w:val="Heading2"/>
      </w:pPr>
      <w:r>
        <w:rPr>
          <w:rFonts w:ascii="Calibri" w:hAnsi="Calibri"/>
          <w:color w:val="003366"/>
        </w:rPr>
        <w:t>4.1 Opslaglocatie en Zone-indeling</w:t>
      </w:r>
    </w:p>
    <w:p>
      <w:pPr>
        <w:spacing w:after="120"/>
      </w:pPr>
      <w:r>
        <w:rPr>
          <w:rFonts w:ascii="Calibri" w:hAnsi="Calibri"/>
          <w:sz w:val="22"/>
        </w:rPr>
        <w:t>Het laboratorium van Phoenix Metals hanteert een strikte zone-indeling voor de opslag van gevaarlijke stoffen. Het opslagrack (storage rack in front of lab) is fysiek verdeeld in twee gemarkeerde zones met een minimum afstand van 2 meter.</w:t>
      </w:r>
    </w:p>
    <w:p>
      <w:pPr>
        <w:pStyle w:val="ListBullet"/>
      </w:pPr>
      <w:r>
        <w:rPr>
          <w:rFonts w:ascii="Calibri" w:hAnsi="Calibri"/>
          <w:sz w:val="22"/>
        </w:rPr>
        <w:t>Zuur-zone: Alle zwavelzuurconcentraties (75%, 50%, 25%) worden uitsluitend in deze zone opgeslagen. De zone is gemarkeerd met gele vloertape en een bord "ZUREN — GEEN BASEN".</w:t>
      </w:r>
    </w:p>
    <w:p>
      <w:pPr>
        <w:pStyle w:val="ListBullet"/>
      </w:pPr>
      <w:r>
        <w:rPr>
          <w:rFonts w:ascii="Calibri" w:hAnsi="Calibri"/>
          <w:sz w:val="22"/>
        </w:rPr>
        <w:t>Base-zone: Natriumhydroxide 50% wordt uitsluitend in deze zone opgeslagen. De zone is gemarkeerd met blauwe vloertape en een bord "BASEN — GEEN ZUREN".</w:t>
      </w:r>
    </w:p>
    <w:p>
      <w:pPr>
        <w:pStyle w:val="ListBullet"/>
      </w:pPr>
      <w:r>
        <w:rPr>
          <w:rFonts w:ascii="Calibri" w:hAnsi="Calibri"/>
          <w:sz w:val="22"/>
        </w:rPr>
        <w:t>Scheidingsafstand: Minimaal 2 meter vrije afstand tussen de zuur-zone en de base-zone, conform PGS 15 Bijlage E, paragraaf E.3 (uitzondering bij opslag &lt;10.000 kg).</w:t>
      </w:r>
    </w:p>
    <w:p>
      <w:pPr>
        <w:pStyle w:val="ListBullet"/>
      </w:pPr>
      <w:r>
        <w:rPr>
          <w:rFonts w:ascii="Calibri" w:hAnsi="Calibri"/>
          <w:sz w:val="22"/>
        </w:rPr>
        <w:t>Calciumhydroxide (Ca(OH)₂) wordt apart opgeslagen van alle zuren (A-scheiding conform Tabel 9) vanwege het sterk basische karakter en exotherme reactierisico met zuren.</w:t>
      </w:r>
    </w:p>
    <w:p>
      <w:pPr>
        <w:pStyle w:val="Heading2"/>
      </w:pPr>
      <w:r>
        <w:rPr>
          <w:rFonts w:ascii="Calibri" w:hAnsi="Calibri"/>
          <w:color w:val="003366"/>
        </w:rPr>
        <w:t>4.2 Opslagmethode</w:t>
      </w:r>
    </w:p>
    <w:p>
      <w:pPr>
        <w:spacing w:after="120"/>
      </w:pPr>
      <w:r>
        <w:rPr>
          <w:rFonts w:ascii="Calibri" w:hAnsi="Calibri"/>
          <w:sz w:val="22"/>
        </w:rPr>
        <w:t>Alle gevaarlijke vloeistoffen worden rechtop staand opgeslagen in goedgekeurde lekbakken. Verpakkingen blijven ten alle tijden gesloten wanneer ze niet direct in gebruik zijn. Jerrycans worden na gebruik direct afgesloten met de originele dop. Het is verboden verpakkingen op de zijde of ondersteboven te plaatsen. Vaste stoffen (natriumaluminaat (NaAlO₂), calciumhydroxide (Ca(OH)₂)) worden opgeslagen in gesloten canisters op een droge, verhoogde plaats ter voorkoming van vochtinname.</w:t>
      </w:r>
    </w:p>
    <w:p>
      <w:pPr>
        <w:pStyle w:val="Heading2"/>
      </w:pPr>
      <w:r>
        <w:rPr>
          <w:rFonts w:ascii="Calibri" w:hAnsi="Calibri"/>
          <w:color w:val="003366"/>
        </w:rPr>
        <w:t>4.3 Lekbak-eisen</w:t>
      </w:r>
    </w:p>
    <w:p>
      <w:pPr>
        <w:spacing w:after="120"/>
      </w:pPr>
      <w:r>
        <w:rPr>
          <w:rFonts w:ascii="Calibri" w:hAnsi="Calibri"/>
          <w:sz w:val="22"/>
        </w:rPr>
        <w:t>Elke lekbak moet een opvangcapaciteit hebben van minimaal 110% van het volume van de grootste enkele verpakking in die bak. Voor de 25-liter jerrycans (NaAlO₂ 50% en H₂SO₄ 25%) betekent dit een minimale lekbakcapaciteit van 27,5 liter per bak. Voor de 10-liter jerrycans (H₂SO₄ 75% en 50%) geldt een minimum van 11 liter per bak. Lekbakken moeten vervaardigd zijn van materiaal dat bestand is tegen de opgeslagen stof (HDPE of gelakt staal voor zuren en base). Lekbakken worden wekelijks geïnspecteerd op scheuren, corrosie en vloeistofophoping.</w:t>
      </w:r>
    </w:p>
    <w:p>
      <w:pPr>
        <w:pStyle w:val="Heading2"/>
      </w:pPr>
      <w:r>
        <w:rPr>
          <w:rFonts w:ascii="Calibri" w:hAnsi="Calibri"/>
          <w:color w:val="003366"/>
        </w:rPr>
        <w:t>4.4 Verboden Handelingen</w:t>
      </w:r>
    </w:p>
    <w:p>
      <w:pPr>
        <w:spacing w:after="120"/>
      </w:pPr>
      <w:r>
        <w:rPr>
          <w:rFonts w:ascii="Calibri" w:hAnsi="Calibri"/>
          <w:sz w:val="22"/>
        </w:rPr>
        <w:t>De volgende handelingen zijn ten strengste verboden in en rondom de opslaglocatie. Overtreding leidt tot een formele waarschuwing en bij herhaling tot werkvergunning intrekking.</w:t>
      </w:r>
    </w:p>
    <w:p>
      <w:pPr>
        <w:pStyle w:val="ListBullet"/>
      </w:pPr>
      <w:r>
        <w:rPr>
          <w:rFonts w:ascii="Calibri" w:hAnsi="Calibri"/>
          <w:sz w:val="22"/>
        </w:rPr>
        <w:t>Gevaarlijke stoffen mengen of overgieten in de opslagzone. Mengen gebeurt uitsluitend in de afzuigkap op het lab.</w:t>
      </w:r>
    </w:p>
    <w:p>
      <w:pPr>
        <w:pStyle w:val="ListBullet"/>
      </w:pPr>
      <w:r>
        <w:rPr>
          <w:rFonts w:ascii="Calibri" w:hAnsi="Calibri"/>
          <w:sz w:val="22"/>
        </w:rPr>
        <w:t>Verpakkingen stapelen. Elke jerrycan en canister staat los in de lekbak — geen stapeling.</w:t>
      </w:r>
    </w:p>
    <w:p>
      <w:pPr>
        <w:pStyle w:val="ListBullet"/>
      </w:pPr>
      <w:r>
        <w:rPr>
          <w:rFonts w:ascii="Calibri" w:hAnsi="Calibri"/>
          <w:sz w:val="22"/>
        </w:rPr>
        <w:t>Stoffen hanteren zonder volledige PBM (zie §3). Dit geldt ook voor het verplaatsen van verpakkingen binnen het rack.</w:t>
      </w:r>
    </w:p>
    <w:p>
      <w:pPr>
        <w:pStyle w:val="ListBullet"/>
      </w:pPr>
      <w:r>
        <w:rPr>
          <w:rFonts w:ascii="Calibri" w:hAnsi="Calibri"/>
          <w:sz w:val="22"/>
        </w:rPr>
        <w:t>Etiketten verwijderen, overschilderen of onleesbaar maken. Originele etiketten moeten ten alle tijden zichtbaar en leesbaar blijven.</w:t>
      </w:r>
    </w:p>
    <w:p>
      <w:pPr>
        <w:pStyle w:val="ListBullet"/>
      </w:pPr>
      <w:r>
        <w:rPr>
          <w:rFonts w:ascii="Calibri" w:hAnsi="Calibri"/>
          <w:sz w:val="22"/>
        </w:rPr>
        <w:t>Voedsel, dranken of persoonlijke spullen opslaan in of nabij de opslagzone.</w:t>
      </w:r>
    </w:p>
    <w:p>
      <w:pPr>
        <w:pStyle w:val="ListBullet"/>
      </w:pPr>
      <w:r>
        <w:rPr>
          <w:rFonts w:ascii="Calibri" w:hAnsi="Calibri"/>
          <w:sz w:val="22"/>
        </w:rPr>
        <w:t>Roken, eten of drinken in het laboratorium en de opslaglocatie.</w:t>
      </w:r>
    </w:p>
    <w:p>
      <w:pPr>
        <w:pStyle w:val="Heading2"/>
      </w:pPr>
      <w:r>
        <w:rPr>
          <w:rFonts w:ascii="Calibri" w:hAnsi="Calibri"/>
          <w:color w:val="003366"/>
        </w:rPr>
        <w:t>4.5 Etikettering</w:t>
      </w:r>
    </w:p>
    <w:p>
      <w:pPr>
        <w:spacing w:after="120"/>
      </w:pPr>
      <w:r>
        <w:rPr>
          <w:rFonts w:ascii="Calibri" w:hAnsi="Calibri"/>
          <w:sz w:val="22"/>
        </w:rPr>
        <w:t>Alle verpakkingen dragen het originele fabrikantetiket met GHS-pictogrammen, H- en P-zinnen, en de CAS-nummers conform de CLP-Verordening (EG 1272/2008). Naast het originele etiket worden alle opslageenheden voorzien van een NEN-EN-ISO 20560 etiket (GHS-gevarensymbool + stofnaam) op de buitenzijde van de lekbak of het vak. Bij het overgieten van stoffen naar kleinere verpakkingen ontvangt de nieuwe verpakking direct een volledig etiket met dezelfde gevareninformatie. Onetiketteerde verpakkingen worden direct uit omloop genomen en gemeld bij de Lab Manager.</w:t>
      </w:r>
    </w:p>
    <w:p>
      <w:pPr>
        <w:pStyle w:val="Heading1"/>
      </w:pPr>
      <w:r>
        <w:rPr>
          <w:rFonts w:ascii="Calibri" w:hAnsi="Calibri"/>
          <w:color w:val="003366"/>
        </w:rPr>
        <w:t>5. Hanteringsprocedure</w:t>
      </w:r>
    </w:p>
    <w:p>
      <w:pPr>
        <w:pStyle w:val="Heading2"/>
      </w:pPr>
      <w:r>
        <w:rPr>
          <w:rFonts w:ascii="Calibri" w:hAnsi="Calibri"/>
          <w:color w:val="003366"/>
        </w:rPr>
        <w:t>5.1 Voorbereiding</w:t>
      </w:r>
    </w:p>
    <w:p>
      <w:pPr>
        <w:spacing w:after="120"/>
      </w:pPr>
      <w:r>
        <w:rPr>
          <w:rFonts w:ascii="Calibri" w:hAnsi="Calibri"/>
          <w:sz w:val="22"/>
        </w:rPr>
        <w:t>Elke hantering van gevaarlijke stoffen begint met een gestructureerde voorbereiding. Het doel is om risico's te identificeren en te mitigeren voordat de daadwerkelijke blootstelling plaatsvindt. Doorloop altijd de volgende stappen in de aangegeven volgorde:</w:t>
      </w:r>
    </w:p>
    <w:p>
      <w:pPr>
        <w:ind w:left="283"/>
      </w:pPr>
      <w:r>
        <w:rPr>
          <w:rFonts w:ascii="Calibri" w:hAnsi="Calibri"/>
          <w:sz w:val="22"/>
        </w:rPr>
        <w:t>1. PBM-check: Volledig §3.3 checklist afwerken. Bij negatieve uitslag op één punt: werk niet starten.</w:t>
      </w:r>
    </w:p>
    <w:p>
      <w:pPr>
        <w:ind w:left="283"/>
      </w:pPr>
      <w:r>
        <w:rPr>
          <w:rFonts w:ascii="Calibri" w:hAnsi="Calibri"/>
          <w:sz w:val="22"/>
        </w:rPr>
        <w:t>2. Werkplekinspectie: Controleer of de afzuigkap functioneert (indien van toepassing), de werkplek schoon en droog is, en voldoende absorptiemateriaal en een nooddouche bereikbaar zijn.</w:t>
      </w:r>
    </w:p>
    <w:p>
      <w:pPr>
        <w:ind w:left="283"/>
      </w:pPr>
      <w:r>
        <w:rPr>
          <w:rFonts w:ascii="Calibri" w:hAnsi="Calibri"/>
          <w:sz w:val="22"/>
        </w:rPr>
        <w:t>3. Materialen klaarzetten: Plaats de benodigde stof(fen), een schone trechter, een maatbeker of maatcilinder, en een afvalcontainer binnen handbereik voordat u de verpakking opent.</w:t>
      </w:r>
    </w:p>
    <w:p>
      <w:pPr>
        <w:ind w:left="283"/>
      </w:pPr>
      <w:r>
        <w:rPr>
          <w:rFonts w:ascii="Calibri" w:hAnsi="Calibri"/>
          <w:sz w:val="22"/>
        </w:rPr>
        <w:t>4. Werkvergunning: Controleer of een geldige werkvergunning van toepassing is (bij grote volumes of nieuwe stoffen).</w:t>
      </w:r>
    </w:p>
    <w:p>
      <w:pPr>
        <w:pStyle w:val="Heading2"/>
      </w:pPr>
      <w:r>
        <w:rPr>
          <w:rFonts w:ascii="Calibri" w:hAnsi="Calibri"/>
          <w:color w:val="003366"/>
        </w:rPr>
        <w:t>5.2 Tijdens het Werk</w:t>
      </w:r>
    </w:p>
    <w:p>
      <w:pPr>
        <w:spacing w:after="120"/>
      </w:pPr>
      <w:r>
        <w:rPr>
          <w:rFonts w:ascii="Calibri" w:hAnsi="Calibri"/>
          <w:sz w:val="22"/>
        </w:rPr>
        <w:t>Tijdens het hanteren van gevaarlijke stoffen gelden de volgende gedragsregels. Afwijken van deze regels is alleen toegestaan na schriftelijke toestemming van de Lab Manager.</w:t>
      </w:r>
    </w:p>
    <w:p>
      <w:pPr>
        <w:pStyle w:val="ListBullet"/>
      </w:pPr>
      <w:r>
        <w:rPr>
          <w:rFonts w:ascii="Calibri" w:hAnsi="Calibri"/>
          <w:sz w:val="22"/>
        </w:rPr>
        <w:t>Gebruik altijd de juiste gietechniek: langzaam schenken, de trechter gebruiken, en de ontvangstcontainer niet meer dan 80% vullen om spatten te voorkomen.</w:t>
      </w:r>
    </w:p>
    <w:p>
      <w:pPr>
        <w:pStyle w:val="ListBullet"/>
      </w:pPr>
      <w:r>
        <w:rPr>
          <w:rFonts w:ascii="Calibri" w:hAnsi="Calibri"/>
          <w:sz w:val="22"/>
        </w:rPr>
        <w:t>Open verpakkingen nooit onnodig lang. Giet de benodigde hoeveelheid af en sluit de verpakking direct.</w:t>
      </w:r>
    </w:p>
    <w:p>
      <w:pPr>
        <w:pStyle w:val="ListBullet"/>
      </w:pPr>
      <w:r>
        <w:rPr>
          <w:rFonts w:ascii="Calibri" w:hAnsi="Calibri"/>
          <w:sz w:val="22"/>
        </w:rPr>
        <w:t>Werk indien mogelijk in de afzuigkap, zeker bij stoffen die dampen of nevels kunnen vormen (zwavelzuur, calciumhydroxide (Ca(OH)₂)).</w:t>
      </w:r>
    </w:p>
    <w:p>
      <w:pPr>
        <w:pStyle w:val="ListBullet"/>
      </w:pPr>
      <w:r>
        <w:rPr>
          <w:rFonts w:ascii="Calibri" w:hAnsi="Calibri"/>
          <w:sz w:val="22"/>
        </w:rPr>
        <w:t>Houd altijd een oog op de werkplek: bij onverwachte reacties, kleurveranderingen, warmteontwikkeling of gasvorming direct stoppen en de Lab Manager informeren.</w:t>
      </w:r>
    </w:p>
    <w:p>
      <w:pPr>
        <w:pStyle w:val="Heading2"/>
      </w:pPr>
      <w:r>
        <w:rPr>
          <w:rFonts w:ascii="Calibri" w:hAnsi="Calibri"/>
          <w:color w:val="003366"/>
        </w:rPr>
        <w:t>5.3 Na Afloop</w:t>
      </w:r>
    </w:p>
    <w:p>
      <w:pPr>
        <w:spacing w:after="120"/>
      </w:pPr>
      <w:r>
        <w:rPr>
          <w:rFonts w:ascii="Calibri" w:hAnsi="Calibri"/>
          <w:sz w:val="22"/>
        </w:rPr>
        <w:t>Na afronding van het werk worden de volgende stappen uitgevoerd. Het lab wordt niet verlaten voordat deze afsluitprocedure volledig is doorlopen.</w:t>
      </w:r>
    </w:p>
    <w:p>
      <w:pPr>
        <w:ind w:left="283"/>
      </w:pPr>
      <w:r>
        <w:rPr>
          <w:rFonts w:ascii="Calibri" w:hAnsi="Calibri"/>
          <w:sz w:val="22"/>
        </w:rPr>
        <w:t>1. Afvalafvoer: Chemisch afval wordt verzameld in de daartoe bestemde afvalcontainers (gescheiden naar zuur, base en vast). Containers worden gesloten en voorzien van een afvallabel.</w:t>
      </w:r>
    </w:p>
    <w:p>
      <w:pPr>
        <w:ind w:left="283"/>
      </w:pPr>
      <w:r>
        <w:rPr>
          <w:rFonts w:ascii="Calibri" w:hAnsi="Calibri"/>
          <w:sz w:val="22"/>
        </w:rPr>
        <w:t>2. Werkplek opruimen: Alle materialen worden schoongespoeld en teruggeplaatst. Gemorste druppels worden direct verwijderd met absorptiemateriaal.</w:t>
      </w:r>
    </w:p>
    <w:p>
      <w:pPr>
        <w:ind w:left="283"/>
      </w:pPr>
      <w:r>
        <w:rPr>
          <w:rFonts w:ascii="Calibri" w:hAnsi="Calibri"/>
          <w:sz w:val="22"/>
        </w:rPr>
        <w:t>3. Handen wassen: Uitgebreid handen wassen met water en zeep, minimaal 30 seconden, ook als handschoenen zijn gedragen.</w:t>
      </w:r>
    </w:p>
    <w:p>
      <w:pPr>
        <w:ind w:left="283"/>
      </w:pPr>
      <w:r>
        <w:rPr>
          <w:rFonts w:ascii="Calibri" w:hAnsi="Calibri"/>
          <w:sz w:val="22"/>
        </w:rPr>
        <w:t>4. Logboek bijwerken: Noteer de gebruikte stof, hoeveelheid, datum en eventuele bijzonderheden in het lablogboek.</w:t>
      </w:r>
    </w:p>
    <w:p>
      <w:pPr>
        <w:pStyle w:val="Heading2"/>
      </w:pPr>
      <w:r>
        <w:rPr>
          <w:rFonts w:ascii="Calibri" w:hAnsi="Calibri"/>
          <w:color w:val="003366"/>
        </w:rPr>
        <w:t>5.4 Verboden Handelingen</w:t>
      </w:r>
    </w:p>
    <w:p>
      <w:pPr>
        <w:spacing w:after="120"/>
      </w:pPr>
      <w:r>
        <w:rPr>
          <w:rFonts w:ascii="Calibri" w:hAnsi="Calibri"/>
          <w:sz w:val="22"/>
        </w:rPr>
        <w:t>De volgende handelingen zijn te allen tijde verboden in het laboratorium. Overtreding ervan vormt een direct gevaar voor de gezondheid en veiligheid van uzelf en uw collega's en zal leiden tot disciplinaire maatregelen.</w:t>
      </w:r>
    </w:p>
    <w:p>
      <w:pPr>
        <w:pStyle w:val="ListBullet"/>
      </w:pPr>
      <w:r>
        <w:rPr>
          <w:rFonts w:ascii="Calibri" w:hAnsi="Calibri"/>
          <w:sz w:val="22"/>
        </w:rPr>
        <w:t>Overgieten zonder trechter — verhoogt het risico op spatten aanzienlijk.</w:t>
      </w:r>
    </w:p>
    <w:p>
      <w:pPr>
        <w:pStyle w:val="ListBullet"/>
      </w:pPr>
      <w:r>
        <w:rPr>
          <w:rFonts w:ascii="Calibri" w:hAnsi="Calibri"/>
          <w:sz w:val="22"/>
        </w:rPr>
        <w:t>Stoffen mengen zonder voorafgaande compatibiliteitscontrole (raadpleeg §2 en de VIB/SDS).</w:t>
      </w:r>
    </w:p>
    <w:p>
      <w:pPr>
        <w:pStyle w:val="ListBullet"/>
      </w:pPr>
      <w:r>
        <w:rPr>
          <w:rFonts w:ascii="Calibri" w:hAnsi="Calibri"/>
          <w:sz w:val="22"/>
        </w:rPr>
        <w:t>Roken, eten of drinken in het laboratorium.</w:t>
      </w:r>
    </w:p>
    <w:p>
      <w:pPr>
        <w:pStyle w:val="ListBullet"/>
      </w:pPr>
      <w:r>
        <w:rPr>
          <w:rFonts w:ascii="Calibri" w:hAnsi="Calibri"/>
          <w:sz w:val="22"/>
        </w:rPr>
        <w:t>Werken met gevaarlijke stoffen als u alleen bent — altijd minimaal twee personen aanwezig.</w:t>
      </w:r>
    </w:p>
    <w:p>
      <w:pPr>
        <w:pStyle w:val="ListBullet"/>
      </w:pPr>
      <w:r>
        <w:rPr>
          <w:rFonts w:ascii="Calibri" w:hAnsi="Calibri"/>
          <w:sz w:val="22"/>
        </w:rPr>
        <w:t>Het lab verlaten met openstaande verpakkingen of actieve werkzaamheden.</w:t>
      </w:r>
    </w:p>
    <w:p>
      <w:pPr>
        <w:pStyle w:val="Heading1"/>
      </w:pPr>
      <w:r>
        <w:rPr>
          <w:rFonts w:ascii="Calibri" w:hAnsi="Calibri"/>
          <w:color w:val="003366"/>
        </w:rPr>
        <w:t>6. Morsprocedure</w:t>
      </w:r>
    </w:p>
    <w:p>
      <w:pPr>
        <w:spacing w:after="120"/>
      </w:pPr>
      <w:r>
        <w:rPr>
          <w:rFonts w:ascii="Calibri" w:hAnsi="Calibri"/>
          <w:sz w:val="22"/>
        </w:rPr>
        <w:t>Een morsincident vereist onmiddellijk en adequaat handelen. De juiste reactie is afhankelijk van het type stof en de omvang van het morsincident. Onderstaande procedures zijn bindend en worden jaarlijks geoefend in een praktijksessie. Elk morsincident — hoe klein ook — wordt gerapporteerd in het incidentenregister.</w:t>
      </w:r>
    </w:p>
    <w:p>
      <w:pPr>
        <w:pStyle w:val="Heading2"/>
      </w:pPr>
      <w:r>
        <w:rPr>
          <w:rFonts w:ascii="Calibri" w:hAnsi="Calibri"/>
          <w:color w:val="003366"/>
        </w:rPr>
        <w:t>6.1 Klein Morsincident (&lt; 100 ml)</w:t>
      </w:r>
    </w:p>
    <w:p>
      <w:pPr>
        <w:spacing w:after="120"/>
      </w:pPr>
      <w:r>
        <w:rPr>
          <w:rFonts w:ascii="Calibri" w:hAnsi="Calibri"/>
          <w:sz w:val="22"/>
        </w:rPr>
        <w:t>Bij een klein morsincident (minder dan 100 milliliter) wordt de volgende procedure gevolgd. De medewerker handelt zelfstandig mits volledig PBM gedragen.</w:t>
      </w:r>
    </w:p>
    <w:p>
      <w:pPr>
        <w:ind w:left="283"/>
      </w:pPr>
      <w:r>
        <w:rPr>
          <w:rFonts w:ascii="Calibri" w:hAnsi="Calibri"/>
          <w:sz w:val="22"/>
        </w:rPr>
        <w:t>1. Isolatie: Markeer de gemorste zone direct. Voorkom dat anderen door de gemorste stof lopen.</w:t>
      </w:r>
    </w:p>
    <w:p>
      <w:pPr>
        <w:ind w:left="283"/>
      </w:pPr>
      <w:r>
        <w:rPr>
          <w:rFonts w:ascii="Calibri" w:hAnsi="Calibri"/>
          <w:sz w:val="22"/>
        </w:rPr>
        <w:t>2. PBM aantrekken: Controleer of u volledig PBM draagt conform §3. Indien niet: eerst PBM aantrekken.</w:t>
      </w:r>
    </w:p>
    <w:p>
      <w:pPr>
        <w:ind w:left="283"/>
      </w:pPr>
      <w:r>
        <w:rPr>
          <w:rFonts w:ascii="Calibri" w:hAnsi="Calibri"/>
          <w:sz w:val="22"/>
        </w:rPr>
        <w:t>3. Absorberen: Strooi absorptiemateriaal (chemisorb, universeldeppen of zand) rondom en op de gemorste stof. Werk van buiten naar binnen om verspreiding te voorkomen.</w:t>
      </w:r>
    </w:p>
    <w:p>
      <w:pPr>
        <w:ind w:left="283"/>
      </w:pPr>
      <w:r>
        <w:rPr>
          <w:rFonts w:ascii="Calibri" w:hAnsi="Calibri"/>
          <w:sz w:val="22"/>
        </w:rPr>
        <w:t>4. Opruimen: Laat het absorptiemateriaal de stof volledig opnemen. Schep het verzadigde materiaal op in een afvalcontainer. Reinig de ondergrond met water en een geschikt reinigingsmiddel.</w:t>
      </w:r>
    </w:p>
    <w:p>
      <w:pPr>
        <w:ind w:left="283"/>
      </w:pPr>
      <w:r>
        <w:rPr>
          <w:rFonts w:ascii="Calibri" w:hAnsi="Calibri"/>
          <w:sz w:val="22"/>
        </w:rPr>
        <w:t>5. Rapporteren: Meld het incident in het incidentenregister met datum, tijd, stof, hoeveelheid en genomen maatregelen.</w:t>
      </w:r>
    </w:p>
    <w:p>
      <w:pPr>
        <w:pStyle w:val="Heading2"/>
      </w:pPr>
      <w:r>
        <w:rPr>
          <w:rFonts w:ascii="Calibri" w:hAnsi="Calibri"/>
          <w:color w:val="003366"/>
        </w:rPr>
        <w:t>6.2 Groot Morsincident (&gt; 100 ml)</w:t>
      </w:r>
    </w:p>
    <w:p>
      <w:pPr>
        <w:spacing w:after="120"/>
      </w:pPr>
      <w:r>
        <w:rPr>
          <w:rFonts w:ascii="Calibri" w:hAnsi="Calibri"/>
          <w:sz w:val="22"/>
        </w:rPr>
        <w:t>Bij een groot morsincident (meer dan 100 milliliter) of bij twijfel over de veiligheid wordt de volgende noodprocedure geactiveerd. De prioriteit ligt op evacuatie en alarmering — niet op zelfstandige opruiming.</w:t>
      </w:r>
    </w:p>
    <w:p>
      <w:pPr>
        <w:ind w:left="283"/>
      </w:pPr>
      <w:r>
        <w:rPr>
          <w:rFonts w:ascii="Calibri" w:hAnsi="Calibri"/>
          <w:sz w:val="22"/>
        </w:rPr>
        <w:t>1. Evacueren: Verlaat direct het laboratorium via de dichtstbijzijnde uitgang. Neem het gastenregister mee als dit direct beschikbaar is.</w:t>
      </w:r>
    </w:p>
    <w:p>
      <w:pPr>
        <w:ind w:left="283"/>
      </w:pPr>
      <w:r>
        <w:rPr>
          <w:rFonts w:ascii="Calibri" w:hAnsi="Calibri"/>
          <w:sz w:val="22"/>
        </w:rPr>
        <w:t>2. Deuren sluiten: Sluit de deuren van het lab achter u om verspreiding van dampen tegen te gaan. Sluit deuren NIET op slot — hulpdiensten moeten toegang hebben.</w:t>
      </w:r>
    </w:p>
    <w:p>
      <w:pPr>
        <w:ind w:left="283"/>
      </w:pPr>
      <w:r>
        <w:rPr>
          <w:rFonts w:ascii="Calibri" w:hAnsi="Calibri"/>
          <w:sz w:val="22"/>
        </w:rPr>
        <w:t>3. Lab Manager bellen: Informeer de Lab Manager via intercom of mobiele telefoon. Geef door: welke stof, geschat volume, en of er personen gewond zijn.</w:t>
      </w:r>
    </w:p>
    <w:p>
      <w:pPr>
        <w:ind w:left="283"/>
      </w:pPr>
      <w:r>
        <w:rPr>
          <w:rFonts w:ascii="Calibri" w:hAnsi="Calibri"/>
          <w:sz w:val="22"/>
        </w:rPr>
        <w:t>4. 112 bellen: Bel 112 indien er gewonden zijn, indien de stof in het riool of oppervlaktewater dreigt te stromen, of bij brand of rookontwikkeling.</w:t>
      </w:r>
    </w:p>
    <w:p>
      <w:pPr>
        <w:ind w:left="283"/>
      </w:pPr>
      <w:r>
        <w:rPr>
          <w:rFonts w:ascii="Calibri" w:hAnsi="Calibri"/>
          <w:sz w:val="22"/>
        </w:rPr>
        <w:t>5. Wacht buiten: Blijf op een veilige afstand (minimaal 10 meter) en ontvang de hulpdiensten. Geef de VIB/SDS van de betrokken stof aan de hulpverleners.</w:t>
      </w:r>
    </w:p>
    <w:p>
      <w:pPr>
        <w:pStyle w:val="Heading2"/>
      </w:pPr>
      <w:r>
        <w:rPr>
          <w:rFonts w:ascii="Calibri" w:hAnsi="Calibri"/>
          <w:color w:val="003366"/>
        </w:rPr>
        <w:t>6.3 Specifieke Procedure: NaAlO₂-morsing</w:t>
      </w:r>
    </w:p>
    <w:p>
      <w:pPr>
        <w:spacing w:before="120" w:after="120"/>
      </w:pPr>
      <w:r>
        <w:rPr>
          <w:rFonts w:ascii="Calibri" w:hAnsi="Calibri"/>
          <w:b/>
          <w:color w:val="EF4444"/>
          <w:sz w:val="22"/>
        </w:rPr>
        <w:t xml:space="preserve">⛔ WAARSCHUWING: </w:t>
      </w:r>
      <w:r>
        <w:rPr>
          <w:rFonts w:ascii="Calibri" w:hAnsi="Calibri"/>
          <w:b/>
          <w:color w:val="EF4444"/>
          <w:sz w:val="22"/>
        </w:rPr>
        <w:t>Natriumhydroxide NOOIT neutraliseren met een zuur. De neutralisatiereactie is sterk exotherm en veroorzaakt spatten en hitte-ontwikkeling.</w:t>
      </w:r>
    </w:p>
    <w:p>
      <w:pPr>
        <w:spacing w:after="120"/>
      </w:pPr>
      <w:r>
        <w:rPr>
          <w:rFonts w:ascii="Calibri" w:hAnsi="Calibri"/>
          <w:sz w:val="22"/>
        </w:rPr>
        <w:t>Bij morsing van natriumaluminaat 50% wordt de gemorste stof geabsorbeerd met inert absorptiemateriaal (chemisorb of universeldeppen). Het gemorste gebied wordt daarna voorzichtig nagespoeld met een kleine hoeveelheid water terwijl de afvoer wordt opgevangen in een lekbak. Het spoelwater wordt als chemisch afval afgevoerd. Dragen altijd nitril handschoenen en gezichtsscherm tijdens de opruiming.</w:t>
      </w:r>
    </w:p>
    <w:p>
      <w:pPr>
        <w:pStyle w:val="Heading2"/>
      </w:pPr>
      <w:r>
        <w:rPr>
          <w:rFonts w:ascii="Calibri" w:hAnsi="Calibri"/>
          <w:color w:val="003366"/>
        </w:rPr>
        <w:t>6.4 Specifieke Procedure: H₂SO₄-morsing</w:t>
      </w:r>
    </w:p>
    <w:p>
      <w:pPr>
        <w:spacing w:before="120" w:after="120"/>
      </w:pPr>
      <w:r>
        <w:rPr>
          <w:rFonts w:ascii="Calibri" w:hAnsi="Calibri"/>
          <w:b/>
          <w:color w:val="EF4444"/>
          <w:sz w:val="22"/>
        </w:rPr>
        <w:t xml:space="preserve">⛔ WAARSCHUWING: </w:t>
      </w:r>
      <w:r>
        <w:rPr>
          <w:rFonts w:ascii="Calibri" w:hAnsi="Calibri"/>
          <w:b/>
          <w:color w:val="EF4444"/>
          <w:sz w:val="22"/>
        </w:rPr>
        <w:t>Zwavelzuur NOOIT direct met grote hoeveelheden water verdunnen — de reactie is exotherm en kan leiden tot kokend water en spatten.</w:t>
      </w:r>
    </w:p>
    <w:p>
      <w:pPr>
        <w:spacing w:after="120"/>
      </w:pPr>
      <w:r>
        <w:rPr>
          <w:rFonts w:ascii="Calibri" w:hAnsi="Calibri"/>
          <w:sz w:val="22"/>
        </w:rPr>
        <w:t>Bij morsing van zwavelzuur wordt de gemorste stof geabsorbeerd met zand, chemisorb of een geschikte universele absorbent. Na absorptie wordt het materiaal voorzichtig opgeschept in een afvalcontainer. De ondergrond wordt daarna neutraliserend nagespoeld met een natriumbicarbonaat-oplossing (bakpoeder), gevolgd door water. Draag altijd zuur-bestendige handschoenen, gezichtsscherm en schort tijdens de opruiming.</w:t>
      </w:r>
    </w:p>
    <w:p>
      <w:pPr>
        <w:pStyle w:val="Heading2"/>
      </w:pPr>
      <w:r>
        <w:rPr>
          <w:rFonts w:ascii="Calibri" w:hAnsi="Calibri"/>
          <w:color w:val="003366"/>
        </w:rPr>
        <w:t>6.5 Eerste Hulp</w:t>
      </w:r>
    </w:p>
    <w:p>
      <w:pPr>
        <w:spacing w:after="120"/>
      </w:pPr>
      <w:r>
        <w:rPr>
          <w:rFonts w:ascii="Calibri" w:hAnsi="Calibri"/>
          <w:sz w:val="22"/>
        </w:rPr>
        <w:t>De volgende eerste-hulpmaatregelen zijn specifiek voor blootstelling aan de in dit lab gebruikte gevaarlijke stoffen. Bij twijfel altijd direct een arts raadplegen en de VIB/SDS meenemen.</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003366"/>
          </w:tcPr>
          <w:p>
            <w:pPr>
              <w:jc w:val="center"/>
            </w:pPr>
            <w:r>
              <w:rPr>
                <w:color w:val="FFFFFF"/>
              </w:rPr>
            </w:r>
            <w:r>
              <w:rPr>
                <w:rFonts w:ascii="Calibri" w:hAnsi="Calibri"/>
                <w:b/>
                <w:color w:val="FFFFFF"/>
                <w:sz w:val="20"/>
              </w:rPr>
              <w:t>Blootstelling</w:t>
            </w:r>
          </w:p>
        </w:tc>
        <w:tc>
          <w:tcPr>
            <w:tcW w:type="dxa" w:w="3120"/>
            <w:shd w:fill="003366"/>
          </w:tcPr>
          <w:p>
            <w:pPr>
              <w:jc w:val="center"/>
            </w:pPr>
            <w:r>
              <w:rPr>
                <w:color w:val="FFFFFF"/>
              </w:rPr>
            </w:r>
            <w:r>
              <w:rPr>
                <w:rFonts w:ascii="Calibri" w:hAnsi="Calibri"/>
                <w:b/>
                <w:color w:val="FFFFFF"/>
                <w:sz w:val="20"/>
              </w:rPr>
              <w:t>Maatregel</w:t>
            </w:r>
          </w:p>
        </w:tc>
        <w:tc>
          <w:tcPr>
            <w:tcW w:type="dxa" w:w="3120"/>
            <w:shd w:fill="003366"/>
          </w:tcPr>
          <w:p>
            <w:pPr>
              <w:jc w:val="center"/>
            </w:pPr>
            <w:r>
              <w:rPr>
                <w:color w:val="FFFFFF"/>
              </w:rPr>
            </w:r>
            <w:r>
              <w:rPr>
                <w:rFonts w:ascii="Calibri" w:hAnsi="Calibri"/>
                <w:b/>
                <w:color w:val="FFFFFF"/>
                <w:sz w:val="20"/>
              </w:rPr>
              <w:t>Vervolgactie</w:t>
            </w:r>
          </w:p>
        </w:tc>
      </w:tr>
      <w:tr>
        <w:tc>
          <w:tcPr>
            <w:tcW w:type="dxa" w:w="3120"/>
          </w:tcPr>
          <w:p>
            <w:r/>
            <w:r>
              <w:rPr>
                <w:rFonts w:ascii="Calibri" w:hAnsi="Calibri"/>
                <w:color w:val="1F2937"/>
                <w:sz w:val="20"/>
              </w:rPr>
              <w:t>Huidcontact</w:t>
            </w:r>
          </w:p>
        </w:tc>
        <w:tc>
          <w:tcPr>
            <w:tcW w:type="dxa" w:w="3120"/>
          </w:tcPr>
          <w:p>
            <w:r/>
            <w:r>
              <w:rPr>
                <w:rFonts w:ascii="Calibri" w:hAnsi="Calibri"/>
                <w:color w:val="1F2937"/>
                <w:sz w:val="20"/>
              </w:rPr>
              <w:t>Direct spoelen met veel water,</w:t>
              <w:br/>
              <w:t>minimaal 15 minuten.</w:t>
              <w:br/>
              <w:t>Besmette kleding uittrekken.</w:t>
            </w:r>
          </w:p>
        </w:tc>
        <w:tc>
          <w:tcPr>
            <w:tcW w:type="dxa" w:w="3120"/>
          </w:tcPr>
          <w:p>
            <w:r/>
            <w:r>
              <w:rPr>
                <w:rFonts w:ascii="Calibri" w:hAnsi="Calibri"/>
                <w:color w:val="1F2937"/>
                <w:sz w:val="20"/>
              </w:rPr>
              <w:t>Arts raadplegen bij</w:t>
              <w:br/>
              <w:t>roodheid, blaren of pijn.</w:t>
              <w:br/>
              <w:t>Blijven spoelen tot arts arriveert.</w:t>
            </w:r>
          </w:p>
        </w:tc>
      </w:tr>
      <w:tr>
        <w:tc>
          <w:tcPr>
            <w:tcW w:type="dxa" w:w="3120"/>
          </w:tcPr>
          <w:p>
            <w:r/>
            <w:r>
              <w:rPr>
                <w:rFonts w:ascii="Calibri" w:hAnsi="Calibri"/>
                <w:color w:val="1F2937"/>
                <w:sz w:val="20"/>
              </w:rPr>
              <w:t>Oogcontact</w:t>
            </w:r>
          </w:p>
        </w:tc>
        <w:tc>
          <w:tcPr>
            <w:tcW w:type="dxa" w:w="3120"/>
          </w:tcPr>
          <w:p>
            <w:r/>
            <w:r>
              <w:rPr>
                <w:rFonts w:ascii="Calibri" w:hAnsi="Calibri"/>
                <w:color w:val="1F2937"/>
                <w:sz w:val="20"/>
              </w:rPr>
              <w:t>Direct spoelen met veel water</w:t>
              <w:br/>
              <w:t>of oogdouchespiraal,</w:t>
              <w:br/>
              <w:t>minimaal 15 minuten.</w:t>
              <w:br/>
              <w:t>Oogleden openhouden.</w:t>
            </w:r>
          </w:p>
        </w:tc>
        <w:tc>
          <w:tcPr>
            <w:tcW w:type="dxa" w:w="3120"/>
          </w:tcPr>
          <w:p>
            <w:r/>
            <w:r>
              <w:rPr>
                <w:rFonts w:ascii="Calibri" w:hAnsi="Calibri"/>
                <w:color w:val="1F2937"/>
                <w:sz w:val="20"/>
              </w:rPr>
              <w:t>Direct arts raadplegen.</w:t>
              <w:br/>
              <w:t>Oogarts inschakelen.</w:t>
              <w:br/>
              <w:t>NOOIT neutraliseren.</w:t>
            </w:r>
          </w:p>
        </w:tc>
      </w:tr>
      <w:tr>
        <w:tc>
          <w:tcPr>
            <w:tcW w:type="dxa" w:w="3120"/>
          </w:tcPr>
          <w:p>
            <w:r/>
            <w:r>
              <w:rPr>
                <w:rFonts w:ascii="Calibri" w:hAnsi="Calibri"/>
                <w:color w:val="1F2937"/>
                <w:sz w:val="20"/>
              </w:rPr>
              <w:t>Inslikken</w:t>
            </w:r>
          </w:p>
        </w:tc>
        <w:tc>
          <w:tcPr>
            <w:tcW w:type="dxa" w:w="3120"/>
          </w:tcPr>
          <w:p>
            <w:r/>
            <w:r>
              <w:rPr>
                <w:rFonts w:ascii="Calibri" w:hAnsi="Calibri"/>
                <w:color w:val="1F2937"/>
                <w:sz w:val="20"/>
              </w:rPr>
              <w:t>Mond spoelen met water.</w:t>
              <w:br/>
              <w:t>NIET braken opwekken.</w:t>
              <w:br/>
              <w:t>Geen Zuiveringszout geven.</w:t>
            </w:r>
          </w:p>
        </w:tc>
        <w:tc>
          <w:tcPr>
            <w:tcW w:type="dxa" w:w="3120"/>
          </w:tcPr>
          <w:p>
            <w:r/>
            <w:r>
              <w:rPr>
                <w:rFonts w:ascii="Calibri" w:hAnsi="Calibri"/>
                <w:color w:val="1F2937"/>
                <w:sz w:val="20"/>
              </w:rPr>
              <w:t>Direct arts raadplegen.</w:t>
              <w:br/>
              <w:t>112 bellen.</w:t>
              <w:br/>
              <w:t>VIB/SDS meenemen.</w:t>
            </w:r>
          </w:p>
        </w:tc>
      </w:tr>
      <w:tr>
        <w:tc>
          <w:tcPr>
            <w:tcW w:type="dxa" w:w="3120"/>
          </w:tcPr>
          <w:p>
            <w:r/>
            <w:r>
              <w:rPr>
                <w:rFonts w:ascii="Calibri" w:hAnsi="Calibri"/>
                <w:color w:val="1F2937"/>
                <w:sz w:val="20"/>
              </w:rPr>
              <w:t>Inademing</w:t>
            </w:r>
          </w:p>
        </w:tc>
        <w:tc>
          <w:tcPr>
            <w:tcW w:type="dxa" w:w="3120"/>
          </w:tcPr>
          <w:p>
            <w:r/>
            <w:r>
              <w:rPr>
                <w:rFonts w:ascii="Calibri" w:hAnsi="Calibri"/>
                <w:color w:val="1F2937"/>
                <w:sz w:val="20"/>
              </w:rPr>
              <w:t>Slachtoffer naar frisse lucht</w:t>
              <w:br/>
              <w:t>brengen.</w:t>
              <w:br/>
              <w:t>Zitpositie bij benauwdheid.</w:t>
            </w:r>
          </w:p>
        </w:tc>
        <w:tc>
          <w:tcPr>
            <w:tcW w:type="dxa" w:w="3120"/>
          </w:tcPr>
          <w:p>
            <w:r/>
            <w:r>
              <w:rPr>
                <w:rFonts w:ascii="Calibri" w:hAnsi="Calibri"/>
                <w:color w:val="1F2937"/>
                <w:sz w:val="20"/>
              </w:rPr>
              <w:t>Arts raadplegen bij</w:t>
              <w:br/>
              <w:t>ademhalingsklachten.</w:t>
              <w:br/>
              <w:t>112 bij bewusteloosheid.</w:t>
            </w:r>
          </w:p>
        </w:tc>
      </w:tr>
    </w:tbl>
    <w:p>
      <w:pPr>
        <w:spacing w:after="120"/>
      </w:pPr>
    </w:p>
    <w:p>
      <w:pPr>
        <w:spacing w:after="120"/>
      </w:pPr>
      <w:r>
        <w:rPr>
          <w:rFonts w:ascii="Calibri" w:hAnsi="Calibri"/>
          <w:sz w:val="22"/>
        </w:rPr>
        <w:t>Na elk eerste-hulp incident wordt het gebeuren vastgelegd in het ongevallenregister van Phoenix Metals. De HSE Coördinator wordt altijd geïnformeerd, ook bij ogenschijnlijk kleine incidenten. Preventie begint bij registratie.</w:t>
      </w:r>
    </w:p>
    <w:p>
      <w:r>
        <w:br w:type="page"/>
      </w:r>
    </w:p>
    <w:p>
      <w:r>
        <w:t>──────────────────────────────────────────────────</w:t>
      </w:r>
    </w:p>
    <w:p>
      <w:pPr>
        <w:pStyle w:val="Heading2"/>
      </w:pPr>
      <w:r>
        <w:t>TierVerify Log</w:t>
      </w:r>
    </w:p>
    <w:p>
      <w:r>
        <w:t>✅ Documentcontrole uitgevoerd op substance names (2026-05-06)</w:t>
      </w:r>
    </w:p>
    <w:p>
      <w:r>
        <w:t>✅ Bronverwijzingen geverifieerd tegen PGS 15:2025</w:t>
      </w:r>
    </w:p>
    <w:p>
      <w:r>
        <w:t>Status: VERIFIED</w:t>
      </w:r>
    </w:p>
    <w:sectPr w:rsidR="00FC693F" w:rsidRPr="0006063C" w:rsidSect="00034616">
      <w:headerReference w:type="default" r:id="rId10"/>
      <w:footerReference w:type="default" r:id="rId11"/>
      <w:headerReference w:type="first" r:id="rId12"/>
      <w:footerReference w:type="first" r:id="rId13"/>
      <w:pgSz w:w="12240" w:h="15840"/>
      <w:pgMar w:top="1440" w:right="1440" w:bottom="1440" w:left="1440" w:header="0" w:footer="0" w:gutter="0"/>
      <w:cols w:space="720"/>
      <w:docGrid w:linePitch="360"/>
    </w:sectPr>
    <w:p>
      <w:pPr>
        <w:pStyle w:val="Heading1"/>
      </w:pPr>
      <w:r>
        <w:t>7 Onderhoud en Reiniging</w:t>
      </w:r>
    </w:p>
    <w:p>
      <w:pPr>
        <w:pStyle w:val="Heading2"/>
      </w:pPr>
      <w:r>
        <w:t>7.1 Dagelijkse controle</w:t>
      </w:r>
    </w:p>
    <w:p>
      <w:r>
        <w:t>Voorafgaand aan elk gebruik voert de medewerker een visuele controle uit op de opslaglocatie. Deze controle omvat de volgende aspecten:</w:t>
      </w:r>
    </w:p>
    <w:p>
      <w:pPr>
        <w:pStyle w:val="ListBullet"/>
      </w:pPr>
      <w:r>
        <w:t>Lekbakken: Visuele inspectie op vloeistofaanwezigheid. Indien een lekbak vloeistof bevat, wordt deze direct geleegd conform paragraaf 7.2.</w:t>
      </w:r>
    </w:p>
    <w:p>
      <w:pPr>
        <w:pStyle w:val="ListBullet"/>
      </w:pPr>
      <w:r>
        <w:t>Etiketten: Controle of alle verpakkingen voorzien zijn van een leesbaar, intact CLP-etiket. Beschadigde of ontbrekende etiketten worden onmiddellijk vervangen.</w:t>
      </w:r>
    </w:p>
    <w:p>
      <w:pPr>
        <w:pStyle w:val="ListBullet"/>
      </w:pPr>
      <w:r>
        <w:t>Lekkage: Inspectie van jerrycans en canisters op vochtsporen, corrosie of vervorming. Bij constatering wordt de verpakking vervangen conform paragraaf 7.3.</w:t>
      </w:r>
    </w:p>
    <w:p>
      <w:pPr>
        <w:pStyle w:val="ListBullet"/>
      </w:pPr>
      <w:r>
        <w:t>Vakmarkering: Controle of vloermarkeringen (tape/verf) tussen het NaAlO₂-vak en het H₂SO₄-vak intact en zichtbaar zijn. Minimale afstand: 2 meter.</w:t>
      </w:r>
    </w:p>
    <w:p>
      <w:pPr>
        <w:pStyle w:val="ListBullet"/>
      </w:pPr>
      <w:r>
        <w:t>Ventilatie: Visuele controle of ventilatieopeningen onobstructeerd zijn.</w:t>
      </w:r>
    </w:p>
    <w:p>
      <w:r>
        <w:t>De uitkomsten van de dagelijkse controle worden aangetekend in het logboek bij de opslaglocatie. Afwijkingen worden direct gemeld aan de Lab Manager.</w:t>
      </w:r>
    </w:p>
    <w:p>
      <w:pPr>
        <w:pStyle w:val="Heading2"/>
      </w:pPr>
      <w:r>
        <w:t>7.2 Reiniging lekbakken</w:t>
      </w:r>
    </w:p>
    <w:p>
      <w:r>
        <w:t>Bij het reinigen van lekbakken geldt de volgende vaste volgorde:</w:t>
      </w:r>
    </w:p>
    <w:p>
      <w:r>
        <w:rPr>
          <w:b/>
        </w:rPr>
        <w:t xml:space="preserve">1. PBM aantrekken: </w:t>
      </w:r>
      <w:r>
        <w:t>Chemisch bestendige handschoenen (nitril, min. type A), veiligheidsbril, labjas. Bij NaAlO₂-resten: ook gezichtsbeschermer.</w:t>
      </w:r>
    </w:p>
    <w:p>
      <w:r>
        <w:rPr>
          <w:b/>
        </w:rPr>
        <w:t xml:space="preserve">2. Lekbak legen: </w:t>
      </w:r>
      <w:r>
        <w:t>Inhoud voorzichtig overgieten in een goedgekeurde afvalcontainer voor de betreffende stof. Noet mengen van zure en basische resten.</w:t>
      </w:r>
    </w:p>
    <w:p>
      <w:r>
        <w:rPr>
          <w:b/>
        </w:rPr>
        <w:t xml:space="preserve">3. Reinigen: </w:t>
      </w:r>
      <w:r>
        <w:t>Lekbak naspoelen met water. Bij hardnekkige resten: geschikt reinigingsmiddel gebruiken. Spoelwater opvangen in afvalcontainer.</w:t>
      </w:r>
    </w:p>
    <w:p>
      <w:r>
        <w:rPr>
          <w:b/>
        </w:rPr>
        <w:t xml:space="preserve">4. Inspecteren: </w:t>
      </w:r>
      <w:r>
        <w:t>Lekbak visueel controleren op scheuren, vervorming of corrosie. Bij beschadiging: lekbak vervangen.</w:t>
      </w:r>
    </w:p>
    <w:p>
      <w:r>
        <w:rPr>
          <w:b/>
        </w:rPr>
        <w:t xml:space="preserve">5. Terugplaatsen: </w:t>
      </w:r>
      <w:r>
        <w:t>Lekbak op originele positie plaatsen. Verpakkingen terugzetten. Etikettering controleren.</w:t>
      </w:r>
    </w:p>
    <w:p>
      <w:pPr>
        <w:pStyle w:val="Heading2"/>
      </w:pPr>
      <w:r>
        <w:t>7.3 Vervanging verpakking</w:t>
      </w:r>
    </w:p>
    <w:p>
      <w:r>
        <w:t>Verpakkingen worden vervangen indien één van de volgende omstandigheden zich voordoet:</w:t>
      </w:r>
    </w:p>
    <w:p>
      <w:pPr>
        <w:pStyle w:val="ListBullet"/>
      </w:pPr>
      <w:r>
        <w:t>Mechanische beschadiging: deuken, scheuren, lekkende tappen of doppen.</w:t>
      </w:r>
    </w:p>
    <w:p>
      <w:pPr>
        <w:pStyle w:val="ListBullet"/>
      </w:pPr>
      <w:r>
        <w:t>Corrosie: zichtbare roestvorming of aantasting van het verpakkingsmateriaal.</w:t>
      </w:r>
    </w:p>
    <w:p>
      <w:pPr>
        <w:pStyle w:val="ListBullet"/>
      </w:pPr>
      <w:r>
        <w:t>Veroudering: verpakkingen ouder dan de door de leverancier aangegeven houdbaarheid, of verkleuring van het materiaal.</w:t>
      </w:r>
    </w:p>
    <w:p>
      <w:pPr>
        <w:pStyle w:val="ListBullet"/>
      </w:pPr>
      <w:r>
        <w:t>Etiketbeschadiging: onleesbaar, loslatend of ontbrekend CLP-etiket dat niet afzonderlijk vervangen kan worden.</w:t>
      </w:r>
    </w:p>
    <w:p>
      <w:pPr>
        <w:pStyle w:val="ListBullet"/>
      </w:pPr>
      <w:r>
        <w:t>Lekkage: elke vorm van vloeistofverlies, ook indien minimaal.</w:t>
      </w:r>
    </w:p>
    <w:p>
      <w:r>
        <w:t>De vervangen verpakking wordt leeggemaakt in de afvalcontainer en afgevoerd als gevaarlijk afval conform het afvalstoffenplan. Nieuwe verpakkingen worden direct voorzien van een correct CLP-etiket en geregistreerd in het Chemisch Register.</w:t>
      </w:r>
    </w:p>
    <w:p>
      <w:pPr>
        <w:pStyle w:val="Heading1"/>
      </w:pPr>
      <w:r>
        <w:t>8 Inspectie en Registratie</w:t>
      </w:r>
    </w:p>
    <w:p>
      <w:pPr>
        <w:pStyle w:val="Heading2"/>
      </w:pPr>
      <w:r>
        <w:t>8.1 Wekelijkse inspectie checklist</w:t>
      </w:r>
    </w:p>
    <w:p>
      <w:r>
        <w:t>De wekelijkse inspectie wordt uitgevoerd door de Lab Manager of een door hem aangewezen medewerker. De checklist wordt gedateerd en ondertekend bewaard in het inspectiedossier.</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color w:val="FFFFFF"/>
                <w:sz w:val="20"/>
              </w:rPr>
              <w:t>#</w:t>
            </w:r>
          </w:p>
        </w:tc>
        <w:tc>
          <w:tcPr>
            <w:tcW w:type="dxa" w:w="2160"/>
          </w:tcPr>
          <w:p>
            <w:r>
              <w:rPr>
                <w:b/>
                <w:color w:val="FFFFFF"/>
                <w:sz w:val="20"/>
              </w:rPr>
              <w:t>Inspectiepunt</w:t>
            </w:r>
          </w:p>
        </w:tc>
        <w:tc>
          <w:tcPr>
            <w:tcW w:type="dxa" w:w="2160"/>
          </w:tcPr>
          <w:p>
            <w:r>
              <w:rPr>
                <w:b/>
                <w:color w:val="FFFFFF"/>
                <w:sz w:val="20"/>
              </w:rPr>
              <w:t>Beoordeling</w:t>
            </w:r>
          </w:p>
        </w:tc>
        <w:tc>
          <w:tcPr>
            <w:tcW w:type="dxa" w:w="2160"/>
          </w:tcPr>
          <w:p>
            <w:r>
              <w:rPr>
                <w:b/>
                <w:color w:val="FFFFFF"/>
                <w:sz w:val="20"/>
              </w:rPr>
              <w:t>Opmerking</w:t>
            </w:r>
          </w:p>
        </w:tc>
      </w:tr>
      <w:tr>
        <w:tc>
          <w:tcPr>
            <w:tcW w:type="dxa" w:w="2160"/>
          </w:tcPr>
          <w:p>
            <w:r>
              <w:rPr>
                <w:sz w:val="20"/>
              </w:rPr>
              <w:t>1</w:t>
            </w:r>
          </w:p>
        </w:tc>
        <w:tc>
          <w:tcPr>
            <w:tcW w:type="dxa" w:w="2160"/>
          </w:tcPr>
          <w:p>
            <w:r>
              <w:rPr>
                <w:sz w:val="20"/>
              </w:rPr>
              <w:t>Lekbakken leeg en schoon</w:t>
            </w:r>
          </w:p>
        </w:tc>
        <w:tc>
          <w:tcPr>
            <w:tcW w:type="dxa" w:w="2160"/>
          </w:tcPr>
          <w:p>
            <w:r>
              <w:rPr>
                <w:sz w:val="20"/>
              </w:rPr>
              <w:t>☐ Goed  ☐ Afwijking</w:t>
            </w:r>
          </w:p>
        </w:tc>
        <w:tc>
          <w:tcPr>
            <w:tcW w:type="dxa" w:w="2160"/>
          </w:tcPr>
          <w:p>
            <w:r>
              <w:rPr>
                <w:sz w:val="20"/>
              </w:rPr>
            </w:r>
          </w:p>
        </w:tc>
      </w:tr>
      <w:tr>
        <w:tc>
          <w:tcPr>
            <w:tcW w:type="dxa" w:w="2160"/>
          </w:tcPr>
          <w:p>
            <w:r>
              <w:rPr>
                <w:sz w:val="20"/>
              </w:rPr>
              <w:t>2</w:t>
            </w:r>
          </w:p>
        </w:tc>
        <w:tc>
          <w:tcPr>
            <w:tcW w:type="dxa" w:w="2160"/>
          </w:tcPr>
          <w:p>
            <w:r>
              <w:rPr>
                <w:sz w:val="20"/>
              </w:rPr>
              <w:t>Etiketten intact en leesbaar</w:t>
            </w:r>
          </w:p>
        </w:tc>
        <w:tc>
          <w:tcPr>
            <w:tcW w:type="dxa" w:w="2160"/>
          </w:tcPr>
          <w:p>
            <w:r>
              <w:rPr>
                <w:sz w:val="20"/>
              </w:rPr>
              <w:t>☐ Goed  ☐ Afwijking</w:t>
            </w:r>
          </w:p>
        </w:tc>
        <w:tc>
          <w:tcPr>
            <w:tcW w:type="dxa" w:w="2160"/>
          </w:tcPr>
          <w:p>
            <w:r>
              <w:rPr>
                <w:sz w:val="20"/>
              </w:rPr>
            </w:r>
          </w:p>
        </w:tc>
      </w:tr>
      <w:tr>
        <w:tc>
          <w:tcPr>
            <w:tcW w:type="dxa" w:w="2160"/>
          </w:tcPr>
          <w:p>
            <w:r>
              <w:rPr>
                <w:sz w:val="20"/>
              </w:rPr>
              <w:t>3</w:t>
            </w:r>
          </w:p>
        </w:tc>
        <w:tc>
          <w:tcPr>
            <w:tcW w:type="dxa" w:w="2160"/>
          </w:tcPr>
          <w:p>
            <w:r>
              <w:rPr>
                <w:sz w:val="20"/>
              </w:rPr>
              <w:t>Vakmarkering zichtbaar</w:t>
            </w:r>
          </w:p>
        </w:tc>
        <w:tc>
          <w:tcPr>
            <w:tcW w:type="dxa" w:w="2160"/>
          </w:tcPr>
          <w:p>
            <w:r>
              <w:rPr>
                <w:sz w:val="20"/>
              </w:rPr>
              <w:t>☐ Goed  ☐ Afwijking</w:t>
            </w:r>
          </w:p>
        </w:tc>
        <w:tc>
          <w:tcPr>
            <w:tcW w:type="dxa" w:w="2160"/>
          </w:tcPr>
          <w:p>
            <w:r>
              <w:rPr>
                <w:sz w:val="20"/>
              </w:rPr>
            </w:r>
          </w:p>
        </w:tc>
      </w:tr>
      <w:tr>
        <w:tc>
          <w:tcPr>
            <w:tcW w:type="dxa" w:w="2160"/>
          </w:tcPr>
          <w:p>
            <w:r>
              <w:rPr>
                <w:sz w:val="20"/>
              </w:rPr>
              <w:t>4</w:t>
            </w:r>
          </w:p>
        </w:tc>
        <w:tc>
          <w:tcPr>
            <w:tcW w:type="dxa" w:w="2160"/>
          </w:tcPr>
          <w:p>
            <w:r>
              <w:rPr>
                <w:sz w:val="20"/>
              </w:rPr>
              <w:t>Afstand NaAlO₂–H₂SO₄ ≥ 2 m</w:t>
            </w:r>
          </w:p>
        </w:tc>
        <w:tc>
          <w:tcPr>
            <w:tcW w:type="dxa" w:w="2160"/>
          </w:tcPr>
          <w:p>
            <w:r>
              <w:rPr>
                <w:sz w:val="20"/>
              </w:rPr>
              <w:t>☐ Goed  ☐ Afwijking</w:t>
            </w:r>
          </w:p>
        </w:tc>
        <w:tc>
          <w:tcPr>
            <w:tcW w:type="dxa" w:w="2160"/>
          </w:tcPr>
          <w:p>
            <w:r>
              <w:rPr>
                <w:sz w:val="20"/>
              </w:rPr>
            </w:r>
          </w:p>
        </w:tc>
      </w:tr>
      <w:tr>
        <w:tc>
          <w:tcPr>
            <w:tcW w:type="dxa" w:w="2160"/>
          </w:tcPr>
          <w:p>
            <w:r>
              <w:rPr>
                <w:sz w:val="20"/>
              </w:rPr>
              <w:t>5</w:t>
            </w:r>
          </w:p>
        </w:tc>
        <w:tc>
          <w:tcPr>
            <w:tcW w:type="dxa" w:w="2160"/>
          </w:tcPr>
          <w:p>
            <w:r>
              <w:rPr>
                <w:sz w:val="20"/>
              </w:rPr>
              <w:t>Ventilatie onobstructeerd</w:t>
            </w:r>
          </w:p>
        </w:tc>
        <w:tc>
          <w:tcPr>
            <w:tcW w:type="dxa" w:w="2160"/>
          </w:tcPr>
          <w:p>
            <w:r>
              <w:rPr>
                <w:sz w:val="20"/>
              </w:rPr>
              <w:t>☐ Goed  ☐ Afwijking</w:t>
            </w:r>
          </w:p>
        </w:tc>
        <w:tc>
          <w:tcPr>
            <w:tcW w:type="dxa" w:w="2160"/>
          </w:tcPr>
          <w:p>
            <w:r>
              <w:rPr>
                <w:sz w:val="20"/>
              </w:rPr>
            </w:r>
          </w:p>
        </w:tc>
      </w:tr>
      <w:tr>
        <w:tc>
          <w:tcPr>
            <w:tcW w:type="dxa" w:w="2160"/>
          </w:tcPr>
          <w:p>
            <w:r>
              <w:rPr>
                <w:sz w:val="20"/>
              </w:rPr>
              <w:t>6</w:t>
            </w:r>
          </w:p>
        </w:tc>
        <w:tc>
          <w:tcPr>
            <w:tcW w:type="dxa" w:w="2160"/>
          </w:tcPr>
          <w:p>
            <w:r>
              <w:rPr>
                <w:sz w:val="20"/>
              </w:rPr>
              <w:t>Verpakkingsintegriteit</w:t>
            </w:r>
          </w:p>
        </w:tc>
        <w:tc>
          <w:tcPr>
            <w:tcW w:type="dxa" w:w="2160"/>
          </w:tcPr>
          <w:p>
            <w:r>
              <w:rPr>
                <w:sz w:val="20"/>
              </w:rPr>
              <w:t>☐ Goed  ☐ Afwijking</w:t>
            </w:r>
          </w:p>
        </w:tc>
        <w:tc>
          <w:tcPr>
            <w:tcW w:type="dxa" w:w="2160"/>
          </w:tcPr>
          <w:p>
            <w:r>
              <w:rPr>
                <w:sz w:val="20"/>
              </w:rPr>
            </w:r>
          </w:p>
        </w:tc>
      </w:tr>
      <w:tr>
        <w:tc>
          <w:tcPr>
            <w:tcW w:type="dxa" w:w="2160"/>
          </w:tcPr>
          <w:p>
            <w:r>
              <w:rPr>
                <w:sz w:val="20"/>
              </w:rPr>
              <w:t>7</w:t>
            </w:r>
          </w:p>
        </w:tc>
        <w:tc>
          <w:tcPr>
            <w:tcW w:type="dxa" w:w="2160"/>
          </w:tcPr>
          <w:p>
            <w:r>
              <w:rPr>
                <w:sz w:val="20"/>
              </w:rPr>
              <w:t>Nooduitrusting aanwezig (blusser, EHBO)</w:t>
            </w:r>
          </w:p>
        </w:tc>
        <w:tc>
          <w:tcPr>
            <w:tcW w:type="dxa" w:w="2160"/>
          </w:tcPr>
          <w:p>
            <w:r>
              <w:rPr>
                <w:sz w:val="20"/>
              </w:rPr>
              <w:t>☐ Goed  ☐ Afwijking</w:t>
            </w:r>
          </w:p>
        </w:tc>
        <w:tc>
          <w:tcPr>
            <w:tcW w:type="dxa" w:w="2160"/>
          </w:tcPr>
          <w:p>
            <w:r>
              <w:rPr>
                <w:sz w:val="20"/>
              </w:rPr>
            </w:r>
          </w:p>
        </w:tc>
      </w:tr>
      <w:tr>
        <w:tc>
          <w:tcPr>
            <w:tcW w:type="dxa" w:w="2160"/>
          </w:tcPr>
          <w:p>
            <w:r>
              <w:rPr>
                <w:sz w:val="20"/>
              </w:rPr>
              <w:t>8</w:t>
            </w:r>
          </w:p>
        </w:tc>
        <w:tc>
          <w:tcPr>
            <w:tcW w:type="dxa" w:w="2160"/>
          </w:tcPr>
          <w:p>
            <w:r>
              <w:rPr>
                <w:sz w:val="20"/>
              </w:rPr>
              <w:t>SDS-map aanwezig en compleet</w:t>
            </w:r>
          </w:p>
        </w:tc>
        <w:tc>
          <w:tcPr>
            <w:tcW w:type="dxa" w:w="2160"/>
          </w:tcPr>
          <w:p>
            <w:r>
              <w:rPr>
                <w:sz w:val="20"/>
              </w:rPr>
              <w:t>☐ Goed  ☐ Afwijking</w:t>
            </w:r>
          </w:p>
        </w:tc>
        <w:tc>
          <w:tcPr>
            <w:tcW w:type="dxa" w:w="2160"/>
          </w:tcPr>
          <w:p>
            <w:r>
              <w:rPr>
                <w:sz w:val="20"/>
              </w:rPr>
            </w:r>
          </w:p>
        </w:tc>
      </w:tr>
      <w:tr>
        <w:tc>
          <w:tcPr>
            <w:tcW w:type="dxa" w:w="2160"/>
          </w:tcPr>
          <w:p>
            <w:r>
              <w:rPr>
                <w:sz w:val="20"/>
              </w:rPr>
              <w:t>9</w:t>
            </w:r>
          </w:p>
        </w:tc>
        <w:tc>
          <w:tcPr>
            <w:tcW w:type="dxa" w:w="2160"/>
          </w:tcPr>
          <w:p>
            <w:r>
              <w:rPr>
                <w:sz w:val="20"/>
              </w:rPr>
              <w:t>Logboek bijgewerkt</w:t>
            </w:r>
          </w:p>
        </w:tc>
        <w:tc>
          <w:tcPr>
            <w:tcW w:type="dxa" w:w="2160"/>
          </w:tcPr>
          <w:p>
            <w:r>
              <w:rPr>
                <w:sz w:val="20"/>
              </w:rPr>
              <w:t>☐ Goed  ☐ Afwijking</w:t>
            </w:r>
          </w:p>
        </w:tc>
        <w:tc>
          <w:tcPr>
            <w:tcW w:type="dxa" w:w="2160"/>
          </w:tcPr>
          <w:p>
            <w:r>
              <w:rPr>
                <w:sz w:val="20"/>
              </w:rPr>
            </w:r>
          </w:p>
        </w:tc>
      </w:tr>
      <w:tr>
        <w:tc>
          <w:tcPr>
            <w:tcW w:type="dxa" w:w="2160"/>
          </w:tcPr>
          <w:p>
            <w:r>
              <w:rPr>
                <w:sz w:val="20"/>
              </w:rPr>
              <w:t>10</w:t>
            </w:r>
          </w:p>
        </w:tc>
        <w:tc>
          <w:tcPr>
            <w:tcW w:type="dxa" w:w="2160"/>
          </w:tcPr>
          <w:p>
            <w:r>
              <w:rPr>
                <w:sz w:val="20"/>
              </w:rPr>
              <w:t>Afvalcontainers gesloten en gelabeld</w:t>
            </w:r>
          </w:p>
        </w:tc>
        <w:tc>
          <w:tcPr>
            <w:tcW w:type="dxa" w:w="2160"/>
          </w:tcPr>
          <w:p>
            <w:r>
              <w:rPr>
                <w:sz w:val="20"/>
              </w:rPr>
              <w:t>☐ Goed  ☐ Afwijking</w:t>
            </w:r>
          </w:p>
        </w:tc>
        <w:tc>
          <w:tcPr>
            <w:tcW w:type="dxa" w:w="2160"/>
          </w:tcPr>
          <w:p>
            <w:r>
              <w:rPr>
                <w:sz w:val="20"/>
              </w:rPr>
            </w:r>
          </w:p>
        </w:tc>
      </w:tr>
    </w:tbl>
    <w:p>
      <w:pPr>
        <w:pStyle w:val="Heading2"/>
      </w:pPr>
      <w:r>
        <w:t>8.2 Chemisch register bijwerken</w:t>
      </w:r>
    </w:p>
    <w:p>
      <w:r>
        <w:t>Het Chemisch Register wordt bijgewerkt bij de volgende gebeurtenissen:</w:t>
      </w:r>
    </w:p>
    <w:p>
      <w:pPr>
        <w:pStyle w:val="ListBullet"/>
      </w:pPr>
      <w:r>
        <w:t>Nieuwe stof in gebruik: direct toevoegen met CAS-nummer, ADR-klasse, verpakking, volume en locatie.</w:t>
      </w:r>
    </w:p>
    <w:p>
      <w:pPr>
        <w:pStyle w:val="ListBullet"/>
      </w:pPr>
      <w:r>
        <w:t>Wijziging hoeveelheid: bij elke aanvulling of onttrekking wordt de actuele voorraad bijgewerkt.</w:t>
      </w:r>
    </w:p>
    <w:p>
      <w:pPr>
        <w:pStyle w:val="ListBullet"/>
      </w:pPr>
      <w:r>
        <w:t>Verbruik: maandelijks wordt het daadwerkelijke verbruik afgezet tegen de geregistreerde voorraad.</w:t>
      </w:r>
    </w:p>
    <w:p>
      <w:pPr>
        <w:pStyle w:val="ListBullet"/>
      </w:pPr>
      <w:r>
        <w:t>Uitstroom: afgevoerde stoffen worden gemarkeerd als "uit voorraad" met datum en reden.</w:t>
      </w:r>
    </w:p>
    <w:p>
      <w:r>
        <w:t>Het register bevat minimaal: stofnaam, CAS-nummer, ADR-klasse, verpakkingstype, volume, locatie, datum van ontvangst, en SDS-referentie. Het register is digitaur beschikbaar en wordt maandelijks geprint voor de SDS-map.</w:t>
      </w:r>
    </w:p>
    <w:p>
      <w:pPr>
        <w:pStyle w:val="Heading2"/>
      </w:pPr>
      <w:r>
        <w:t>8.3 SDS raadpleging</w:t>
      </w:r>
    </w:p>
    <w:p>
      <w:r>
        <w:t>Safety Data Sheets (SDS / VIB) zijn beschikbaar in de SDS-map bij de opslaglocatie en digitaal op het gedeelde netwerkstation. Raadpleging is verplicht:</w:t>
      </w:r>
    </w:p>
    <w:p>
      <w:pPr>
        <w:pStyle w:val="ListBullet"/>
      </w:pPr>
      <w:r>
        <w:t>Bij eerste gebruik van een stof door een medewerker.</w:t>
      </w:r>
    </w:p>
    <w:p>
      <w:pPr>
        <w:pStyle w:val="ListBullet"/>
      </w:pPr>
      <w:r>
        <w:t>Bij verandering van werkomstandigheden of -methoden.</w:t>
      </w:r>
    </w:p>
    <w:p>
      <w:pPr>
        <w:pStyle w:val="ListBullet"/>
      </w:pPr>
      <w:r>
        <w:t>Na een incident (morsing, blootstelling, brand).</w:t>
      </w:r>
    </w:p>
    <w:p>
      <w:pPr>
        <w:pStyle w:val="ListBullet"/>
      </w:pPr>
      <w:r>
        <w:t>Bij de wekelijkse inspectie (controle op actualiteit).</w:t>
      </w:r>
    </w:p>
    <w:p>
      <w:r>
        <w:t>SDS-documenten worden maximaal 5 jaar na uitgiftedatum bewaard. De Lab Manager controleert jaarlijks of alle SDS-documenten actueel zijn en vraagt vernieuwde versies aan bij de leverancier.</w:t>
      </w:r>
    </w:p>
    <w:p>
      <w:pPr>
        <w:pStyle w:val="Heading1"/>
      </w:pPr>
      <w:r>
        <w:t>9 Noodcontacten en Escalatie</w:t>
      </w:r>
    </w:p>
    <w:p>
      <w:pPr>
        <w:pStyle w:val="Heading2"/>
      </w:pPr>
      <w:r>
        <w:t>9.1 Interne contacten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color w:val="FFFFFF"/>
                <w:sz w:val="20"/>
              </w:rPr>
              <w:t>Functie</w:t>
            </w:r>
          </w:p>
        </w:tc>
        <w:tc>
          <w:tcPr>
            <w:tcW w:type="dxa" w:w="2880"/>
          </w:tcPr>
          <w:p>
            <w:r>
              <w:rPr>
                <w:b/>
                <w:color w:val="FFFFFF"/>
                <w:sz w:val="20"/>
              </w:rPr>
              <w:t>Naam</w:t>
            </w:r>
          </w:p>
        </w:tc>
        <w:tc>
          <w:tcPr>
            <w:tcW w:type="dxa" w:w="2880"/>
          </w:tcPr>
          <w:p>
            <w:r>
              <w:rPr>
                <w:b/>
                <w:color w:val="FFFFFF"/>
                <w:sz w:val="20"/>
              </w:rPr>
              <w:t>Bereikbaarheid</w:t>
            </w:r>
          </w:p>
        </w:tc>
      </w:tr>
      <w:tr>
        <w:tc>
          <w:tcPr>
            <w:tcW w:type="dxa" w:w="2880"/>
          </w:tcPr>
          <w:p>
            <w:r>
              <w:rPr>
                <w:sz w:val="20"/>
              </w:rPr>
              <w:t>Lab Manager</w:t>
            </w:r>
          </w:p>
        </w:tc>
        <w:tc>
          <w:tcPr>
            <w:tcW w:type="dxa" w:w="2880"/>
          </w:tcPr>
          <w:p>
            <w:r>
              <w:rPr>
                <w:sz w:val="20"/>
              </w:rPr>
              <w:t>[Naam invullen]</w:t>
            </w:r>
          </w:p>
        </w:tc>
        <w:tc>
          <w:tcPr>
            <w:tcW w:type="dxa" w:w="2880"/>
          </w:tcPr>
          <w:p>
            <w:r>
              <w:rPr>
                <w:sz w:val="20"/>
              </w:rPr>
              <w:t>Intern + rechtstreeks mobiel</w:t>
            </w:r>
          </w:p>
        </w:tc>
      </w:tr>
      <w:tr>
        <w:tc>
          <w:tcPr>
            <w:tcW w:type="dxa" w:w="2880"/>
          </w:tcPr>
          <w:p>
            <w:r>
              <w:rPr>
                <w:sz w:val="20"/>
              </w:rPr>
              <w:t>HSEQ Manager</w:t>
            </w:r>
          </w:p>
        </w:tc>
        <w:tc>
          <w:tcPr>
            <w:tcW w:type="dxa" w:w="2880"/>
          </w:tcPr>
          <w:p>
            <w:r>
              <w:rPr>
                <w:sz w:val="20"/>
              </w:rPr>
              <w:t>[Naam invullen]</w:t>
            </w:r>
          </w:p>
        </w:tc>
        <w:tc>
          <w:tcPr>
            <w:tcW w:type="dxa" w:w="2880"/>
          </w:tcPr>
          <w:p>
            <w:r>
              <w:rPr>
                <w:sz w:val="20"/>
              </w:rPr>
              <w:t>Intern + rechtstreeks mobiel</w:t>
            </w:r>
          </w:p>
        </w:tc>
      </w:tr>
      <w:tr>
        <w:tc>
          <w:tcPr>
            <w:tcW w:type="dxa" w:w="2880"/>
          </w:tcPr>
          <w:p>
            <w:r>
              <w:rPr>
                <w:sz w:val="20"/>
              </w:rPr>
              <w:t>Facilitair Manager</w:t>
            </w:r>
          </w:p>
        </w:tc>
        <w:tc>
          <w:tcPr>
            <w:tcW w:type="dxa" w:w="2880"/>
          </w:tcPr>
          <w:p>
            <w:r>
              <w:rPr>
                <w:sz w:val="20"/>
              </w:rPr>
              <w:t>[Naam invullen]</w:t>
            </w:r>
          </w:p>
        </w:tc>
        <w:tc>
          <w:tcPr>
            <w:tcW w:type="dxa" w:w="2880"/>
          </w:tcPr>
          <w:p>
            <w:r>
              <w:rPr>
                <w:sz w:val="20"/>
              </w:rPr>
              <w:t>Kantooruren</w:t>
            </w:r>
          </w:p>
        </w:tc>
      </w:tr>
    </w:tbl>
    <w:p>
      <w:pPr>
        <w:pStyle w:val="Heading2"/>
      </w:pPr>
      <w:r>
        <w:t>9.2 Externe contacten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color w:val="FFFFFF"/>
                <w:sz w:val="20"/>
              </w:rPr>
              <w:t>Instantie</w:t>
            </w:r>
          </w:p>
        </w:tc>
        <w:tc>
          <w:tcPr>
            <w:tcW w:type="dxa" w:w="2880"/>
          </w:tcPr>
          <w:p>
            <w:r>
              <w:rPr>
                <w:b/>
                <w:color w:val="FFFFFF"/>
                <w:sz w:val="20"/>
              </w:rPr>
              <w:t>Telefoonnummer</w:t>
            </w:r>
          </w:p>
        </w:tc>
        <w:tc>
          <w:tcPr>
            <w:tcW w:type="dxa" w:w="2880"/>
          </w:tcPr>
          <w:p>
            <w:r>
              <w:rPr>
                <w:b/>
                <w:color w:val="FFFFFF"/>
                <w:sz w:val="20"/>
              </w:rPr>
              <w:t>Toelichting</w:t>
            </w:r>
          </w:p>
        </w:tc>
      </w:tr>
      <w:tr>
        <w:tc>
          <w:tcPr>
            <w:tcW w:type="dxa" w:w="2880"/>
          </w:tcPr>
          <w:p>
            <w:r>
              <w:rPr>
                <w:sz w:val="20"/>
              </w:rPr>
              <w:t>Alarmcentrale (brand/ongeval)</w:t>
            </w:r>
          </w:p>
        </w:tc>
        <w:tc>
          <w:tcPr>
            <w:tcW w:type="dxa" w:w="2880"/>
          </w:tcPr>
          <w:p>
            <w:r>
              <w:rPr>
                <w:sz w:val="20"/>
              </w:rPr>
              <w:t>112</w:t>
            </w:r>
          </w:p>
        </w:tc>
        <w:tc>
          <w:tcPr>
            <w:tcW w:type="dxa" w:w="2880"/>
          </w:tcPr>
          <w:p>
            <w:r>
              <w:rPr>
                <w:sz w:val="20"/>
              </w:rPr>
              <w:t>Bij levensbedreigende situaties of brand</w:t>
            </w:r>
          </w:p>
        </w:tc>
      </w:tr>
      <w:tr>
        <w:tc>
          <w:tcPr>
            <w:tcW w:type="dxa" w:w="2880"/>
          </w:tcPr>
          <w:p>
            <w:r>
              <w:rPr>
                <w:sz w:val="20"/>
              </w:rPr>
              <w:t>Vergiftigingeninformatiecentrum</w:t>
            </w:r>
          </w:p>
        </w:tc>
        <w:tc>
          <w:tcPr>
            <w:tcW w:type="dxa" w:w="2880"/>
          </w:tcPr>
          <w:p>
            <w:r>
              <w:rPr>
                <w:sz w:val="20"/>
              </w:rPr>
              <w:t>030-2748888</w:t>
            </w:r>
          </w:p>
        </w:tc>
        <w:tc>
          <w:tcPr>
            <w:tcW w:type="dxa" w:w="2880"/>
          </w:tcPr>
          <w:p>
            <w:r>
              <w:rPr>
                <w:sz w:val="20"/>
              </w:rPr>
              <w:t>Bij (vermoedelijke) blootstelling aan gevaarlijke stoffen</w:t>
            </w:r>
          </w:p>
        </w:tc>
      </w:tr>
      <w:tr>
        <w:tc>
          <w:tcPr>
            <w:tcW w:type="dxa" w:w="2880"/>
          </w:tcPr>
          <w:p>
            <w:r>
              <w:rPr>
                <w:sz w:val="20"/>
              </w:rPr>
              <w:t>Milieudienst regio</w:t>
            </w:r>
          </w:p>
        </w:tc>
        <w:tc>
          <w:tcPr>
            <w:tcW w:type="dxa" w:w="2880"/>
          </w:tcPr>
          <w:p>
            <w:r>
              <w:rPr>
                <w:sz w:val="20"/>
              </w:rPr>
              <w:t>[Nummer invullen]</w:t>
            </w:r>
          </w:p>
        </w:tc>
        <w:tc>
          <w:tcPr>
            <w:tcW w:type="dxa" w:w="2880"/>
          </w:tcPr>
          <w:p>
            <w:r>
              <w:rPr>
                <w:sz w:val="20"/>
              </w:rPr>
              <w:t>Bij bodem- of waterverontreiniging</w:t>
            </w:r>
          </w:p>
        </w:tc>
      </w:tr>
      <w:tr>
        <w:tc>
          <w:tcPr>
            <w:tcW w:type="dxa" w:w="2880"/>
          </w:tcPr>
          <w:p>
            <w:r>
              <w:rPr>
                <w:sz w:val="20"/>
              </w:rPr>
              <w:t>Bedrijfsarts</w:t>
            </w:r>
          </w:p>
        </w:tc>
        <w:tc>
          <w:tcPr>
            <w:tcW w:type="dxa" w:w="2880"/>
          </w:tcPr>
          <w:p>
            <w:r>
              <w:rPr>
                <w:sz w:val="20"/>
              </w:rPr>
              <w:t>[Nummer invullen]</w:t>
            </w:r>
          </w:p>
        </w:tc>
        <w:tc>
          <w:tcPr>
            <w:tcW w:type="dxa" w:w="2880"/>
          </w:tcPr>
          <w:p>
            <w:r>
              <w:rPr>
                <w:sz w:val="20"/>
              </w:rPr>
              <w:t>Na blootstelling voor medische follow-up</w:t>
            </w:r>
          </w:p>
        </w:tc>
      </w:tr>
    </w:tbl>
    <w:p>
      <w:pPr>
        <w:pStyle w:val="Heading2"/>
      </w:pPr>
      <w:r>
        <w:t>9.3 Escalatiematrix</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color w:val="FFFFFF"/>
                <w:sz w:val="20"/>
              </w:rPr>
              <w:t>Situatie</w:t>
            </w:r>
          </w:p>
        </w:tc>
        <w:tc>
          <w:tcPr>
            <w:tcW w:type="dxa" w:w="2880"/>
          </w:tcPr>
          <w:p>
            <w:r>
              <w:rPr>
                <w:b/>
                <w:color w:val="FFFFFF"/>
                <w:sz w:val="20"/>
              </w:rPr>
              <w:t>Eerste actie</w:t>
            </w:r>
          </w:p>
        </w:tc>
        <w:tc>
          <w:tcPr>
            <w:tcW w:type="dxa" w:w="2880"/>
          </w:tcPr>
          <w:p>
            <w:r>
              <w:rPr>
                <w:b/>
                <w:color w:val="FFFFFF"/>
                <w:sz w:val="20"/>
              </w:rPr>
              <w:t>Escalatie naar</w:t>
            </w:r>
          </w:p>
        </w:tc>
      </w:tr>
      <w:tr>
        <w:tc>
          <w:tcPr>
            <w:tcW w:type="dxa" w:w="2880"/>
          </w:tcPr>
          <w:p>
            <w:r>
              <w:rPr>
                <w:sz w:val="20"/>
              </w:rPr>
              <w:t>Kleine lekkage (&lt;1 l), geen blootstelling</w:t>
            </w:r>
          </w:p>
        </w:tc>
        <w:tc>
          <w:tcPr>
            <w:tcW w:type="dxa" w:w="2880"/>
          </w:tcPr>
          <w:p>
            <w:r>
              <w:rPr>
                <w:sz w:val="20"/>
              </w:rPr>
              <w:t>PBM → absorberend materiaal → reinigen</w:t>
            </w:r>
          </w:p>
        </w:tc>
        <w:tc>
          <w:tcPr>
            <w:tcW w:type="dxa" w:w="2880"/>
          </w:tcPr>
          <w:p>
            <w:r>
              <w:rPr>
                <w:sz w:val="20"/>
              </w:rPr>
              <w:t>Lab Manager noteren in logboek</w:t>
            </w:r>
          </w:p>
        </w:tc>
      </w:tr>
      <w:tr>
        <w:tc>
          <w:tcPr>
            <w:tcW w:type="dxa" w:w="2880"/>
          </w:tcPr>
          <w:p>
            <w:r>
              <w:rPr>
                <w:sz w:val="20"/>
              </w:rPr>
              <w:t>Grote lekkage (&gt;1 l) of menging zuur/base</w:t>
            </w:r>
          </w:p>
        </w:tc>
        <w:tc>
          <w:tcPr>
            <w:tcW w:type="dxa" w:w="2880"/>
          </w:tcPr>
          <w:p>
            <w:r>
              <w:rPr>
                <w:sz w:val="20"/>
              </w:rPr>
              <w:t>Ruimte ontruimen → ventilatie → PBM → dammen</w:t>
            </w:r>
          </w:p>
        </w:tc>
        <w:tc>
          <w:tcPr>
            <w:tcW w:type="dxa" w:w="2880"/>
          </w:tcPr>
          <w:p>
            <w:r>
              <w:rPr>
                <w:sz w:val="20"/>
              </w:rPr>
              <w:t>Lab Manager + HSEQ Manager</w:t>
            </w:r>
          </w:p>
        </w:tc>
      </w:tr>
      <w:tr>
        <w:tc>
          <w:tcPr>
            <w:tcW w:type="dxa" w:w="2880"/>
          </w:tcPr>
          <w:p>
            <w:r>
              <w:rPr>
                <w:sz w:val="20"/>
              </w:rPr>
              <w:t>Blootstelling huid/ogen</w:t>
            </w:r>
          </w:p>
        </w:tc>
        <w:tc>
          <w:tcPr>
            <w:tcW w:type="dxa" w:w="2880"/>
          </w:tcPr>
          <w:p>
            <w:r>
              <w:rPr>
                <w:sz w:val="20"/>
              </w:rPr>
              <w:t>15 min spoelen met water → 112 bij aanhoudende klachten</w:t>
            </w:r>
          </w:p>
        </w:tc>
        <w:tc>
          <w:tcPr>
            <w:tcW w:type="dxa" w:w="2880"/>
          </w:tcPr>
          <w:p>
            <w:r>
              <w:rPr>
                <w:sz w:val="20"/>
              </w:rPr>
              <w:t>112 + Bedrijfsarts</w:t>
            </w:r>
          </w:p>
        </w:tc>
      </w:tr>
      <w:tr>
        <w:tc>
          <w:tcPr>
            <w:tcW w:type="dxa" w:w="2880"/>
          </w:tcPr>
          <w:p>
            <w:r>
              <w:rPr>
                <w:sz w:val="20"/>
              </w:rPr>
              <w:t>Brand (door chemische reactie)</w:t>
            </w:r>
          </w:p>
        </w:tc>
        <w:tc>
          <w:tcPr>
            <w:tcW w:type="dxa" w:w="2880"/>
          </w:tcPr>
          <w:p>
            <w:r>
              <w:rPr>
                <w:sz w:val="20"/>
              </w:rPr>
              <w:t>Ruimte ontruimen → blusser (CO₂/poeder)</w:t>
            </w:r>
          </w:p>
        </w:tc>
        <w:tc>
          <w:tcPr>
            <w:tcW w:type="dxa" w:w="2880"/>
          </w:tcPr>
          <w:p>
            <w:r>
              <w:rPr>
                <w:sz w:val="20"/>
              </w:rPr>
              <w:t>112 direct</w:t>
            </w:r>
          </w:p>
        </w:tc>
      </w:tr>
      <w:tr>
        <w:tc>
          <w:tcPr>
            <w:tcW w:type="dxa" w:w="2880"/>
          </w:tcPr>
          <w:p>
            <w:r>
              <w:rPr>
                <w:sz w:val="20"/>
              </w:rPr>
              <w:t>Bodem- of waterverontreiniging</w:t>
            </w:r>
          </w:p>
        </w:tc>
        <w:tc>
          <w:tcPr>
            <w:tcW w:type="dxa" w:w="2880"/>
          </w:tcPr>
          <w:p>
            <w:r>
              <w:rPr>
                <w:sz w:val="20"/>
              </w:rPr>
              <w:t>Stroom stoppen → dammen → milieuhygiëne</w:t>
            </w:r>
          </w:p>
        </w:tc>
        <w:tc>
          <w:tcPr>
            <w:tcW w:type="dxa" w:w="2880"/>
          </w:tcPr>
          <w:p>
            <w:r>
              <w:rPr>
                <w:sz w:val="20"/>
              </w:rPr>
              <w:t>Milieudienst + HSEQ Manager</w:t>
            </w:r>
          </w:p>
        </w:tc>
      </w:tr>
    </w:tbl>
    <w:p>
      <w:pPr>
        <w:pStyle w:val="Heading2"/>
      </w:pPr>
      <w:r>
        <w:t>9.4 Calamiteitenplan locatie</w:t>
      </w:r>
    </w:p>
    <w:p>
      <w:r>
        <w:t>Het calamiteitenplan van Phoenix Metals IJmuiden is beschikbaar op de volgende locaties:</w:t>
      </w:r>
    </w:p>
    <w:p>
      <w:pPr>
        <w:pStyle w:val="ListBullet"/>
      </w:pPr>
      <w:r>
        <w:t>Binnenkomst opslagruimte: geplastificeerde versie aan de wand naast de deur.</w:t>
      </w:r>
    </w:p>
    <w:p>
      <w:pPr>
        <w:pStyle w:val="ListBullet"/>
      </w:pPr>
      <w:r>
        <w:t>Kantoor Lab Manager: volledige documentversie incl. ontruimingsplattegrond.</w:t>
      </w:r>
    </w:p>
    <w:p>
      <w:pPr>
        <w:pStyle w:val="ListBullet"/>
      </w:pPr>
      <w:r>
        <w:t>Digitaal: gedeeld netwerkstation onder /HSEQ/Calamiteitenplan/.</w:t>
      </w:r>
    </w:p>
    <w:p>
      <w:r>
        <w:t>Het calamiteitenplan wordt jaarlijks geactualiseerd door de HSEQ Manager en besproken tijdens het jaarlijkse veiligheidsmoment. Alle medewerkers zijn verplicht het plan te kennen en de ontruimingsroute te hebben geoefend.</w:t>
      </w:r>
    </w:p>
    <w:p>
      <w:pPr>
        <w:pStyle w:val="Heading1"/>
      </w:pPr>
      <w:r>
        <w:t>10 Referenties en Bijlagen</w:t>
      </w:r>
    </w:p>
    <w:p>
      <w:pPr>
        <w:pStyle w:val="Heading2"/>
      </w:pPr>
      <w:r>
        <w:t>Bijlage A: PBM Checklist</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color w:val="FFFFFF"/>
                <w:sz w:val="20"/>
              </w:rPr>
              <w:t>#</w:t>
            </w:r>
          </w:p>
        </w:tc>
        <w:tc>
          <w:tcPr>
            <w:tcW w:type="dxa" w:w="2160"/>
          </w:tcPr>
          <w:p>
            <w:r>
              <w:rPr>
                <w:b/>
                <w:color w:val="FFFFFF"/>
                <w:sz w:val="20"/>
              </w:rPr>
              <w:t>PBM-onderdeel</w:t>
            </w:r>
          </w:p>
        </w:tc>
        <w:tc>
          <w:tcPr>
            <w:tcW w:type="dxa" w:w="2160"/>
          </w:tcPr>
          <w:p>
            <w:r>
              <w:rPr>
                <w:b/>
                <w:color w:val="FFFFFF"/>
                <w:sz w:val="20"/>
              </w:rPr>
              <w:t>Vereist bij</w:t>
            </w:r>
          </w:p>
        </w:tc>
        <w:tc>
          <w:tcPr>
            <w:tcW w:type="dxa" w:w="2160"/>
          </w:tcPr>
          <w:p>
            <w:r>
              <w:rPr>
                <w:b/>
                <w:color w:val="FFFFFF"/>
                <w:sz w:val="20"/>
              </w:rPr>
              <w:t>Controlepunt</w:t>
            </w:r>
          </w:p>
        </w:tc>
      </w:tr>
      <w:tr>
        <w:tc>
          <w:tcPr>
            <w:tcW w:type="dxa" w:w="2160"/>
          </w:tcPr>
          <w:p>
            <w:r>
              <w:rPr>
                <w:sz w:val="20"/>
              </w:rPr>
              <w:t>1</w:t>
            </w:r>
          </w:p>
        </w:tc>
        <w:tc>
          <w:tcPr>
            <w:tcW w:type="dxa" w:w="2160"/>
          </w:tcPr>
          <w:p>
            <w:r>
              <w:rPr>
                <w:sz w:val="20"/>
              </w:rPr>
              <w:t>Veiligheidsbril (EN 166)</w:t>
            </w:r>
          </w:p>
        </w:tc>
        <w:tc>
          <w:tcPr>
            <w:tcW w:type="dxa" w:w="2160"/>
          </w:tcPr>
          <w:p>
            <w:r>
              <w:rPr>
                <w:sz w:val="20"/>
              </w:rPr>
              <w:t>Alle werkzaamheden met gevaarlijke stoffen</w:t>
            </w:r>
          </w:p>
        </w:tc>
        <w:tc>
          <w:tcPr>
            <w:tcW w:type="dxa" w:w="2160"/>
          </w:tcPr>
          <w:p>
            <w:r>
              <w:rPr>
                <w:sz w:val="20"/>
              </w:rPr>
              <w:t>Krasvrij, goed sluitend</w:t>
            </w:r>
          </w:p>
        </w:tc>
      </w:tr>
      <w:tr>
        <w:tc>
          <w:tcPr>
            <w:tcW w:type="dxa" w:w="2160"/>
          </w:tcPr>
          <w:p>
            <w:r>
              <w:rPr>
                <w:sz w:val="20"/>
              </w:rPr>
              <w:t>2</w:t>
            </w:r>
          </w:p>
        </w:tc>
        <w:tc>
          <w:tcPr>
            <w:tcW w:type="dxa" w:w="2160"/>
          </w:tcPr>
          <w:p>
            <w:r>
              <w:rPr>
                <w:sz w:val="20"/>
              </w:rPr>
              <w:t>Chemisch bestendige handschoenen (nitril, type A)</w:t>
            </w:r>
          </w:p>
        </w:tc>
        <w:tc>
          <w:tcPr>
            <w:tcW w:type="dxa" w:w="2160"/>
          </w:tcPr>
          <w:p>
            <w:r>
              <w:rPr>
                <w:sz w:val="20"/>
              </w:rPr>
              <w:t>Hanteren verpakkingen, reinigen lekbakken</w:t>
            </w:r>
          </w:p>
        </w:tc>
        <w:tc>
          <w:tcPr>
            <w:tcW w:type="dxa" w:w="2160"/>
          </w:tcPr>
          <w:p>
            <w:r>
              <w:rPr>
                <w:sz w:val="20"/>
              </w:rPr>
              <w:t>Geen scheuren, goede pasvorm</w:t>
            </w:r>
          </w:p>
        </w:tc>
      </w:tr>
      <w:tr>
        <w:tc>
          <w:tcPr>
            <w:tcW w:type="dxa" w:w="2160"/>
          </w:tcPr>
          <w:p>
            <w:r>
              <w:rPr>
                <w:sz w:val="20"/>
              </w:rPr>
              <w:t>3</w:t>
            </w:r>
          </w:p>
        </w:tc>
        <w:tc>
          <w:tcPr>
            <w:tcW w:type="dxa" w:w="2160"/>
          </w:tcPr>
          <w:p>
            <w:r>
              <w:rPr>
                <w:sz w:val="20"/>
              </w:rPr>
              <w:t>Labjas (chemisch bestendig)</w:t>
            </w:r>
          </w:p>
        </w:tc>
        <w:tc>
          <w:tcPr>
            <w:tcW w:type="dxa" w:w="2160"/>
          </w:tcPr>
          <w:p>
            <w:r>
              <w:rPr>
                <w:sz w:val="20"/>
              </w:rPr>
              <w:t>Aanwezigheid in opslagruimte bij werkzaamheden</w:t>
            </w:r>
          </w:p>
        </w:tc>
        <w:tc>
          <w:tcPr>
            <w:tcW w:type="dxa" w:w="2160"/>
          </w:tcPr>
          <w:p>
            <w:r>
              <w:rPr>
                <w:sz w:val="20"/>
              </w:rPr>
              <w:t>Sluitend, geen losse delen</w:t>
            </w:r>
          </w:p>
        </w:tc>
      </w:tr>
      <w:tr>
        <w:tc>
          <w:tcPr>
            <w:tcW w:type="dxa" w:w="2160"/>
          </w:tcPr>
          <w:p>
            <w:r>
              <w:rPr>
                <w:sz w:val="20"/>
              </w:rPr>
              <w:t>4</w:t>
            </w:r>
          </w:p>
        </w:tc>
        <w:tc>
          <w:tcPr>
            <w:tcW w:type="dxa" w:w="2160"/>
          </w:tcPr>
          <w:p>
            <w:r>
              <w:rPr>
                <w:sz w:val="20"/>
              </w:rPr>
              <w:t>Gezichtsbeschermer</w:t>
            </w:r>
          </w:p>
        </w:tc>
        <w:tc>
          <w:tcPr>
            <w:tcW w:type="dxa" w:w="2160"/>
          </w:tcPr>
          <w:p>
            <w:r>
              <w:rPr>
                <w:sz w:val="20"/>
              </w:rPr>
              <w:t>NaAlO₂ 50% hanteren, grote volumes verplaatsen</w:t>
            </w:r>
          </w:p>
        </w:tc>
        <w:tc>
          <w:tcPr>
            <w:tcW w:type="dxa" w:w="2160"/>
          </w:tcPr>
          <w:p>
            <w:r>
              <w:rPr>
                <w:sz w:val="20"/>
              </w:rPr>
              <w:t>Scherm schoon, band intact</w:t>
            </w:r>
          </w:p>
        </w:tc>
      </w:tr>
      <w:tr>
        <w:tc>
          <w:tcPr>
            <w:tcW w:type="dxa" w:w="2160"/>
          </w:tcPr>
          <w:p>
            <w:r>
              <w:rPr>
                <w:sz w:val="20"/>
              </w:rPr>
              <w:t>5</w:t>
            </w:r>
          </w:p>
        </w:tc>
        <w:tc>
          <w:tcPr>
            <w:tcW w:type="dxa" w:w="2160"/>
          </w:tcPr>
          <w:p>
            <w:r>
              <w:rPr>
                <w:sz w:val="20"/>
              </w:rPr>
              <w:t>Nooddouche / oogspoelstation</w:t>
            </w:r>
          </w:p>
        </w:tc>
        <w:tc>
          <w:tcPr>
            <w:tcW w:type="dxa" w:w="2160"/>
          </w:tcPr>
          <w:p>
            <w:r>
              <w:rPr>
                <w:sz w:val="20"/>
              </w:rPr>
              <w:t>Altijd bereikbaar binnen 10 seconden loopafstand</w:t>
            </w:r>
          </w:p>
        </w:tc>
        <w:tc>
          <w:tcPr>
            <w:tcW w:type="dxa" w:w="2160"/>
          </w:tcPr>
          <w:p>
            <w:r>
              <w:rPr>
                <w:sz w:val="20"/>
              </w:rPr>
              <w:t>Maandelijks testen, waterdoorlatend</w:t>
            </w:r>
          </w:p>
        </w:tc>
      </w:tr>
    </w:tbl>
    <w:p>
      <w:pPr>
        <w:pStyle w:val="Heading2"/>
      </w:pPr>
      <w:r>
        <w:t>Bijlage B: Morsprocedure Samenvatting (1-pagina kaart)</w:t>
      </w:r>
    </w:p>
    <w:p>
      <w:r>
        <w:t>Deze bijlage bevat een geplastificeerde kaart ter grootte van één A4, bedoeld voor wandmontage direct naast de opslaglocatie. De kaart bevat de volgende elementen:</w:t>
      </w:r>
    </w:p>
    <w:p>
      <w:pPr>
        <w:pStyle w:val="ListBullet"/>
      </w:pPr>
      <w:r>
        <w:t>Stap 1: Eigen veiligheid — PBM aan, ruimte beoordelen.</w:t>
      </w:r>
    </w:p>
    <w:p>
      <w:pPr>
        <w:pStyle w:val="ListBullet"/>
      </w:pPr>
      <w:r>
        <w:t>Stap 2: Bron stoppen — Kraan dicht, verpakking rechtop, lekbak positioneren.</w:t>
      </w:r>
    </w:p>
    <w:p>
      <w:pPr>
        <w:pStyle w:val="ListBullet"/>
      </w:pPr>
      <w:r>
        <w:t>Stap 3: Uitbreiding voorkomen — Absorberend materiaal (chemisch bindmiddel) rondom morsing aanbrengen. Afvoeropeningen afdekken.</w:t>
      </w:r>
    </w:p>
    <w:p>
      <w:pPr>
        <w:pStyle w:val="ListBullet"/>
      </w:pPr>
      <w:r>
        <w:t>Stap 4: Opsruimen — Gebonden materiaal in afvalcontainer. Reinigen met water, spoelwater opvangen.</w:t>
      </w:r>
    </w:p>
    <w:p>
      <w:pPr>
        <w:pStyle w:val="ListBullet"/>
      </w:pPr>
      <w:r>
        <w:t>Stap 5: Rapporteren — Incident melden aan Lab Manager. Logboek bijwerken. SDS raadplegen.</w:t>
      </w:r>
    </w:p>
    <w:p>
      <w:pPr>
        <w:pStyle w:val="ListBullet"/>
      </w:pPr>
      <w:r>
        <w:t>Belangrijk: Zuur en base NOOIT mengen. Bij twijfel: ruimte ontruimen en HSEQ Manager bellen.</w:t>
      </w:r>
    </w:p>
    <w:p>
      <w:pPr>
        <w:pStyle w:val="Heading2"/>
      </w:pPr>
      <w:r>
        <w:t>Bijlage C: Noodcontacten Kaart</w:t>
      </w:r>
    </w:p>
    <w:p>
      <w:r>
        <w:t>Geplastificeerde kaart (A5-formaat) met alle noodcontacten uit hoofdstuk 9. Wordt opgehangen naast de toegangsdeur van de opslagruimte en naast de nooddouche. Bevat: interne contacten, 112, vergiftigingeninformatiecentrum, milieudienst, en een QR-code naar het digitale calamiteitenplan.</w:t>
      </w:r>
    </w:p>
    <w:p>
      <w:pPr>
        <w:pStyle w:val="Heading2"/>
      </w:pPr>
      <w:r>
        <w:t>Bronverwijzingen</w:t>
      </w:r>
    </w:p>
    <w:p>
      <w:pPr>
        <w:pStyle w:val="ListBullet"/>
      </w:pPr>
      <w:r>
        <w:t>[1] PGS 15:2025 — Publicatiereeks Gevaarlijke Stoffen 15, opslag van verpakte gevaarlijke stoffen. Versie 1.0, 2025.</w:t>
      </w:r>
    </w:p>
    <w:p>
      <w:pPr>
        <w:pStyle w:val="ListBullet"/>
      </w:pPr>
      <w:r>
        <w:t>[2] Arbowet / Arbobesluit — Artikel 4.1c (Risico-Inventarisatie &amp; -Evaluatie), Nederlandse overheid.</w:t>
      </w:r>
    </w:p>
    <w:p>
      <w:pPr>
        <w:pStyle w:val="ListBullet"/>
      </w:pPr>
      <w:r>
        <w:t>[3] CLP-Verordening (EG) nr. 1272/2008 — Classificatie, etikettering en verpakking van stoffen en mengsels.</w:t>
      </w:r>
    </w:p>
    <w:p>
      <w:pPr>
        <w:pStyle w:val="ListBullet"/>
      </w:pPr>
      <w:r>
        <w:t>[4] NEN-EN-ISO 20560 — Veiligheids- en gezondheidsborden op de werkplek, inclusief pijlsymbolen.</w:t>
      </w:r>
    </w:p>
    <w:p>
      <w:pPr>
        <w:pStyle w:val="ListBullet"/>
      </w:pPr>
      <w:r>
        <w:t>[5] SDS / VIB — Safety Data Sheets van de betreffende leveranciers (actuele versie in SDS-map).</w:t>
      </w:r>
    </w:p>
    <w:p>
      <w:pPr>
        <w:pStyle w:val="ListBullet"/>
      </w:pPr>
      <w:r>
        <w:t>[6] RI&amp;E Phoenix Metals — Risico-Inventarisatie &amp; -Evaluatie locatie IJmuiden, meest recente versie.</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6"/>
      </w:rPr>
      <w:t>© 2026 JvG Consultancy | HSEQ | 26 april 2026 | Vertrouwelijk</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374151"/>
        <w:sz w:val="18"/>
      </w:rPr>
      <w:t>JvG Consultancy | PGS-15 Werkinstructie Gevaarlijke Stoffen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