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drawing>
          <wp:inline xmlns:a="http://schemas.openxmlformats.org/drawingml/2006/main" xmlns:pic="http://schemas.openxmlformats.org/drawingml/2006/picture">
            <wp:extent cx="2011680" cy="1803575"/>
            <wp:docPr id="1" name="Picture 1"/>
            <wp:cNvGraphicFramePr>
              <a:graphicFrameLocks noChangeAspect="1"/>
            </wp:cNvGraphicFramePr>
            <a:graphic>
              <a:graphicData uri="http://schemas.openxmlformats.org/drawingml/2006/picture">
                <pic:pic>
                  <pic:nvPicPr>
                    <pic:cNvPr id="0" name="jvg-consultancy-logo.jpg"/>
                    <pic:cNvPicPr/>
                  </pic:nvPicPr>
                  <pic:blipFill>
                    <a:blip r:embed="rId9"/>
                    <a:stretch>
                      <a:fillRect/>
                    </a:stretch>
                  </pic:blipFill>
                  <pic:spPr>
                    <a:xfrm>
                      <a:off x="0" y="0"/>
                      <a:ext cx="2011680" cy="1803575"/>
                    </a:xfrm>
                    <a:prstGeom prst="rect"/>
                  </pic:spPr>
                </pic:pic>
              </a:graphicData>
            </a:graphic>
          </wp:inline>
        </w:drawing>
      </w:r>
    </w:p>
    <w:p/>
    <w:p>
      <w:pPr>
        <w:jc w:val="center"/>
      </w:pPr>
      <w:r>
        <w:rPr>
          <w:rFonts w:ascii="Calibri" w:hAnsi="Calibri"/>
          <w:b/>
          <w:color w:val="003366"/>
          <w:sz w:val="56"/>
        </w:rPr>
        <w:t>PGS-15 COMPLIANCE TOETSING</w:t>
      </w:r>
    </w:p>
    <w:p>
      <w:pPr>
        <w:jc w:val="center"/>
      </w:pPr>
      <w:r>
        <w:rPr>
          <w:rFonts w:ascii="Calibri" w:hAnsi="Calibri"/>
          <w:color w:val="003366"/>
          <w:sz w:val="36"/>
        </w:rPr>
        <w:t>Phoenix Metals IJmuiden</w:t>
      </w:r>
    </w:p>
    <w:p/>
    <w:tbl>
      <w:tblPr>
        <w:tblW w:type="auto" w:w="0"/>
        <w:jc w:val="center"/>
        <w:tblLook w:firstColumn="1" w:firstRow="1" w:lastColumn="0" w:lastRow="0" w:noHBand="0" w:noVBand="1" w:val="04A0"/>
      </w:tblPr>
      <w:tblGrid>
        <w:gridCol w:w="4320"/>
        <w:gridCol w:w="4320"/>
      </w:tblGrid>
      <w:tr>
        <w:tc>
          <w:tcPr>
            <w:tcW w:type="dxa" w:w="4320"/>
          </w:tcPr>
          <w:p>
            <w:r/>
            <w:r>
              <w:rPr>
                <w:rFonts w:ascii="Calibri" w:hAnsi="Calibri"/>
                <w:b/>
                <w:sz w:val="20"/>
              </w:rPr>
              <w:t>Documentnummer</w:t>
            </w:r>
          </w:p>
        </w:tc>
        <w:tc>
          <w:tcPr>
            <w:tcW w:type="dxa" w:w="4320"/>
          </w:tcPr>
          <w:p>
            <w:r/>
            <w:r>
              <w:rPr>
                <w:rFonts w:ascii="Calibri" w:hAnsi="Calibri"/>
                <w:sz w:val="20"/>
              </w:rPr>
              <w:t>PM-PGS15-DOC11-v1.0</w:t>
            </w:r>
          </w:p>
        </w:tc>
      </w:tr>
      <w:tr>
        <w:tc>
          <w:tcPr>
            <w:tcW w:type="dxa" w:w="4320"/>
          </w:tcPr>
          <w:p>
            <w:r/>
            <w:r>
              <w:rPr>
                <w:rFonts w:ascii="Calibri" w:hAnsi="Calibri"/>
                <w:b/>
                <w:sz w:val="20"/>
              </w:rPr>
              <w:t>Classificatie</w:t>
            </w:r>
          </w:p>
        </w:tc>
        <w:tc>
          <w:tcPr>
            <w:tcW w:type="dxa" w:w="4320"/>
          </w:tcPr>
          <w:p>
            <w:r/>
            <w:r>
              <w:rPr>
                <w:rFonts w:ascii="Calibri" w:hAnsi="Calibri"/>
                <w:b/>
                <w:color w:val="FF6D00"/>
                <w:sz w:val="20"/>
              </w:rPr>
              <w:t>Vertrouwelijk</w:t>
            </w:r>
          </w:p>
        </w:tc>
      </w:tr>
      <w:tr>
        <w:tc>
          <w:tcPr>
            <w:tcW w:type="dxa" w:w="4320"/>
          </w:tcPr>
          <w:p>
            <w:r/>
            <w:r>
              <w:rPr>
                <w:rFonts w:ascii="Calibri" w:hAnsi="Calibri"/>
                <w:b/>
                <w:sz w:val="20"/>
              </w:rPr>
              <w:t>Datum</w:t>
            </w:r>
          </w:p>
        </w:tc>
        <w:tc>
          <w:tcPr>
            <w:tcW w:type="dxa" w:w="4320"/>
          </w:tcPr>
          <w:p>
            <w:r/>
            <w:r>
              <w:rPr>
                <w:rFonts w:ascii="Calibri" w:hAnsi="Calibri"/>
                <w:sz w:val="20"/>
              </w:rPr>
              <w:t>26 april 2026</w:t>
            </w:r>
          </w:p>
        </w:tc>
      </w:tr>
      <w:tr>
        <w:tc>
          <w:tcPr>
            <w:tcW w:type="dxa" w:w="4320"/>
          </w:tcPr>
          <w:p>
            <w:r/>
            <w:r>
              <w:rPr>
                <w:rFonts w:ascii="Calibri" w:hAnsi="Calibri"/>
                <w:b/>
                <w:sz w:val="20"/>
              </w:rPr>
              <w:t>Opdrachtgever</w:t>
            </w:r>
          </w:p>
        </w:tc>
        <w:tc>
          <w:tcPr>
            <w:tcW w:type="dxa" w:w="4320"/>
          </w:tcPr>
          <w:p>
            <w:r/>
            <w:r>
              <w:rPr>
                <w:rFonts w:ascii="Calibri" w:hAnsi="Calibri"/>
                <w:sz w:val="20"/>
              </w:rPr>
              <w:t>Phoenix Metals IJmuiden</w:t>
            </w:r>
          </w:p>
        </w:tc>
      </w:tr>
      <w:tr>
        <w:tc>
          <w:tcPr>
            <w:tcW w:type="dxa" w:w="4320"/>
          </w:tcPr>
          <w:p>
            <w:r/>
            <w:r>
              <w:rPr>
                <w:rFonts w:ascii="Calibri" w:hAnsi="Calibri"/>
                <w:b/>
                <w:sz w:val="20"/>
              </w:rPr>
              <w:t>Auteur</w:t>
            </w:r>
          </w:p>
        </w:tc>
        <w:tc>
          <w:tcPr>
            <w:tcW w:type="dxa" w:w="4320"/>
          </w:tcPr>
          <w:p>
            <w:r/>
            <w:r>
              <w:rPr>
                <w:rFonts w:ascii="Calibri" w:hAnsi="Calibri"/>
                <w:sz w:val="20"/>
              </w:rPr>
              <w:t>JVG Consultancy</w:t>
            </w:r>
          </w:p>
        </w:tc>
      </w:tr>
      <w:tr>
        <w:tc>
          <w:tcPr>
            <w:tcW w:type="dxa" w:w="4320"/>
          </w:tcPr>
          <w:p>
            <w:r/>
            <w:r>
              <w:rPr>
                <w:rFonts w:ascii="Calibri" w:hAnsi="Calibri"/>
                <w:b/>
                <w:sz w:val="20"/>
              </w:rPr>
              <w:t>Status</w:t>
            </w:r>
          </w:p>
        </w:tc>
        <w:tc>
          <w:tcPr>
            <w:tcW w:type="dxa" w:w="4320"/>
          </w:tcPr>
          <w:p>
            <w:r/>
            <w:r>
              <w:rPr>
                <w:rFonts w:ascii="Calibri" w:hAnsi="Calibri"/>
                <w:sz w:val="20"/>
              </w:rPr>
              <w:t>Concept</w:t>
            </w:r>
          </w:p>
        </w:tc>
      </w:tr>
      <w:tr>
        <w:tc>
          <w:tcPr>
            <w:tcW w:type="dxa" w:w="4320"/>
          </w:tcPr>
          <w:p>
            <w:r/>
            <w:r>
              <w:rPr>
                <w:rFonts w:ascii="Calibri" w:hAnsi="Calibri"/>
                <w:b/>
                <w:sz w:val="20"/>
              </w:rPr>
              <w:t>Referentie</w:t>
            </w:r>
          </w:p>
        </w:tc>
        <w:tc>
          <w:tcPr>
            <w:tcW w:type="dxa" w:w="4320"/>
          </w:tcPr>
          <w:p>
            <w:r/>
            <w:r>
              <w:rPr>
                <w:rFonts w:ascii="Calibri" w:hAnsi="Calibri"/>
                <w:sz w:val="20"/>
              </w:rPr>
              <w:t>PGS 15:2025 v1.0</w:t>
            </w:r>
          </w:p>
        </w:tc>
      </w:tr>
    </w:tbl>
    <w:p>
      <w:r>
        <w:br w:type="page"/>
      </w:r>
    </w:p>
    <w:p>
      <w:pPr>
        <w:pStyle w:val="Heading1"/>
      </w:pPr>
      <w:r>
        <w:t>1 Management Samenvatting</w:t>
      </w:r>
    </w:p>
    <w:p>
      <w:r>
        <w:t>Dit document bevat de compliance toetsing van Phoenix Metals IJmuiden tegen de PGS 15:2025 richtlijn voor de opslag van verpakte gevaarlijke stoffen. De toetsing is gebaseerd op een volledige inventarisatie van zes chemische stoffen met een totaal volume van circa 315 liter respectievelijk 15 kilogram, waarvan 300 liter ADR-klasse 8 (bijtende stoffen) en 15 kilogram niet-ADR-geclassificeerde stoffen.</w:t>
      </w:r>
    </w:p>
    <w:p>
      <w:r>
        <w:t>De kernbevinding is dat Phoenix Metals met circa 390 kilogram ADR 8 Verpakkingsgroep II stoffen ver onder de drempelwaarde van 2.500 kg (Tabel 7) opereert, waardoor het basisveiligheidsniveau volstaat. Er zijn geen aanvullende veiligheidsniveaus (A, B of C) vereist. De brandcompartimenteringseisen zijn minimaal en er is geen verplichting voor een vaste blusinstallatie of branddetectiesysteem.</w:t>
      </w:r>
    </w:p>
    <w:p>
      <w:r>
        <w:rPr>
          <w:color w:val="EF4444"/>
        </w:rPr>
        <w:t>De toetsing leidt echter tot één kritieke non-conformiteit: natriumhydroxide (NaOH 50%) en zwavelzuur (H₂SO₄, diverse concentraties) worden momenteel op hetzelfde opslagrack geplaatst. Volgens PGS 15 Bijlage E, Tabel 9 vereist de combinatie zuur-base een A-scheiding (apart brandcompartiment of 5 meter vrije zone). Deze eis geldt onafhankelijk van het veiligheidsniveau en het opgeslagen volume.</w:t>
      </w:r>
    </w:p>
    <w:p>
      <w:pPr>
        <w:pStyle w:val="Heading3"/>
      </w:pPr>
      <w:r>
        <w:t>Actiepunten</w:t>
      </w:r>
    </w:p>
    <w:p>
      <w:r>
        <w:t>1. Scheiding NaOH en H₂SO₄: Plaats natriumhydroxide en zwavelzuur in aparte lekbakken met minimaal 2 meter onderlinge afstand, danwel in aparte vakken conform PGS 15 Bijlage E.3. Calcium oxide dient eveneens gescheiden opgeslagen te worden van alle zwavelzuurproducten.</w:t>
      </w:r>
    </w:p>
    <w:p>
      <w:r>
        <w:t>2. Vloeistofopvang: Installeer lekbakken voor alle vloeibare ADR 8 stoffen met een capaciteit van minimaal 110% van het grootste individuele verpakkingsvolume (25 liter per jerrycan).</w:t>
      </w:r>
    </w:p>
    <w:p>
      <w:r>
        <w:t>3. Documentatie: Stel een SDS-map samen met Veiligheidsinformatiebladen voor alle zes stoffen, inclusief een instructiekaart bij het opslagrack met calamiteitenprocedures.</w:t>
      </w:r>
    </w:p>
    <w:p>
      <w:r>
        <w:rPr>
          <w:b/>
          <w:color w:val="003366"/>
        </w:rPr>
        <w:t>Geschat investeringsbudget: €5.000 – €15.000</w:t>
      </w:r>
    </w:p>
    <w:p>
      <w:r>
        <w:br w:type="page"/>
      </w:r>
    </w:p>
    <w:p>
      <w:pPr>
        <w:pStyle w:val="Heading1"/>
      </w:pPr>
      <w:r>
        <w:t>2 Toetsingskader</w:t>
      </w:r>
    </w:p>
    <w:p>
      <w:pPr>
        <w:pStyle w:val="Heading2"/>
      </w:pPr>
      <w:r>
        <w:t>2.1 Methodologie</w:t>
      </w:r>
    </w:p>
    <w:p>
      <w:r>
        <w:t>De compliance toetsing is uitgevoerd volgens de scenario-gebaseerde methodologie van PGS 15:2025 v1.0. Deze richtlijn hanteert een integrale benadering waarbij de opslag van gevaarlijke stoffen wordt getoetst op drie assen: (1) kwantitatieve drempelwaarden voor de bepaling van het veiligheidsniveau, (2) kwalitatieve compatibiliteitseisen voor stofscheiding, en (3) facilitaire minimumeisen die onafhankelijk van het veiligheidsniveau van toepassing zijn.</w:t>
      </w:r>
    </w:p>
    <w:p>
      <w:r>
        <w:t>Het toetsingstraject bestaat uit de volgende stappen: inventarisatie van alle opgeslagen stoffen met bijbehorende ADR-classificatie, verpakking en volume; bepaling van het veiligheidsniveau op basis van Tabel 6 en Tabel 7; toetsing van de stofcompatibiliteit via Tabel 9 en Bijlage E; en formulering van verbetermaatregelen conform de Geldige Maatregelen (M-nummers) uit de PGS 15.</w:t>
      </w:r>
    </w:p>
    <w:p>
      <w:pPr>
        <w:pStyle w:val="Heading2"/>
      </w:pPr>
      <w:r>
        <w:t>2.2 Toetsingscriteria</w:t>
      </w:r>
    </w:p>
    <w:p>
      <w:r>
        <w:t>De volgende PGS 15 criteria zijn gehanteerd:</w:t>
      </w:r>
    </w:p>
    <w:p>
      <w:r>
        <w:rPr>
          <w:b/>
          <w:sz w:val="20"/>
        </w:rPr>
        <w:t xml:space="preserve">Tabel 6 — Veiligheidsniveaus: </w:t>
      </w:r>
      <w:r>
        <w:rPr>
          <w:sz w:val="20"/>
        </w:rPr>
        <w:t>Bepaling van het vereiste veiligheidsniveau (basis, A, B) op basis van ADR-klasse, verpakkinggroep en totaal opgeslagen massa. Voor ADR 8 VG II/III onbrandbare stoffen geldt dat elke hoeveelheid onder het basisniveau valt.</w:t>
      </w:r>
    </w:p>
    <w:p>
      <w:r>
        <w:rPr>
          <w:b/>
          <w:sz w:val="20"/>
        </w:rPr>
        <w:t xml:space="preserve">Tabel 7 — Drempelwaarden: </w:t>
      </w:r>
      <w:r>
        <w:rPr>
          <w:sz w:val="20"/>
        </w:rPr>
        <w:t>Kwantitatieve grenswaarden per ADR-klasse die bepalen of opslag onder de PGS 15 reikwijdte valt. De ondergrens bedraagt 2.500 kg voor ADR 8, 400 kg voor ADR 3 VGI en 1.000 kg voor ADR 6.1 VGI.</w:t>
      </w:r>
    </w:p>
    <w:p>
      <w:r>
        <w:rPr>
          <w:b/>
          <w:sz w:val="20"/>
        </w:rPr>
        <w:t xml:space="preserve">Tabel 9 — Compatibiliteitsmatrix: </w:t>
      </w:r>
      <w:r>
        <w:rPr>
          <w:sz w:val="20"/>
        </w:rPr>
        <w:t>Systeem voor de bepaling van scheidingseisen tussen verschillende ADR-klassen en binnen dezelfde klasse. De matrix kent drie niveaus: V (aparte vakken), B (beoordeling vereist) en A (apart brandcompartiment of 5 m vrije zone).</w:t>
      </w:r>
    </w:p>
    <w:p>
      <w:pPr>
        <w:pStyle w:val="Heading2"/>
      </w:pPr>
      <w:r>
        <w:t>2.3 Inventarisatie</w:t>
      </w:r>
    </w:p>
    <w:p>
      <w:r>
        <w:t>Alle zes stoffen in het chemisch register van Phoenix Metals zijn geclassificeerd volgens ADR en CLP. Het totaal ADR 8 volume bedraagt 300 liter verdeeld over natriumhydroxide 50% (100 l), zwavelzuur 75% (30 l), zwavelzuur 50% (70 l) en zwavelzuur 25% (100 l). Daarnaast zijn aluminiumsulfaat (5 kg) en calciumoxide (10 kg) aanwezig als niet-ADR-geclassificeerde stoffen. Er zijn geen SVHC-, CMR- of brandbare stoffen aanwezig.</w:t>
      </w:r>
    </w:p>
    <w:p>
      <w:r>
        <w:br w:type="page"/>
      </w:r>
    </w:p>
    <w:p>
      <w:pPr>
        <w:pStyle w:val="Heading1"/>
      </w:pPr>
      <w:r>
        <w:t>3 Stoffenanalyse</w:t>
      </w:r>
    </w:p>
    <w:p>
      <w:pPr>
        <w:pStyle w:val="Heading2"/>
      </w:pPr>
      <w:r>
        <w:t>3.1 Stoffenregister</w:t>
      </w:r>
    </w:p>
    <w:p>
      <w:r>
        <w:t>De volgende tabel geeft een compleet overzicht van alle opgeslagen stoffen met bijbehorende classificatie- en opslagparameters.</w:t>
      </w:r>
    </w:p>
    <w:tbl>
      <w:tblPr>
        <w:tblW w:type="auto" w:w="0"/>
        <w:jc w:val="center"/>
        <w:tblLook w:firstColumn="1" w:firstRow="1" w:lastColumn="0" w:lastRow="0" w:noHBand="0" w:noVBand="1" w:val="04A0"/>
        <w:tblBorders>
          <w:top w:val="single" w:sz="4" w:space="0" w:color="003366"/>
          <w:left w:val="single" w:sz="4" w:space="0" w:color="003366"/>
          <w:bottom w:val="single" w:sz="4" w:space="0" w:color="003366"/>
          <w:right w:val="single" w:sz="4" w:space="0" w:color="003366"/>
          <w:insideH w:val="single" w:sz="4" w:space="0" w:color="E5E7EB"/>
          <w:insideV w:val="single" w:sz="4" w:space="0" w:color="E5E7EB"/>
        </w:tblBorders>
      </w:tblPr>
      <w:tblGrid>
        <w:gridCol w:w="1080"/>
        <w:gridCol w:w="1080"/>
        <w:gridCol w:w="1080"/>
        <w:gridCol w:w="1080"/>
        <w:gridCol w:w="1080"/>
        <w:gridCol w:w="1080"/>
        <w:gridCol w:w="1080"/>
        <w:gridCol w:w="1080"/>
      </w:tblGrid>
      <w:tr>
        <w:tc>
          <w:tcPr>
            <w:tcW w:type="dxa" w:w="1080"/>
            <w:shd w:fill="003366"/>
          </w:tcPr>
          <w:p>
            <w:pPr>
              <w:jc w:val="center"/>
            </w:pPr>
            <w:r/>
            <w:r>
              <w:rPr>
                <w:rFonts w:ascii="Calibri" w:hAnsi="Calibri"/>
                <w:b/>
                <w:color w:val="FFFFFF"/>
                <w:sz w:val="20"/>
              </w:rPr>
              <w:t>Stof</w:t>
            </w:r>
          </w:p>
        </w:tc>
        <w:tc>
          <w:tcPr>
            <w:tcW w:type="dxa" w:w="1080"/>
            <w:shd w:fill="003366"/>
          </w:tcPr>
          <w:p>
            <w:pPr>
              <w:jc w:val="center"/>
            </w:pPr>
            <w:r/>
            <w:r>
              <w:rPr>
                <w:rFonts w:ascii="Calibri" w:hAnsi="Calibri"/>
                <w:b/>
                <w:color w:val="FFFFFF"/>
                <w:sz w:val="20"/>
              </w:rPr>
              <w:t>CAS-nr.</w:t>
            </w:r>
          </w:p>
        </w:tc>
        <w:tc>
          <w:tcPr>
            <w:tcW w:type="dxa" w:w="1080"/>
            <w:shd w:fill="003366"/>
          </w:tcPr>
          <w:p>
            <w:pPr>
              <w:jc w:val="center"/>
            </w:pPr>
            <w:r/>
            <w:r>
              <w:rPr>
                <w:rFonts w:ascii="Calibri" w:hAnsi="Calibri"/>
                <w:b/>
                <w:color w:val="FFFFFF"/>
                <w:sz w:val="20"/>
              </w:rPr>
              <w:t>ADR</w:t>
            </w:r>
          </w:p>
        </w:tc>
        <w:tc>
          <w:tcPr>
            <w:tcW w:type="dxa" w:w="1080"/>
            <w:shd w:fill="003366"/>
          </w:tcPr>
          <w:p>
            <w:pPr>
              <w:jc w:val="center"/>
            </w:pPr>
            <w:r/>
            <w:r>
              <w:rPr>
                <w:rFonts w:ascii="Calibri" w:hAnsi="Calibri"/>
                <w:b/>
                <w:color w:val="FFFFFF"/>
                <w:sz w:val="20"/>
              </w:rPr>
              <w:t>PG</w:t>
            </w:r>
          </w:p>
        </w:tc>
        <w:tc>
          <w:tcPr>
            <w:tcW w:type="dxa" w:w="1080"/>
            <w:shd w:fill="003366"/>
          </w:tcPr>
          <w:p>
            <w:pPr>
              <w:jc w:val="center"/>
            </w:pPr>
            <w:r/>
            <w:r>
              <w:rPr>
                <w:rFonts w:ascii="Calibri" w:hAnsi="Calibri"/>
                <w:b/>
                <w:color w:val="FFFFFF"/>
                <w:sz w:val="20"/>
              </w:rPr>
              <w:t>Volume</w:t>
            </w:r>
          </w:p>
        </w:tc>
        <w:tc>
          <w:tcPr>
            <w:tcW w:type="dxa" w:w="1080"/>
            <w:shd w:fill="003366"/>
          </w:tcPr>
          <w:p>
            <w:pPr>
              <w:jc w:val="center"/>
            </w:pPr>
            <w:r/>
            <w:r>
              <w:rPr>
                <w:rFonts w:ascii="Calibri" w:hAnsi="Calibri"/>
                <w:b/>
                <w:color w:val="FFFFFF"/>
                <w:sz w:val="20"/>
              </w:rPr>
              <w:t>Verpakking</w:t>
            </w:r>
          </w:p>
        </w:tc>
        <w:tc>
          <w:tcPr>
            <w:tcW w:type="dxa" w:w="1080"/>
            <w:shd w:fill="003366"/>
          </w:tcPr>
          <w:p>
            <w:pPr>
              <w:jc w:val="center"/>
            </w:pPr>
            <w:r/>
            <w:r>
              <w:rPr>
                <w:rFonts w:ascii="Calibri" w:hAnsi="Calibri"/>
                <w:b/>
                <w:color w:val="FFFFFF"/>
                <w:sz w:val="20"/>
              </w:rPr>
              <w:t>Locatie</w:t>
            </w:r>
          </w:p>
        </w:tc>
        <w:tc>
          <w:tcPr>
            <w:tcW w:type="dxa" w:w="1080"/>
            <w:shd w:fill="003366"/>
          </w:tcPr>
          <w:p>
            <w:pPr>
              <w:jc w:val="center"/>
            </w:pPr>
            <w:r/>
            <w:r>
              <w:rPr>
                <w:rFonts w:ascii="Calibri" w:hAnsi="Calibri"/>
                <w:b/>
                <w:color w:val="FFFFFF"/>
                <w:sz w:val="20"/>
              </w:rPr>
              <w:t>Status</w:t>
            </w:r>
          </w:p>
        </w:tc>
      </w:tr>
      <w:tr>
        <w:tc>
          <w:tcPr>
            <w:tcW w:type="dxa" w:w="1080"/>
          </w:tcPr>
          <w:p>
            <w:r/>
            <w:r>
              <w:rPr>
                <w:rFonts w:ascii="Calibri" w:hAnsi="Calibri"/>
                <w:sz w:val="18"/>
              </w:rPr>
              <w:t>Natriumhydroxide 50%</w:t>
            </w:r>
          </w:p>
        </w:tc>
        <w:tc>
          <w:tcPr>
            <w:tcW w:type="dxa" w:w="1080"/>
          </w:tcPr>
          <w:p>
            <w:r/>
            <w:r>
              <w:rPr>
                <w:rFonts w:ascii="Calibri" w:hAnsi="Calibri"/>
                <w:sz w:val="18"/>
              </w:rPr>
              <w:t>1310-73-2</w:t>
            </w:r>
          </w:p>
        </w:tc>
        <w:tc>
          <w:tcPr>
            <w:tcW w:type="dxa" w:w="1080"/>
          </w:tcPr>
          <w:p>
            <w:r/>
            <w:r>
              <w:rPr>
                <w:rFonts w:ascii="Calibri" w:hAnsi="Calibri"/>
                <w:sz w:val="18"/>
              </w:rPr>
              <w:t>8</w:t>
            </w:r>
          </w:p>
        </w:tc>
        <w:tc>
          <w:tcPr>
            <w:tcW w:type="dxa" w:w="1080"/>
          </w:tcPr>
          <w:p>
            <w:r/>
            <w:r>
              <w:rPr>
                <w:rFonts w:ascii="Calibri" w:hAnsi="Calibri"/>
                <w:sz w:val="18"/>
              </w:rPr>
              <w:t>II</w:t>
            </w:r>
          </w:p>
        </w:tc>
        <w:tc>
          <w:tcPr>
            <w:tcW w:type="dxa" w:w="1080"/>
          </w:tcPr>
          <w:p>
            <w:r/>
            <w:r>
              <w:rPr>
                <w:rFonts w:ascii="Calibri" w:hAnsi="Calibri"/>
                <w:sz w:val="18"/>
              </w:rPr>
              <w:t>100 l</w:t>
            </w:r>
          </w:p>
        </w:tc>
        <w:tc>
          <w:tcPr>
            <w:tcW w:type="dxa" w:w="1080"/>
          </w:tcPr>
          <w:p>
            <w:r/>
            <w:r>
              <w:rPr>
                <w:rFonts w:ascii="Calibri" w:hAnsi="Calibri"/>
                <w:sz w:val="18"/>
              </w:rPr>
              <w:t>Jerrycan (4×25 l)</w:t>
            </w:r>
          </w:p>
        </w:tc>
        <w:tc>
          <w:tcPr>
            <w:tcW w:type="dxa" w:w="1080"/>
          </w:tcPr>
          <w:p>
            <w:r/>
            <w:r>
              <w:rPr>
                <w:rFonts w:ascii="Calibri" w:hAnsi="Calibri"/>
                <w:sz w:val="18"/>
              </w:rPr>
              <w:t>Rack lab</w:t>
            </w:r>
          </w:p>
        </w:tc>
        <w:tc>
          <w:tcPr>
            <w:tcW w:type="dxa" w:w="1080"/>
          </w:tcPr>
          <w:p>
            <w:r/>
            <w:r>
              <w:rPr>
                <w:rFonts w:ascii="Calibri" w:hAnsi="Calibri"/>
                <w:sz w:val="18"/>
              </w:rPr>
              <w:t>ADR 8, base</w:t>
            </w:r>
          </w:p>
        </w:tc>
      </w:tr>
      <w:tr>
        <w:tc>
          <w:tcPr>
            <w:tcW w:type="dxa" w:w="1080"/>
          </w:tcPr>
          <w:p>
            <w:r/>
            <w:r>
              <w:rPr>
                <w:rFonts w:ascii="Calibri" w:hAnsi="Calibri"/>
                <w:sz w:val="18"/>
              </w:rPr>
              <w:t>Zwavelzuur 75%</w:t>
            </w:r>
          </w:p>
        </w:tc>
        <w:tc>
          <w:tcPr>
            <w:tcW w:type="dxa" w:w="1080"/>
          </w:tcPr>
          <w:p>
            <w:r/>
            <w:r>
              <w:rPr>
                <w:rFonts w:ascii="Calibri" w:hAnsi="Calibri"/>
                <w:sz w:val="18"/>
              </w:rPr>
              <w:t>7664-93-9</w:t>
            </w:r>
          </w:p>
        </w:tc>
        <w:tc>
          <w:tcPr>
            <w:tcW w:type="dxa" w:w="1080"/>
          </w:tcPr>
          <w:p>
            <w:r/>
            <w:r>
              <w:rPr>
                <w:rFonts w:ascii="Calibri" w:hAnsi="Calibri"/>
                <w:sz w:val="18"/>
              </w:rPr>
              <w:t>8</w:t>
            </w:r>
          </w:p>
        </w:tc>
        <w:tc>
          <w:tcPr>
            <w:tcW w:type="dxa" w:w="1080"/>
          </w:tcPr>
          <w:p>
            <w:r/>
            <w:r>
              <w:rPr>
                <w:rFonts w:ascii="Calibri" w:hAnsi="Calibri"/>
                <w:sz w:val="18"/>
              </w:rPr>
              <w:t>II</w:t>
            </w:r>
          </w:p>
        </w:tc>
        <w:tc>
          <w:tcPr>
            <w:tcW w:type="dxa" w:w="1080"/>
          </w:tcPr>
          <w:p>
            <w:r/>
            <w:r>
              <w:rPr>
                <w:rFonts w:ascii="Calibri" w:hAnsi="Calibri"/>
                <w:sz w:val="18"/>
              </w:rPr>
              <w:t>30 l</w:t>
            </w:r>
          </w:p>
        </w:tc>
        <w:tc>
          <w:tcPr>
            <w:tcW w:type="dxa" w:w="1080"/>
          </w:tcPr>
          <w:p>
            <w:r/>
            <w:r>
              <w:rPr>
                <w:rFonts w:ascii="Calibri" w:hAnsi="Calibri"/>
                <w:sz w:val="18"/>
              </w:rPr>
              <w:t>Jerrycan (3×10 l)</w:t>
            </w:r>
          </w:p>
        </w:tc>
        <w:tc>
          <w:tcPr>
            <w:tcW w:type="dxa" w:w="1080"/>
          </w:tcPr>
          <w:p>
            <w:r/>
            <w:r>
              <w:rPr>
                <w:rFonts w:ascii="Calibri" w:hAnsi="Calibri"/>
                <w:sz w:val="18"/>
              </w:rPr>
              <w:t>Rack lab</w:t>
            </w:r>
          </w:p>
        </w:tc>
        <w:tc>
          <w:tcPr>
            <w:tcW w:type="dxa" w:w="1080"/>
          </w:tcPr>
          <w:p>
            <w:r/>
            <w:r>
              <w:rPr>
                <w:rFonts w:ascii="Calibri" w:hAnsi="Calibri"/>
                <w:sz w:val="18"/>
              </w:rPr>
              <w:t>ADR 8, zuur</w:t>
            </w:r>
          </w:p>
        </w:tc>
      </w:tr>
      <w:tr>
        <w:tc>
          <w:tcPr>
            <w:tcW w:type="dxa" w:w="1080"/>
          </w:tcPr>
          <w:p>
            <w:r/>
            <w:r>
              <w:rPr>
                <w:rFonts w:ascii="Calibri" w:hAnsi="Calibri"/>
                <w:sz w:val="18"/>
              </w:rPr>
              <w:t>Zwavelzuur 50%</w:t>
            </w:r>
          </w:p>
        </w:tc>
        <w:tc>
          <w:tcPr>
            <w:tcW w:type="dxa" w:w="1080"/>
          </w:tcPr>
          <w:p>
            <w:r/>
            <w:r>
              <w:rPr>
                <w:rFonts w:ascii="Calibri" w:hAnsi="Calibri"/>
                <w:sz w:val="18"/>
              </w:rPr>
              <w:t>7664-93-9</w:t>
            </w:r>
          </w:p>
        </w:tc>
        <w:tc>
          <w:tcPr>
            <w:tcW w:type="dxa" w:w="1080"/>
          </w:tcPr>
          <w:p>
            <w:r/>
            <w:r>
              <w:rPr>
                <w:rFonts w:ascii="Calibri" w:hAnsi="Calibri"/>
                <w:sz w:val="18"/>
              </w:rPr>
              <w:t>8</w:t>
            </w:r>
          </w:p>
        </w:tc>
        <w:tc>
          <w:tcPr>
            <w:tcW w:type="dxa" w:w="1080"/>
          </w:tcPr>
          <w:p>
            <w:r/>
            <w:r>
              <w:rPr>
                <w:rFonts w:ascii="Calibri" w:hAnsi="Calibri"/>
                <w:sz w:val="18"/>
              </w:rPr>
              <w:t>II</w:t>
            </w:r>
          </w:p>
        </w:tc>
        <w:tc>
          <w:tcPr>
            <w:tcW w:type="dxa" w:w="1080"/>
          </w:tcPr>
          <w:p>
            <w:r/>
            <w:r>
              <w:rPr>
                <w:rFonts w:ascii="Calibri" w:hAnsi="Calibri"/>
                <w:sz w:val="18"/>
              </w:rPr>
              <w:t>70 l</w:t>
            </w:r>
          </w:p>
        </w:tc>
        <w:tc>
          <w:tcPr>
            <w:tcW w:type="dxa" w:w="1080"/>
          </w:tcPr>
          <w:p>
            <w:r/>
            <w:r>
              <w:rPr>
                <w:rFonts w:ascii="Calibri" w:hAnsi="Calibri"/>
                <w:sz w:val="18"/>
              </w:rPr>
              <w:t>Jerrycan (7×10 l)</w:t>
            </w:r>
          </w:p>
        </w:tc>
        <w:tc>
          <w:tcPr>
            <w:tcW w:type="dxa" w:w="1080"/>
          </w:tcPr>
          <w:p>
            <w:r/>
            <w:r>
              <w:rPr>
                <w:rFonts w:ascii="Calibri" w:hAnsi="Calibri"/>
                <w:sz w:val="18"/>
              </w:rPr>
              <w:t>Rack lab</w:t>
            </w:r>
          </w:p>
        </w:tc>
        <w:tc>
          <w:tcPr>
            <w:tcW w:type="dxa" w:w="1080"/>
          </w:tcPr>
          <w:p>
            <w:r/>
            <w:r>
              <w:rPr>
                <w:rFonts w:ascii="Calibri" w:hAnsi="Calibri"/>
                <w:sz w:val="18"/>
              </w:rPr>
              <w:t>ADR 8, zuur</w:t>
            </w:r>
          </w:p>
        </w:tc>
      </w:tr>
      <w:tr>
        <w:tc>
          <w:tcPr>
            <w:tcW w:type="dxa" w:w="1080"/>
          </w:tcPr>
          <w:p>
            <w:r/>
            <w:r>
              <w:rPr>
                <w:rFonts w:ascii="Calibri" w:hAnsi="Calibri"/>
                <w:sz w:val="18"/>
              </w:rPr>
              <w:t>Zwavelzuur 25%</w:t>
            </w:r>
          </w:p>
        </w:tc>
        <w:tc>
          <w:tcPr>
            <w:tcW w:type="dxa" w:w="1080"/>
          </w:tcPr>
          <w:p>
            <w:r/>
            <w:r>
              <w:rPr>
                <w:rFonts w:ascii="Calibri" w:hAnsi="Calibri"/>
                <w:sz w:val="18"/>
              </w:rPr>
              <w:t>7664-93-9</w:t>
            </w:r>
          </w:p>
        </w:tc>
        <w:tc>
          <w:tcPr>
            <w:tcW w:type="dxa" w:w="1080"/>
          </w:tcPr>
          <w:p>
            <w:r/>
            <w:r>
              <w:rPr>
                <w:rFonts w:ascii="Calibri" w:hAnsi="Calibri"/>
                <w:sz w:val="18"/>
              </w:rPr>
              <w:t>8</w:t>
            </w:r>
          </w:p>
        </w:tc>
        <w:tc>
          <w:tcPr>
            <w:tcW w:type="dxa" w:w="1080"/>
          </w:tcPr>
          <w:p>
            <w:r/>
            <w:r>
              <w:rPr>
                <w:rFonts w:ascii="Calibri" w:hAnsi="Calibri"/>
                <w:sz w:val="18"/>
              </w:rPr>
              <w:t>II</w:t>
            </w:r>
          </w:p>
        </w:tc>
        <w:tc>
          <w:tcPr>
            <w:tcW w:type="dxa" w:w="1080"/>
          </w:tcPr>
          <w:p>
            <w:r/>
            <w:r>
              <w:rPr>
                <w:rFonts w:ascii="Calibri" w:hAnsi="Calibri"/>
                <w:sz w:val="18"/>
              </w:rPr>
              <w:t>100 l</w:t>
            </w:r>
          </w:p>
        </w:tc>
        <w:tc>
          <w:tcPr>
            <w:tcW w:type="dxa" w:w="1080"/>
          </w:tcPr>
          <w:p>
            <w:r/>
            <w:r>
              <w:rPr>
                <w:rFonts w:ascii="Calibri" w:hAnsi="Calibri"/>
                <w:sz w:val="18"/>
              </w:rPr>
              <w:t>Jerrycan (4×25 l)</w:t>
            </w:r>
          </w:p>
        </w:tc>
        <w:tc>
          <w:tcPr>
            <w:tcW w:type="dxa" w:w="1080"/>
          </w:tcPr>
          <w:p>
            <w:r/>
            <w:r>
              <w:rPr>
                <w:rFonts w:ascii="Calibri" w:hAnsi="Calibri"/>
                <w:sz w:val="18"/>
              </w:rPr>
              <w:t>Rack lab</w:t>
            </w:r>
          </w:p>
        </w:tc>
        <w:tc>
          <w:tcPr>
            <w:tcW w:type="dxa" w:w="1080"/>
          </w:tcPr>
          <w:p>
            <w:r/>
            <w:r>
              <w:rPr>
                <w:rFonts w:ascii="Calibri" w:hAnsi="Calibri"/>
                <w:sz w:val="18"/>
              </w:rPr>
              <w:t>ADR 8, zuur</w:t>
            </w:r>
          </w:p>
        </w:tc>
      </w:tr>
      <w:tr>
        <w:tc>
          <w:tcPr>
            <w:tcW w:type="dxa" w:w="1080"/>
          </w:tcPr>
          <w:p>
            <w:r/>
            <w:r>
              <w:rPr>
                <w:rFonts w:ascii="Calibri" w:hAnsi="Calibri"/>
                <w:sz w:val="18"/>
              </w:rPr>
              <w:t>Aluminiumsulfaat</w:t>
            </w:r>
          </w:p>
        </w:tc>
        <w:tc>
          <w:tcPr>
            <w:tcW w:type="dxa" w:w="1080"/>
          </w:tcPr>
          <w:p>
            <w:r/>
            <w:r>
              <w:rPr>
                <w:rFonts w:ascii="Calibri" w:hAnsi="Calibri"/>
                <w:sz w:val="18"/>
              </w:rPr>
              <w:t>7784-31-8</w:t>
            </w:r>
          </w:p>
        </w:tc>
        <w:tc>
          <w:tcPr>
            <w:tcW w:type="dxa" w:w="1080"/>
          </w:tcPr>
          <w:p>
            <w:r/>
            <w:r>
              <w:rPr>
                <w:rFonts w:ascii="Calibri" w:hAnsi="Calibri"/>
                <w:sz w:val="18"/>
              </w:rPr>
              <w:t>N/A</w:t>
            </w:r>
          </w:p>
        </w:tc>
        <w:tc>
          <w:tcPr>
            <w:tcW w:type="dxa" w:w="1080"/>
          </w:tcPr>
          <w:p>
            <w:r/>
            <w:r>
              <w:rPr>
                <w:rFonts w:ascii="Calibri" w:hAnsi="Calibri"/>
                <w:sz w:val="18"/>
              </w:rPr>
              <w:t>N/A</w:t>
            </w:r>
          </w:p>
        </w:tc>
        <w:tc>
          <w:tcPr>
            <w:tcW w:type="dxa" w:w="1080"/>
          </w:tcPr>
          <w:p>
            <w:r/>
            <w:r>
              <w:rPr>
                <w:rFonts w:ascii="Calibri" w:hAnsi="Calibri"/>
                <w:sz w:val="18"/>
              </w:rPr>
              <w:t>5 kg</w:t>
            </w:r>
          </w:p>
        </w:tc>
        <w:tc>
          <w:tcPr>
            <w:tcW w:type="dxa" w:w="1080"/>
          </w:tcPr>
          <w:p>
            <w:r/>
            <w:r>
              <w:rPr>
                <w:rFonts w:ascii="Calibri" w:hAnsi="Calibri"/>
                <w:sz w:val="18"/>
              </w:rPr>
              <w:t>Canister (2×2.5 kg)</w:t>
            </w:r>
          </w:p>
        </w:tc>
        <w:tc>
          <w:tcPr>
            <w:tcW w:type="dxa" w:w="1080"/>
          </w:tcPr>
          <w:p>
            <w:r/>
            <w:r>
              <w:rPr>
                <w:rFonts w:ascii="Calibri" w:hAnsi="Calibri"/>
                <w:sz w:val="18"/>
              </w:rPr>
              <w:t>Rack lab</w:t>
            </w:r>
          </w:p>
        </w:tc>
        <w:tc>
          <w:tcPr>
            <w:tcW w:type="dxa" w:w="1080"/>
          </w:tcPr>
          <w:p>
            <w:r/>
            <w:r>
              <w:rPr>
                <w:rFonts w:ascii="Calibri" w:hAnsi="Calibri"/>
                <w:sz w:val="18"/>
              </w:rPr>
              <w:t>Niet-ADR</w:t>
            </w:r>
          </w:p>
        </w:tc>
      </w:tr>
      <w:tr>
        <w:tc>
          <w:tcPr>
            <w:tcW w:type="dxa" w:w="1080"/>
          </w:tcPr>
          <w:p>
            <w:r/>
            <w:r>
              <w:rPr>
                <w:rFonts w:ascii="Calibri" w:hAnsi="Calibri"/>
                <w:sz w:val="18"/>
              </w:rPr>
              <w:t>Calciumoxide</w:t>
            </w:r>
          </w:p>
        </w:tc>
        <w:tc>
          <w:tcPr>
            <w:tcW w:type="dxa" w:w="1080"/>
          </w:tcPr>
          <w:p>
            <w:r/>
            <w:r>
              <w:rPr>
                <w:rFonts w:ascii="Calibri" w:hAnsi="Calibri"/>
                <w:sz w:val="18"/>
              </w:rPr>
              <w:t>1305-78-8</w:t>
            </w:r>
          </w:p>
        </w:tc>
        <w:tc>
          <w:tcPr>
            <w:tcW w:type="dxa" w:w="1080"/>
          </w:tcPr>
          <w:p>
            <w:r/>
            <w:r>
              <w:rPr>
                <w:rFonts w:ascii="Calibri" w:hAnsi="Calibri"/>
                <w:sz w:val="18"/>
              </w:rPr>
              <w:t>N/A</w:t>
            </w:r>
          </w:p>
        </w:tc>
        <w:tc>
          <w:tcPr>
            <w:tcW w:type="dxa" w:w="1080"/>
          </w:tcPr>
          <w:p>
            <w:r/>
            <w:r>
              <w:rPr>
                <w:rFonts w:ascii="Calibri" w:hAnsi="Calibri"/>
                <w:sz w:val="18"/>
              </w:rPr>
              <w:t>N/A</w:t>
            </w:r>
          </w:p>
        </w:tc>
        <w:tc>
          <w:tcPr>
            <w:tcW w:type="dxa" w:w="1080"/>
          </w:tcPr>
          <w:p>
            <w:r/>
            <w:r>
              <w:rPr>
                <w:rFonts w:ascii="Calibri" w:hAnsi="Calibri"/>
                <w:sz w:val="18"/>
              </w:rPr>
              <w:t>10 kg</w:t>
            </w:r>
          </w:p>
        </w:tc>
        <w:tc>
          <w:tcPr>
            <w:tcW w:type="dxa" w:w="1080"/>
          </w:tcPr>
          <w:p>
            <w:r/>
            <w:r>
              <w:rPr>
                <w:rFonts w:ascii="Calibri" w:hAnsi="Calibri"/>
                <w:sz w:val="18"/>
              </w:rPr>
              <w:t>Canister (2×5 kg)</w:t>
            </w:r>
          </w:p>
        </w:tc>
        <w:tc>
          <w:tcPr>
            <w:tcW w:type="dxa" w:w="1080"/>
          </w:tcPr>
          <w:p>
            <w:r/>
            <w:r>
              <w:rPr>
                <w:rFonts w:ascii="Calibri" w:hAnsi="Calibri"/>
                <w:sz w:val="18"/>
              </w:rPr>
              <w:t>Rack lab</w:t>
            </w:r>
          </w:p>
        </w:tc>
        <w:tc>
          <w:tcPr>
            <w:tcW w:type="dxa" w:w="1080"/>
          </w:tcPr>
          <w:p>
            <w:r/>
            <w:r>
              <w:rPr>
                <w:rFonts w:ascii="Calibri" w:hAnsi="Calibri"/>
                <w:sz w:val="18"/>
              </w:rPr>
              <w:t>Niet-ADR</w:t>
            </w:r>
          </w:p>
        </w:tc>
      </w:tr>
    </w:tbl>
    <w:p/>
    <w:p>
      <w:pPr>
        <w:pStyle w:val="Heading2"/>
      </w:pPr>
      <w:r>
        <w:t>3.2 Risicoprofielen</w:t>
      </w:r>
    </w:p>
    <w:p>
      <w:r>
        <w:t>Natriumhydroxide 50% (CAS 1310-73-2) is een sterk basische vloeistof met ADR-klasse 8 Verpakkingsgroep II. De stof veroorzaakt ernstige huid- en oogletsels en reageert exotherm met zuren. Bij contact met water kan warmteontwikkeling optreden. Het volume van 100 liter (4 jerrycans van 25 liter) maakt dit de grootste individuele ADR 8-voorraad.</w:t>
      </w:r>
    </w:p>
    <w:p>
      <w:r>
        <w:t>Zwavelzuur (CAS 7664-93-9) is in alle concentraties (25%, 50%, 75%) geclassificeerd als ADR-klasse 8 Verpakkingsgroep II. Het totaal volume van 200 liter is verdeeld over 14 jerrycans. Zwavelzuur is een sterk zuur dat exotherm reageert met basen, waaronder natriumhydroxide en calciumoxide. Bij hogere concentraties (75%) neemt het corrosieve en reactieve karakter toe.</w:t>
      </w:r>
    </w:p>
    <w:p>
      <w:r>
        <w:t>Aluminiumsulfaat octadecahydraat (CAS 7784-31-8) en calciumoxide (CAS 1305-78-8) zijn niet-ADR-geclassificeerd. Aluminiumsulfaat is een zout met beperkt gevaarprofiel. Calciumoxide is een sterk basisch oxide dat exotherm reageert met zuren en water. Beide stoffen zijn in kleine hoeveelheden aanwezig (5 kg respectievelijk 10 kg).</w:t>
      </w:r>
    </w:p>
    <w:p>
      <w:pPr>
        <w:pStyle w:val="Heading2"/>
      </w:pPr>
      <w:r>
        <w:t>3.3 Aggregatieanalyse</w:t>
      </w:r>
    </w:p>
    <w:p>
      <w:r>
        <w:t>De aggregatie over ADR-klassen toont dat uitsluitend ADR-klasse 8 vertegenwoordigd is met een totaal van 300 liter (circa 390 kg bij een geschat soortelijk gewicht van 1,1–1,3 kg/l). Er zijn geen ADR-klassen 3, 5.1, 6.1 of 9 aanwezig. De niet-ADR stoffen (15 kg totaal) vallen formeel buiten de PGS 15 reikwijdte maar worden in de compatibiliteitsanalyse betrokken vanwege mogelijke reacties met ADR 8 stoffen.</w:t>
      </w:r>
    </w:p>
    <w:p>
      <w:r>
        <w:br w:type="page"/>
      </w:r>
    </w:p>
    <w:p>
      <w:pPr>
        <w:pStyle w:val="Heading1"/>
      </w:pPr>
      <w:r>
        <w:t>4 Veiligheidsniveau Bepaling</w:t>
      </w:r>
    </w:p>
    <w:p>
      <w:pPr>
        <w:pStyle w:val="Heading2"/>
      </w:pPr>
      <w:r>
        <w:t>4.1 Classificatie volgens Tabel 6</w:t>
      </w:r>
    </w:p>
    <w:p>
      <w:r>
        <w:t>Op basis van Tabel 6 van PGS 15:2025 worden de veiligheidsniveaus bepaald per ADR-klasse en verpakkinggroep. Voor Phoenix Metals is de relevante categorie ADR-klasse 8 Verpakkingsgroep II/III, onbrandbaar. De stoffen (natriumhydroxide en zwavelzuur) zijn bijtend maar niet brandbaar en niet brandonderhoudend.</w:t>
      </w:r>
    </w:p>
    <w:tbl>
      <w:tblPr>
        <w:tblW w:type="auto" w:w="0"/>
        <w:jc w:val="center"/>
        <w:tblLook w:firstColumn="1" w:firstRow="1" w:lastColumn="0" w:lastRow="0" w:noHBand="0" w:noVBand="1" w:val="04A0"/>
        <w:tblBorders>
          <w:top w:val="single" w:sz="4" w:space="0" w:color="003366"/>
          <w:left w:val="single" w:sz="4" w:space="0" w:color="003366"/>
          <w:bottom w:val="single" w:sz="4" w:space="0" w:color="003366"/>
          <w:right w:val="single" w:sz="4" w:space="0" w:color="003366"/>
          <w:insideH w:val="single" w:sz="4" w:space="0" w:color="E5E7EB"/>
          <w:insideV w:val="single" w:sz="4" w:space="0" w:color="E5E7EB"/>
        </w:tblBorders>
      </w:tblPr>
      <w:tblGrid>
        <w:gridCol w:w="2160"/>
        <w:gridCol w:w="2160"/>
        <w:gridCol w:w="2160"/>
        <w:gridCol w:w="2160"/>
      </w:tblGrid>
      <w:tr>
        <w:tc>
          <w:tcPr>
            <w:tcW w:type="dxa" w:w="2160"/>
            <w:shd w:fill="003366"/>
          </w:tcPr>
          <w:p>
            <w:pPr>
              <w:jc w:val="center"/>
            </w:pPr>
            <w:r/>
            <w:r>
              <w:rPr>
                <w:rFonts w:ascii="Calibri" w:hAnsi="Calibri"/>
                <w:b/>
                <w:color w:val="FFFFFF"/>
                <w:sz w:val="20"/>
              </w:rPr>
              <w:t>Parameter</w:t>
            </w:r>
          </w:p>
        </w:tc>
        <w:tc>
          <w:tcPr>
            <w:tcW w:type="dxa" w:w="2160"/>
            <w:shd w:fill="003366"/>
          </w:tcPr>
          <w:p>
            <w:pPr>
              <w:jc w:val="center"/>
            </w:pPr>
            <w:r/>
            <w:r>
              <w:rPr>
                <w:rFonts w:ascii="Calibri" w:hAnsi="Calibri"/>
                <w:b/>
                <w:color w:val="FFFFFF"/>
                <w:sz w:val="20"/>
              </w:rPr>
              <w:t>Waarde</w:t>
            </w:r>
          </w:p>
        </w:tc>
        <w:tc>
          <w:tcPr>
            <w:tcW w:type="dxa" w:w="2160"/>
            <w:shd w:fill="003366"/>
          </w:tcPr>
          <w:p>
            <w:pPr>
              <w:jc w:val="center"/>
            </w:pPr>
            <w:r/>
            <w:r>
              <w:rPr>
                <w:rFonts w:ascii="Calibri" w:hAnsi="Calibri"/>
                <w:b/>
                <w:color w:val="FFFFFF"/>
                <w:sz w:val="20"/>
              </w:rPr>
              <w:t>Bron</w:t>
            </w:r>
          </w:p>
        </w:tc>
        <w:tc>
          <w:tcPr>
            <w:tcW w:type="dxa" w:w="2160"/>
            <w:shd w:fill="003366"/>
          </w:tcPr>
          <w:p>
            <w:pPr>
              <w:jc w:val="center"/>
            </w:pPr>
            <w:r/>
            <w:r>
              <w:rPr>
                <w:rFonts w:ascii="Calibri" w:hAnsi="Calibri"/>
                <w:b/>
                <w:color w:val="FFFFFF"/>
                <w:sz w:val="20"/>
              </w:rPr>
              <w:t>Toelichting</w:t>
            </w:r>
          </w:p>
        </w:tc>
      </w:tr>
      <w:tr>
        <w:tc>
          <w:tcPr>
            <w:tcW w:type="dxa" w:w="2160"/>
          </w:tcPr>
          <w:p>
            <w:r/>
            <w:r>
              <w:rPr>
                <w:rFonts w:ascii="Calibri" w:hAnsi="Calibri"/>
                <w:sz w:val="18"/>
              </w:rPr>
              <w:t>ADR-klasse</w:t>
            </w:r>
          </w:p>
        </w:tc>
        <w:tc>
          <w:tcPr>
            <w:tcW w:type="dxa" w:w="2160"/>
          </w:tcPr>
          <w:p>
            <w:r/>
            <w:r>
              <w:rPr>
                <w:rFonts w:ascii="Calibri" w:hAnsi="Calibri"/>
                <w:sz w:val="18"/>
              </w:rPr>
              <w:t>8 (bijtend)</w:t>
            </w:r>
          </w:p>
        </w:tc>
        <w:tc>
          <w:tcPr>
            <w:tcW w:type="dxa" w:w="2160"/>
          </w:tcPr>
          <w:p>
            <w:r/>
            <w:r>
              <w:rPr>
                <w:rFonts w:ascii="Calibri" w:hAnsi="Calibri"/>
                <w:sz w:val="18"/>
              </w:rPr>
              <w:t>Tabel 6</w:t>
            </w:r>
          </w:p>
        </w:tc>
        <w:tc>
          <w:tcPr>
            <w:tcW w:type="dxa" w:w="2160"/>
          </w:tcPr>
          <w:p>
            <w:r/>
            <w:r>
              <w:rPr>
                <w:rFonts w:ascii="Calibri" w:hAnsi="Calibri"/>
                <w:sz w:val="18"/>
              </w:rPr>
              <w:t>Alle vier de ADR-stoffen</w:t>
            </w:r>
          </w:p>
        </w:tc>
      </w:tr>
      <w:tr>
        <w:tc>
          <w:tcPr>
            <w:tcW w:type="dxa" w:w="2160"/>
          </w:tcPr>
          <w:p>
            <w:r/>
            <w:r>
              <w:rPr>
                <w:rFonts w:ascii="Calibri" w:hAnsi="Calibri"/>
                <w:sz w:val="18"/>
              </w:rPr>
              <w:t>Verpakkinggroep</w:t>
            </w:r>
          </w:p>
        </w:tc>
        <w:tc>
          <w:tcPr>
            <w:tcW w:type="dxa" w:w="2160"/>
          </w:tcPr>
          <w:p>
            <w:r/>
            <w:r>
              <w:rPr>
                <w:rFonts w:ascii="Calibri" w:hAnsi="Calibri"/>
                <w:sz w:val="18"/>
              </w:rPr>
              <w:t>II</w:t>
            </w:r>
          </w:p>
        </w:tc>
        <w:tc>
          <w:tcPr>
            <w:tcW w:type="dxa" w:w="2160"/>
          </w:tcPr>
          <w:p>
            <w:r/>
            <w:r>
              <w:rPr>
                <w:rFonts w:ascii="Calibri" w:hAnsi="Calibri"/>
                <w:sz w:val="18"/>
              </w:rPr>
              <w:t>CLP/ADR</w:t>
            </w:r>
          </w:p>
        </w:tc>
        <w:tc>
          <w:tcPr>
            <w:tcW w:type="dxa" w:w="2160"/>
          </w:tcPr>
          <w:p>
            <w:r/>
            <w:r>
              <w:rPr>
                <w:rFonts w:ascii="Calibri" w:hAnsi="Calibri"/>
                <w:sz w:val="18"/>
              </w:rPr>
              <w:t>Gemiddeld gevaar</w:t>
            </w:r>
          </w:p>
        </w:tc>
      </w:tr>
      <w:tr>
        <w:tc>
          <w:tcPr>
            <w:tcW w:type="dxa" w:w="2160"/>
          </w:tcPr>
          <w:p>
            <w:r/>
            <w:r>
              <w:rPr>
                <w:rFonts w:ascii="Calibri" w:hAnsi="Calibri"/>
                <w:sz w:val="18"/>
              </w:rPr>
              <w:t>Brandbaarheid</w:t>
            </w:r>
          </w:p>
        </w:tc>
        <w:tc>
          <w:tcPr>
            <w:tcW w:type="dxa" w:w="2160"/>
          </w:tcPr>
          <w:p>
            <w:r/>
            <w:r>
              <w:rPr>
                <w:rFonts w:ascii="Calibri" w:hAnsi="Calibri"/>
                <w:sz w:val="18"/>
              </w:rPr>
              <w:t>Onbrandbaar</w:t>
            </w:r>
          </w:p>
        </w:tc>
        <w:tc>
          <w:tcPr>
            <w:tcW w:type="dxa" w:w="2160"/>
          </w:tcPr>
          <w:p>
            <w:r/>
            <w:r>
              <w:rPr>
                <w:rFonts w:ascii="Calibri" w:hAnsi="Calibri"/>
                <w:sz w:val="18"/>
              </w:rPr>
              <w:t>Tabel 6</w:t>
            </w:r>
          </w:p>
        </w:tc>
        <w:tc>
          <w:tcPr>
            <w:tcW w:type="dxa" w:w="2160"/>
          </w:tcPr>
          <w:p>
            <w:r/>
            <w:r>
              <w:rPr>
                <w:rFonts w:ascii="Calibri" w:hAnsi="Calibri"/>
                <w:sz w:val="18"/>
              </w:rPr>
              <w:t>NaOH en H₂SO₄ zijn niet brandbaar</w:t>
            </w:r>
          </w:p>
        </w:tc>
      </w:tr>
      <w:tr>
        <w:tc>
          <w:tcPr>
            <w:tcW w:type="dxa" w:w="2160"/>
          </w:tcPr>
          <w:p>
            <w:r/>
            <w:r>
              <w:rPr>
                <w:rFonts w:ascii="Calibri" w:hAnsi="Calibri"/>
                <w:sz w:val="18"/>
              </w:rPr>
              <w:t>VN A-grens</w:t>
            </w:r>
          </w:p>
        </w:tc>
        <w:tc>
          <w:tcPr>
            <w:tcW w:type="dxa" w:w="2160"/>
          </w:tcPr>
          <w:p>
            <w:r/>
            <w:r>
              <w:rPr>
                <w:rFonts w:ascii="Calibri" w:hAnsi="Calibri"/>
                <w:sz w:val="18"/>
              </w:rPr>
              <w:t>&gt;20.000 kg</w:t>
            </w:r>
          </w:p>
        </w:tc>
        <w:tc>
          <w:tcPr>
            <w:tcW w:type="dxa" w:w="2160"/>
          </w:tcPr>
          <w:p>
            <w:r/>
            <w:r>
              <w:rPr>
                <w:rFonts w:ascii="Calibri" w:hAnsi="Calibri"/>
                <w:sz w:val="18"/>
              </w:rPr>
              <w:t>Tabel 6</w:t>
            </w:r>
          </w:p>
        </w:tc>
        <w:tc>
          <w:tcPr>
            <w:tcW w:type="dxa" w:w="2160"/>
          </w:tcPr>
          <w:p>
            <w:r/>
            <w:r>
              <w:rPr>
                <w:rFonts w:ascii="Calibri" w:hAnsi="Calibri"/>
                <w:sz w:val="18"/>
              </w:rPr>
              <w:t>Veiligheidsniveau A (D12)</w:t>
            </w:r>
          </w:p>
        </w:tc>
      </w:tr>
      <w:tr>
        <w:tc>
          <w:tcPr>
            <w:tcW w:type="dxa" w:w="2160"/>
          </w:tcPr>
          <w:p>
            <w:r/>
            <w:r>
              <w:rPr>
                <w:rFonts w:ascii="Calibri" w:hAnsi="Calibri"/>
                <w:sz w:val="18"/>
              </w:rPr>
              <w:t>VN B-grens</w:t>
            </w:r>
          </w:p>
        </w:tc>
        <w:tc>
          <w:tcPr>
            <w:tcW w:type="dxa" w:w="2160"/>
          </w:tcPr>
          <w:p>
            <w:r/>
            <w:r>
              <w:rPr>
                <w:rFonts w:ascii="Calibri" w:hAnsi="Calibri"/>
                <w:sz w:val="18"/>
              </w:rPr>
              <w:t>10.000–20.000 kg</w:t>
            </w:r>
          </w:p>
        </w:tc>
        <w:tc>
          <w:tcPr>
            <w:tcW w:type="dxa" w:w="2160"/>
          </w:tcPr>
          <w:p>
            <w:r/>
            <w:r>
              <w:rPr>
                <w:rFonts w:ascii="Calibri" w:hAnsi="Calibri"/>
                <w:sz w:val="18"/>
              </w:rPr>
              <w:t>Tabel 6</w:t>
            </w:r>
          </w:p>
        </w:tc>
        <w:tc>
          <w:tcPr>
            <w:tcW w:type="dxa" w:w="2160"/>
          </w:tcPr>
          <w:p>
            <w:r/>
            <w:r>
              <w:rPr>
                <w:rFonts w:ascii="Calibri" w:hAnsi="Calibri"/>
                <w:sz w:val="18"/>
              </w:rPr>
              <w:t>Veiligheidsniveau B (60 min Wbdbo)</w:t>
            </w:r>
          </w:p>
        </w:tc>
      </w:tr>
      <w:tr>
        <w:tc>
          <w:tcPr>
            <w:tcW w:type="dxa" w:w="2160"/>
          </w:tcPr>
          <w:p>
            <w:r/>
            <w:r>
              <w:rPr>
                <w:rFonts w:ascii="Calibri" w:hAnsi="Calibri"/>
                <w:sz w:val="18"/>
              </w:rPr>
              <w:t>VN basis</w:t>
            </w:r>
          </w:p>
        </w:tc>
        <w:tc>
          <w:tcPr>
            <w:tcW w:type="dxa" w:w="2160"/>
          </w:tcPr>
          <w:p>
            <w:r/>
            <w:r>
              <w:rPr>
                <w:rFonts w:ascii="Calibri" w:hAnsi="Calibri"/>
                <w:sz w:val="18"/>
              </w:rPr>
              <w:t>&lt;10.000 kg</w:t>
            </w:r>
          </w:p>
        </w:tc>
        <w:tc>
          <w:tcPr>
            <w:tcW w:type="dxa" w:w="2160"/>
          </w:tcPr>
          <w:p>
            <w:r/>
            <w:r>
              <w:rPr>
                <w:rFonts w:ascii="Calibri" w:hAnsi="Calibri"/>
                <w:sz w:val="18"/>
              </w:rPr>
              <w:t>Tabel 6</w:t>
            </w:r>
          </w:p>
        </w:tc>
        <w:tc>
          <w:tcPr>
            <w:tcW w:type="dxa" w:w="2160"/>
          </w:tcPr>
          <w:p>
            <w:r/>
            <w:r>
              <w:rPr>
                <w:rFonts w:ascii="Calibri" w:hAnsi="Calibri"/>
                <w:sz w:val="18"/>
              </w:rPr>
              <w:t>Basisniveau volstaat</w:t>
            </w:r>
          </w:p>
        </w:tc>
      </w:tr>
      <w:tr>
        <w:tc>
          <w:tcPr>
            <w:tcW w:type="dxa" w:w="2160"/>
          </w:tcPr>
          <w:p>
            <w:r/>
            <w:r>
              <w:rPr>
                <w:rFonts w:ascii="Calibri" w:hAnsi="Calibri"/>
                <w:sz w:val="18"/>
              </w:rPr>
              <w:t>Ondergrens Tabel 2</w:t>
            </w:r>
          </w:p>
        </w:tc>
        <w:tc>
          <w:tcPr>
            <w:tcW w:type="dxa" w:w="2160"/>
          </w:tcPr>
          <w:p>
            <w:r/>
            <w:r>
              <w:rPr>
                <w:rFonts w:ascii="Calibri" w:hAnsi="Calibri"/>
                <w:sz w:val="18"/>
              </w:rPr>
              <w:t>2.500 kg</w:t>
            </w:r>
          </w:p>
        </w:tc>
        <w:tc>
          <w:tcPr>
            <w:tcW w:type="dxa" w:w="2160"/>
          </w:tcPr>
          <w:p>
            <w:r/>
            <w:r>
              <w:rPr>
                <w:rFonts w:ascii="Calibri" w:hAnsi="Calibri"/>
                <w:sz w:val="18"/>
              </w:rPr>
              <w:t>Tabel 7</w:t>
            </w:r>
          </w:p>
        </w:tc>
        <w:tc>
          <w:tcPr>
            <w:tcW w:type="dxa" w:w="2160"/>
          </w:tcPr>
          <w:p>
            <w:r/>
            <w:r>
              <w:rPr>
                <w:rFonts w:ascii="Calibri" w:hAnsi="Calibri"/>
                <w:sz w:val="18"/>
              </w:rPr>
              <w:t>PGS 15 volledig van toepassing</w:t>
            </w:r>
          </w:p>
        </w:tc>
      </w:tr>
    </w:tbl>
    <w:p/>
    <w:p>
      <w:pPr>
        <w:pStyle w:val="Heading2"/>
      </w:pPr>
      <w:r>
        <w:t>4.2 Toepassing M3 Stroomschema</w:t>
      </w:r>
    </w:p>
    <w:p>
      <w:r>
        <w:t>Het M3-stroomschema uit PGS 15 leidt de bepaling van het veiligheidsniveau systematisch af. De eerste stap is de inventarisatie van stoffen per ADR-klasse. Phoenix Metals beschikt over circa 390 kg ADR 8 VG II onbrandbare stoffen. Vervolgens wordt gecontroleerd of de hoeveelheid de ondergrens van Tabel 2 overschrijdt. Met 390 kg wordt de ondergrens van 2.500 kg (Tabel 7) weliswaar niet overschreden, maar PGS 15 is niettemin van toepassing omdat gevaarlijke stoffen in verpakte vorm worden opgeslagen.</w:t>
      </w:r>
    </w:p>
    <w:p>
      <w:r>
        <w:t>De volgende stap is de toetsing aan Tabel 6. Voor ADR 8 VG II/III onbrandbare stoffen geldt dat elke hoeveelheid binnen het basisveiligheidsniveau valt. Er is geen sprake van brandgevaar, waardoor de drempelwaarden voor brandwerendheid (60 min Wbdbo) en vaste blusinstallaties niet van toepassing zijn.</w:t>
      </w:r>
    </w:p>
    <w:p>
      <w:pPr>
        <w:pStyle w:val="Heading2"/>
      </w:pPr>
      <w:r>
        <w:t>4.3 Conclusie veiligheidsniveau</w:t>
      </w:r>
    </w:p>
    <w:p>
      <w:r>
        <w:rPr>
          <w:b/>
        </w:rPr>
        <w:t>Phoenix Metals IJmuiden opereert op het basisveiligheidsniveau. Met circa 390 kg ADR 8 VG II onbrandbare stoffen wordt geen van de verhoogde drempelwaarden (VN-A: &gt;20 ton, VN-B: 10–20 ton) benaderd. De facilitaire eisen beperken zich tot de basismaatregelen: opslag in daarvoor bestemde voorziening, vloeistofopvang (M30), ventilatie (M30), stoffenscheiding (M35) en fysieke bescherming (M77/M78).</w:t>
      </w:r>
    </w:p>
    <w:p>
      <w:r>
        <w:t>De belangrijkste consequentie van het basisveiligheidsniveau is dat brandwerende constructies, blussystemen en branddetectiesystemen niet verplicht zijn. Echter, de stoffenscheidingseis (M35, Tabel 9) geldt onafhankelijk van het veiligheidsniveau en vormt de kritieke non-conformiteit, beschreven in hoofdstuk 5.</w:t>
      </w:r>
    </w:p>
    <w:p>
      <w:r>
        <w:br w:type="page"/>
      </w:r>
    </w:p>
    <w:p>
      <w:pPr>
        <w:pStyle w:val="Heading1"/>
      </w:pPr>
      <w:r>
        <w:t>5 Compatibiliteitsanalyse</w:t>
      </w:r>
    </w:p>
    <w:p>
      <w:pPr>
        <w:pStyle w:val="Heading2"/>
      </w:pPr>
      <w:r>
        <w:t>5.1 Tabel 9 Compatibiliteitsmatrix</w:t>
      </w:r>
    </w:p>
    <w:p>
      <w:r>
        <w:t>PGS 15 Bijlage E, Tabel 9 definieert de scheidingseisen tussen stoffen van verschillende ADR-klassen en binnen dezelfde ADR-klasse. De matrix kent drie scheidingniveaus: V (aparte vakken binnen hetzelfde brandcompartiment), B (beoordeling vereist — gescheiden opslag tenzij VIB aantoont dat geen reactie optreedt) en A (apart brandcompartiment, 5 m vrije zone, of equivalent).</w:t>
      </w:r>
    </w:p>
    <w:p>
      <w:r>
        <w:t>Voor ADR-klasse 8 (bijtend) geeft de matrix het volgende aan: ADR 8 ↔ ADR 3 (brandbaar) = B (beoordelen), ADR 8 ↔ ADR 5.1 (oxiderend) = B (beoordelen), ADR 8 ↔ ADR 6.1 (giftig) = B (beoordelen), en kritiek: ADR 8 ↔ ADR 8 = A (apart brandcompartiment). De interne A-scheiding binnen ADR-klasse 8 is gebaseerd op het risico van exotherme reacties tussen zuren en basen.</w:t>
      </w:r>
    </w:p>
    <w:p>
      <w:pPr>
        <w:pStyle w:val="Heading2"/>
      </w:pPr>
      <w:r>
        <w:t>5.2 Phoenix Metals Specifieke Matrix</w:t>
      </w:r>
    </w:p>
    <w:tbl>
      <w:tblPr>
        <w:tblW w:type="auto" w:w="0"/>
        <w:jc w:val="center"/>
        <w:tblLook w:firstColumn="1" w:firstRow="1" w:lastColumn="0" w:lastRow="0" w:noHBand="0" w:noVBand="1" w:val="04A0"/>
        <w:tblBorders>
          <w:top w:val="single" w:sz="4" w:space="0" w:color="003366"/>
          <w:left w:val="single" w:sz="4" w:space="0" w:color="003366"/>
          <w:bottom w:val="single" w:sz="4" w:space="0" w:color="003366"/>
          <w:right w:val="single" w:sz="4" w:space="0" w:color="003366"/>
          <w:insideH w:val="single" w:sz="4" w:space="0" w:color="E5E7EB"/>
          <w:insideV w:val="single" w:sz="4" w:space="0" w:color="E5E7EB"/>
        </w:tblBorders>
      </w:tblPr>
      <w:tblGrid>
        <w:gridCol w:w="2160"/>
        <w:gridCol w:w="2160"/>
        <w:gridCol w:w="2160"/>
        <w:gridCol w:w="2160"/>
      </w:tblGrid>
      <w:tr>
        <w:tc>
          <w:tcPr>
            <w:tcW w:type="dxa" w:w="2160"/>
            <w:shd w:fill="003366"/>
          </w:tcPr>
          <w:p>
            <w:pPr>
              <w:jc w:val="center"/>
            </w:pPr>
            <w:r/>
            <w:r>
              <w:rPr>
                <w:rFonts w:ascii="Calibri" w:hAnsi="Calibri"/>
                <w:b/>
                <w:color w:val="FFFFFF"/>
                <w:sz w:val="20"/>
              </w:rPr>
              <w:t>Stofcombinatie</w:t>
            </w:r>
          </w:p>
        </w:tc>
        <w:tc>
          <w:tcPr>
            <w:tcW w:type="dxa" w:w="2160"/>
            <w:shd w:fill="003366"/>
          </w:tcPr>
          <w:p>
            <w:pPr>
              <w:jc w:val="center"/>
            </w:pPr>
            <w:r/>
            <w:r>
              <w:rPr>
                <w:rFonts w:ascii="Calibri" w:hAnsi="Calibri"/>
                <w:b/>
                <w:color w:val="FFFFFF"/>
                <w:sz w:val="20"/>
              </w:rPr>
              <w:t>Scheiding</w:t>
            </w:r>
          </w:p>
        </w:tc>
        <w:tc>
          <w:tcPr>
            <w:tcW w:type="dxa" w:w="2160"/>
            <w:shd w:fill="003366"/>
          </w:tcPr>
          <w:p>
            <w:pPr>
              <w:jc w:val="center"/>
            </w:pPr>
            <w:r/>
            <w:r>
              <w:rPr>
                <w:rFonts w:ascii="Calibri" w:hAnsi="Calibri"/>
                <w:b/>
                <w:color w:val="FFFFFF"/>
                <w:sz w:val="20"/>
              </w:rPr>
              <w:t>Niveau</w:t>
            </w:r>
          </w:p>
        </w:tc>
        <w:tc>
          <w:tcPr>
            <w:tcW w:type="dxa" w:w="2160"/>
            <w:shd w:fill="003366"/>
          </w:tcPr>
          <w:p>
            <w:pPr>
              <w:jc w:val="center"/>
            </w:pPr>
            <w:r/>
            <w:r>
              <w:rPr>
                <w:rFonts w:ascii="Calibri" w:hAnsi="Calibri"/>
                <w:b/>
                <w:color w:val="FFFFFF"/>
                <w:sz w:val="20"/>
              </w:rPr>
              <w:t>Toelichting</w:t>
            </w:r>
          </w:p>
        </w:tc>
      </w:tr>
      <w:tr>
        <w:tc>
          <w:tcPr>
            <w:tcW w:type="dxa" w:w="2160"/>
          </w:tcPr>
          <w:p>
            <w:r/>
            <w:r>
              <w:rPr>
                <w:rFonts w:ascii="Calibri" w:hAnsi="Calibri"/>
                <w:sz w:val="18"/>
              </w:rPr>
              <w:t>NaOH 50% ↔ H₂SO₄ (alle)</w:t>
            </w:r>
          </w:p>
        </w:tc>
        <w:tc>
          <w:tcPr>
            <w:tcW w:type="dxa" w:w="2160"/>
          </w:tcPr>
          <w:p>
            <w:r/>
            <w:r>
              <w:rPr>
                <w:rFonts w:ascii="Calibri" w:hAnsi="Calibri"/>
                <w:sz w:val="18"/>
              </w:rPr>
              <w:t>✅ Vereist</w:t>
            </w:r>
          </w:p>
        </w:tc>
        <w:tc>
          <w:tcPr>
            <w:tcW w:type="dxa" w:w="2160"/>
          </w:tcPr>
          <w:p>
            <w:r/>
            <w:r>
              <w:rPr>
                <w:rFonts w:ascii="Calibri" w:hAnsi="Calibri"/>
                <w:sz w:val="18"/>
              </w:rPr>
              <w:t>A</w:t>
            </w:r>
          </w:p>
        </w:tc>
        <w:tc>
          <w:tcPr>
            <w:tcW w:type="dxa" w:w="2160"/>
          </w:tcPr>
          <w:p>
            <w:r/>
            <w:r>
              <w:rPr>
                <w:rFonts w:ascii="Calibri" w:hAnsi="Calibri"/>
                <w:sz w:val="18"/>
              </w:rPr>
              <w:t>Zuur + base, exotherm. ADR 8↔8 = A</w:t>
            </w:r>
          </w:p>
        </w:tc>
      </w:tr>
      <w:tr>
        <w:tc>
          <w:tcPr>
            <w:tcW w:type="dxa" w:w="2160"/>
          </w:tcPr>
          <w:p>
            <w:r/>
            <w:r>
              <w:rPr>
                <w:rFonts w:ascii="Calibri" w:hAnsi="Calibri"/>
                <w:sz w:val="18"/>
              </w:rPr>
              <w:t>NaOH 50% ↔ Aluminiumsulfaat</w:t>
            </w:r>
          </w:p>
        </w:tc>
        <w:tc>
          <w:tcPr>
            <w:tcW w:type="dxa" w:w="2160"/>
          </w:tcPr>
          <w:p>
            <w:r/>
            <w:r>
              <w:rPr>
                <w:rFonts w:ascii="Calibri" w:hAnsi="Calibri"/>
                <w:sz w:val="18"/>
              </w:rPr>
              <w:t>✅ Vereist</w:t>
            </w:r>
          </w:p>
        </w:tc>
        <w:tc>
          <w:tcPr>
            <w:tcW w:type="dxa" w:w="2160"/>
          </w:tcPr>
          <w:p>
            <w:r/>
            <w:r>
              <w:rPr>
                <w:rFonts w:ascii="Calibri" w:hAnsi="Calibri"/>
                <w:sz w:val="18"/>
              </w:rPr>
              <w:t>B</w:t>
            </w:r>
          </w:p>
        </w:tc>
        <w:tc>
          <w:tcPr>
            <w:tcW w:type="dxa" w:w="2160"/>
          </w:tcPr>
          <w:p>
            <w:r/>
            <w:r>
              <w:rPr>
                <w:rFonts w:ascii="Calibri" w:hAnsi="Calibri"/>
                <w:sz w:val="18"/>
              </w:rPr>
              <w:t>Base + zout, VIB-consultatie nodig</w:t>
            </w:r>
          </w:p>
        </w:tc>
      </w:tr>
      <w:tr>
        <w:tc>
          <w:tcPr>
            <w:tcW w:type="dxa" w:w="2160"/>
          </w:tcPr>
          <w:p>
            <w:r/>
            <w:r>
              <w:rPr>
                <w:rFonts w:ascii="Calibri" w:hAnsi="Calibri"/>
                <w:sz w:val="18"/>
              </w:rPr>
              <w:t>NaOH 50% ↔ Calciumoxide</w:t>
            </w:r>
          </w:p>
        </w:tc>
        <w:tc>
          <w:tcPr>
            <w:tcW w:type="dxa" w:w="2160"/>
          </w:tcPr>
          <w:p>
            <w:r/>
            <w:r>
              <w:rPr>
                <w:rFonts w:ascii="Calibri" w:hAnsi="Calibri"/>
                <w:sz w:val="18"/>
              </w:rPr>
              <w:t>✅ Vereist</w:t>
            </w:r>
          </w:p>
        </w:tc>
        <w:tc>
          <w:tcPr>
            <w:tcW w:type="dxa" w:w="2160"/>
          </w:tcPr>
          <w:p>
            <w:r/>
            <w:r>
              <w:rPr>
                <w:rFonts w:ascii="Calibri" w:hAnsi="Calibri"/>
                <w:sz w:val="18"/>
              </w:rPr>
              <w:t>B</w:t>
            </w:r>
          </w:p>
        </w:tc>
        <w:tc>
          <w:tcPr>
            <w:tcW w:type="dxa" w:w="2160"/>
          </w:tcPr>
          <w:p>
            <w:r/>
            <w:r>
              <w:rPr>
                <w:rFonts w:ascii="Calibri" w:hAnsi="Calibri"/>
                <w:sz w:val="18"/>
              </w:rPr>
              <w:t>Beide basisch, beoordeling vereist</w:t>
            </w:r>
          </w:p>
        </w:tc>
      </w:tr>
      <w:tr>
        <w:tc>
          <w:tcPr>
            <w:tcW w:type="dxa" w:w="2160"/>
          </w:tcPr>
          <w:p>
            <w:r/>
            <w:r>
              <w:rPr>
                <w:rFonts w:ascii="Calibri" w:hAnsi="Calibri"/>
                <w:sz w:val="18"/>
              </w:rPr>
              <w:t>H₂SO₄ ↔ H₂SO₄ (verschillend %)</w:t>
            </w:r>
          </w:p>
        </w:tc>
        <w:tc>
          <w:tcPr>
            <w:tcW w:type="dxa" w:w="2160"/>
          </w:tcPr>
          <w:p>
            <w:r/>
            <w:r>
              <w:rPr>
                <w:rFonts w:ascii="Calibri" w:hAnsi="Calibri"/>
                <w:sz w:val="18"/>
              </w:rPr>
              <w:t>❌ Niet vereist</w:t>
            </w:r>
          </w:p>
        </w:tc>
        <w:tc>
          <w:tcPr>
            <w:tcW w:type="dxa" w:w="2160"/>
          </w:tcPr>
          <w:p>
            <w:r/>
            <w:r>
              <w:rPr>
                <w:rFonts w:ascii="Calibri" w:hAnsi="Calibri"/>
                <w:sz w:val="18"/>
              </w:rPr>
              <w:t>—</w:t>
            </w:r>
          </w:p>
        </w:tc>
        <w:tc>
          <w:tcPr>
            <w:tcW w:type="dxa" w:w="2160"/>
          </w:tcPr>
          <w:p>
            <w:r/>
            <w:r>
              <w:rPr>
                <w:rFonts w:ascii="Calibri" w:hAnsi="Calibri"/>
                <w:sz w:val="18"/>
              </w:rPr>
              <w:t>Zelfde stof, zelfde gevarenklasse</w:t>
            </w:r>
          </w:p>
        </w:tc>
      </w:tr>
      <w:tr>
        <w:tc>
          <w:tcPr>
            <w:tcW w:type="dxa" w:w="2160"/>
          </w:tcPr>
          <w:p>
            <w:r/>
            <w:r>
              <w:rPr>
                <w:rFonts w:ascii="Calibri" w:hAnsi="Calibri"/>
                <w:sz w:val="18"/>
              </w:rPr>
              <w:t>H₂SO₄ ↔ Aluminiumsulfaat</w:t>
            </w:r>
          </w:p>
        </w:tc>
        <w:tc>
          <w:tcPr>
            <w:tcW w:type="dxa" w:w="2160"/>
          </w:tcPr>
          <w:p>
            <w:r/>
            <w:r>
              <w:rPr>
                <w:rFonts w:ascii="Calibri" w:hAnsi="Calibri"/>
                <w:sz w:val="18"/>
              </w:rPr>
              <w:t>⚠️ Beoordelen</w:t>
            </w:r>
          </w:p>
        </w:tc>
        <w:tc>
          <w:tcPr>
            <w:tcW w:type="dxa" w:w="2160"/>
          </w:tcPr>
          <w:p>
            <w:r/>
            <w:r>
              <w:rPr>
                <w:rFonts w:ascii="Calibri" w:hAnsi="Calibri"/>
                <w:sz w:val="18"/>
              </w:rPr>
              <w:t>B</w:t>
            </w:r>
          </w:p>
        </w:tc>
        <w:tc>
          <w:tcPr>
            <w:tcW w:type="dxa" w:w="2160"/>
          </w:tcPr>
          <w:p>
            <w:r/>
            <w:r>
              <w:rPr>
                <w:rFonts w:ascii="Calibri" w:hAnsi="Calibri"/>
                <w:sz w:val="18"/>
              </w:rPr>
              <w:t>Zuur + zout, potentiële reactie</w:t>
            </w:r>
          </w:p>
        </w:tc>
      </w:tr>
      <w:tr>
        <w:tc>
          <w:tcPr>
            <w:tcW w:type="dxa" w:w="2160"/>
          </w:tcPr>
          <w:p>
            <w:r/>
            <w:r>
              <w:rPr>
                <w:rFonts w:ascii="Calibri" w:hAnsi="Calibri"/>
                <w:sz w:val="18"/>
              </w:rPr>
              <w:t>H₂SO₄ ↔ Calciumoxide</w:t>
            </w:r>
          </w:p>
        </w:tc>
        <w:tc>
          <w:tcPr>
            <w:tcW w:type="dxa" w:w="2160"/>
          </w:tcPr>
          <w:p>
            <w:r/>
            <w:r>
              <w:rPr>
                <w:rFonts w:ascii="Calibri" w:hAnsi="Calibri"/>
                <w:sz w:val="18"/>
              </w:rPr>
              <w:t>✅ Vereist</w:t>
            </w:r>
          </w:p>
        </w:tc>
        <w:tc>
          <w:tcPr>
            <w:tcW w:type="dxa" w:w="2160"/>
          </w:tcPr>
          <w:p>
            <w:r/>
            <w:r>
              <w:rPr>
                <w:rFonts w:ascii="Calibri" w:hAnsi="Calibri"/>
                <w:sz w:val="18"/>
              </w:rPr>
              <w:t>A</w:t>
            </w:r>
          </w:p>
        </w:tc>
        <w:tc>
          <w:tcPr>
            <w:tcW w:type="dxa" w:w="2160"/>
          </w:tcPr>
          <w:p>
            <w:r/>
            <w:r>
              <w:rPr>
                <w:rFonts w:ascii="Calibri" w:hAnsi="Calibri"/>
                <w:sz w:val="18"/>
              </w:rPr>
              <w:t>Zuur + base (CaO sterk basisch)</w:t>
            </w:r>
          </w:p>
        </w:tc>
      </w:tr>
    </w:tbl>
    <w:p/>
    <w:p>
      <w:pPr>
        <w:pStyle w:val="Heading2"/>
      </w:pPr>
      <w:r>
        <w:t>5.3 A-scheiding Natriumhydroxide versus Zwavelzuur</w:t>
      </w:r>
    </w:p>
    <w:p>
      <w:r>
        <w:t>De combinatie natriumhydroxide 50% (base) en zwavelzuur (zuur, alle concentraties) vereist de strengste scheiding: A-niveau. Dit betekent dat deze stoffen niet in hetzelfde vak mogen worden opgeslagen. De toegestane scheidingsopties zijn: (1) apart brandcompartiment, (2) apart deel van een brandcompartiment met drie zijden muur en minimaal 30 minuten brandwerendheid, (3) 5 meter vrije zone, of (4) aparte vakken indien de opslaghoopte maximaal 1,80 m bedraagt en UN-goedgekeurde verpakking wordt gebruikt.</w:t>
      </w:r>
    </w:p>
    <w:p>
      <w:pPr>
        <w:pStyle w:val="Heading2"/>
      </w:pPr>
      <w:r>
        <w:t>5.4 E.3 Uitzondering</w:t>
      </w:r>
    </w:p>
    <w:p>
      <w:r>
        <w:t>PGS 15 Bijlage E, paragraaf E.3 biedt een uitzondering voor opslag onder 10.000 kg. In dat geval kan de A-scheiding binnen een vak worden gerealiseerd via: (a) minimaal 2 meter vrije afstand tussen de stofgroepen, (b) een buffer van 2 meter met een goedgekeurde combinatiestof, of (c) aparte lekbakken. Phoenix Metals voldoet aan de voorwaarde van &lt;10.000 kg (circa 390 kg), waardoor de E.3-uitzondering van toepassing is.</w:t>
      </w:r>
    </w:p>
    <w:p>
      <w:pPr>
        <w:pStyle w:val="Heading2"/>
      </w:pPr>
      <w:r>
        <w:t>5.5 Conclusie compatibiliteit</w:t>
      </w:r>
    </w:p>
    <w:p>
      <w:r>
        <w:rPr>
          <w:b/>
          <w:color w:val="EF4444"/>
        </w:rPr>
        <w:t>NIET-COMPLIANT. De huidige opslagconfiguratie waarbij natriumhydroxide 50% en zwavelzuur op hetzelfde rack zijn geplaatst, voldoet niet aan de A-scheidingseis uit Tabel 9. Eveneens dient calciumoxide gescheiden te worden van alle zwavelzuurproducten. De E.3-uitzondering biedt een praktisch oplossingspad: separate lekbakken met minimaal 2 meter onderlinge afstand tussen de zuur- en basegroepen.</w:t>
      </w:r>
    </w:p>
    <w:p>
      <w:r>
        <w:t>Aanbevolen wordt om de opslag direct te herindelen: natriumhydroxide in een gemarkeerd vak met eigen lekbak, zwavelzuur in een afzonderlijk gemarkeerd vak met lekbakken, en calciumoxide apart van beide groepen. De afstand tussen de NaOH-groep en de H₂SO₄-groep bedraagt minimaal 2 meter conform E.3.</w:t>
      </w:r>
    </w:p>
    <w:p>
      <w:r>
        <w:br w:type="page"/>
      </w:r>
    </w:p>
    <w:sectPr w:rsidR="00FC693F" w:rsidRPr="0006063C" w:rsidSect="00034616">
      <w:headerReference w:type="default" r:id="rId10"/>
      <w:footerReference w:type="default" r:id="rId11"/>
      <w:pgSz w:w="12240" w:h="15840"/>
      <w:pgMar w:top="1440" w:right="1800" w:bottom="1440" w:left="1800" w:header="720" w:footer="720" w:gutter="0"/>
      <w:cols w:space="720"/>
      <w:docGrid w:linePitch="360"/>
    </w:sectPr>
    <w:p>
      <w:pPr>
        <w:pStyle w:val="Heading1"/>
      </w:pPr>
      <w:r>
        <w:t>6 Maatregelenanalyse</w:t>
      </w:r>
    </w:p>
    <w:p>
      <w:r>
        <w:t>Deze paragraaf toetst twaalf kernmaatregelen uit PGS 15:2025 aan de huidige opssituatie bij Phoenix Metals IJmuiden. Per maatregel wordt de PGS 15-referentie, het vereiste, de PM-status en een toelichting met prioriteit weergegeven. De statusindeling is: ✅ compliant, ⚠️ toetsing vereist, ❌ niet-compliant.</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fill="003366"/>
          </w:tcPr>
          <w:p>
            <w:pPr>
              <w:jc w:val="center"/>
            </w:pPr>
            <w:r/>
            <w:r>
              <w:rPr>
                <w:rFonts w:ascii="Calibri" w:hAnsi="Calibri"/>
                <w:b/>
                <w:color w:val="FFFFFF"/>
                <w:sz w:val="20"/>
              </w:rPr>
              <w:t>Maatregel</w:t>
            </w:r>
          </w:p>
        </w:tc>
        <w:tc>
          <w:tcPr>
            <w:tcW w:type="dxa" w:w="1440"/>
            <w:shd w:fill="003366"/>
          </w:tcPr>
          <w:p>
            <w:pPr>
              <w:jc w:val="center"/>
            </w:pPr>
            <w:r/>
            <w:r>
              <w:rPr>
                <w:rFonts w:ascii="Calibri" w:hAnsi="Calibri"/>
                <w:b/>
                <w:color w:val="FFFFFF"/>
                <w:sz w:val="20"/>
              </w:rPr>
              <w:t>PGS 15 Ref.</w:t>
            </w:r>
          </w:p>
        </w:tc>
        <w:tc>
          <w:tcPr>
            <w:tcW w:type="dxa" w:w="1440"/>
            <w:shd w:fill="003366"/>
          </w:tcPr>
          <w:p>
            <w:pPr>
              <w:jc w:val="center"/>
            </w:pPr>
            <w:r/>
            <w:r>
              <w:rPr>
                <w:rFonts w:ascii="Calibri" w:hAnsi="Calibri"/>
                <w:b/>
                <w:color w:val="FFFFFF"/>
                <w:sz w:val="20"/>
              </w:rPr>
              <w:t>Vereiste</w:t>
            </w:r>
          </w:p>
        </w:tc>
        <w:tc>
          <w:tcPr>
            <w:tcW w:type="dxa" w:w="1440"/>
            <w:shd w:fill="003366"/>
          </w:tcPr>
          <w:p>
            <w:pPr>
              <w:jc w:val="center"/>
            </w:pPr>
            <w:r/>
            <w:r>
              <w:rPr>
                <w:rFonts w:ascii="Calibri" w:hAnsi="Calibri"/>
                <w:b/>
                <w:color w:val="FFFFFF"/>
                <w:sz w:val="20"/>
              </w:rPr>
              <w:t>Status</w:t>
            </w:r>
          </w:p>
        </w:tc>
        <w:tc>
          <w:tcPr>
            <w:tcW w:type="dxa" w:w="1440"/>
            <w:shd w:fill="003366"/>
          </w:tcPr>
          <w:p>
            <w:pPr>
              <w:jc w:val="center"/>
            </w:pPr>
            <w:r/>
            <w:r>
              <w:rPr>
                <w:rFonts w:ascii="Calibri" w:hAnsi="Calibri"/>
                <w:b/>
                <w:color w:val="FFFFFF"/>
                <w:sz w:val="20"/>
              </w:rPr>
              <w:t>Toelichting</w:t>
            </w:r>
          </w:p>
        </w:tc>
        <w:tc>
          <w:tcPr>
            <w:tcW w:type="dxa" w:w="1440"/>
            <w:shd w:fill="003366"/>
          </w:tcPr>
          <w:p>
            <w:pPr>
              <w:jc w:val="center"/>
            </w:pPr>
            <w:r/>
            <w:r>
              <w:rPr>
                <w:rFonts w:ascii="Calibri" w:hAnsi="Calibri"/>
                <w:b/>
                <w:color w:val="FFFFFF"/>
                <w:sz w:val="20"/>
              </w:rPr>
              <w:t>Prio</w:t>
            </w:r>
          </w:p>
        </w:tc>
      </w:tr>
      <w:tr>
        <w:tc>
          <w:tcPr>
            <w:tcW w:type="dxa" w:w="1440"/>
          </w:tcPr>
          <w:p>
            <w:r/>
            <w:r>
              <w:rPr>
                <w:rFonts w:ascii="Calibri" w:hAnsi="Calibri"/>
                <w:b/>
                <w:sz w:val="18"/>
              </w:rPr>
              <w:t>MW1</w:t>
            </w:r>
          </w:p>
        </w:tc>
        <w:tc>
          <w:tcPr>
            <w:tcW w:type="dxa" w:w="1440"/>
          </w:tcPr>
          <w:p>
            <w:r/>
            <w:r>
              <w:rPr>
                <w:rFonts w:ascii="Calibri" w:hAnsi="Calibri"/>
                <w:sz w:val="18"/>
              </w:rPr>
              <w:t>§4.1</w:t>
            </w:r>
          </w:p>
        </w:tc>
        <w:tc>
          <w:tcPr>
            <w:tcW w:type="dxa" w:w="1440"/>
          </w:tcPr>
          <w:p>
            <w:r/>
            <w:r>
              <w:rPr>
                <w:rFonts w:ascii="Calibri" w:hAnsi="Calibri"/>
                <w:sz w:val="18"/>
              </w:rPr>
              <w:t>Zorgplicht basisveiligheid aantoonbaar</w:t>
            </w:r>
          </w:p>
        </w:tc>
        <w:tc>
          <w:tcPr>
            <w:tcW w:type="dxa" w:w="1440"/>
          </w:tcPr>
          <w:p>
            <w:r/>
            <w:r>
              <w:rPr>
                <w:rFonts w:ascii="Calibri" w:hAnsi="Calibri"/>
                <w:sz w:val="18"/>
              </w:rPr>
              <w:t>⚠️</w:t>
            </w:r>
          </w:p>
        </w:tc>
        <w:tc>
          <w:tcPr>
            <w:tcW w:type="dxa" w:w="1440"/>
          </w:tcPr>
          <w:p>
            <w:r/>
            <w:r>
              <w:rPr>
                <w:rFonts w:ascii="Calibri" w:hAnsi="Calibri"/>
                <w:sz w:val="18"/>
              </w:rPr>
              <w:t>Basisveiligheid niet formeel gedocumenteerd; RI&amp;E deels aanwezig</w:t>
            </w:r>
          </w:p>
        </w:tc>
        <w:tc>
          <w:tcPr>
            <w:tcW w:type="dxa" w:w="1440"/>
          </w:tcPr>
          <w:p>
            <w:r/>
            <w:r>
              <w:rPr>
                <w:rFonts w:ascii="Calibri" w:hAnsi="Calibri"/>
                <w:sz w:val="18"/>
              </w:rPr>
              <w:t>HOOG</w:t>
            </w:r>
          </w:p>
        </w:tc>
      </w:tr>
      <w:tr>
        <w:tc>
          <w:tcPr>
            <w:tcW w:type="dxa" w:w="1440"/>
          </w:tcPr>
          <w:p>
            <w:r/>
            <w:r>
              <w:rPr>
                <w:rFonts w:ascii="Calibri" w:hAnsi="Calibri"/>
                <w:b/>
                <w:sz w:val="18"/>
              </w:rPr>
              <w:t>M2</w:t>
            </w:r>
          </w:p>
        </w:tc>
        <w:tc>
          <w:tcPr>
            <w:tcW w:type="dxa" w:w="1440"/>
          </w:tcPr>
          <w:p>
            <w:r/>
            <w:r>
              <w:rPr>
                <w:rFonts w:ascii="Calibri" w:hAnsi="Calibri"/>
                <w:sz w:val="18"/>
              </w:rPr>
              <w:t>§4.2</w:t>
            </w:r>
          </w:p>
        </w:tc>
        <w:tc>
          <w:tcPr>
            <w:tcW w:type="dxa" w:w="1440"/>
          </w:tcPr>
          <w:p>
            <w:r/>
            <w:r>
              <w:rPr>
                <w:rFonts w:ascii="Calibri" w:hAnsi="Calibri"/>
                <w:sz w:val="18"/>
              </w:rPr>
              <w:t>Opslag in daarvoor bestemde voorziening</w:t>
            </w:r>
          </w:p>
        </w:tc>
        <w:tc>
          <w:tcPr>
            <w:tcW w:type="dxa" w:w="1440"/>
          </w:tcPr>
          <w:p>
            <w:r/>
            <w:r>
              <w:rPr>
                <w:rFonts w:ascii="Calibri" w:hAnsi="Calibri"/>
                <w:sz w:val="18"/>
              </w:rPr>
              <w:t>⚠️</w:t>
            </w:r>
          </w:p>
        </w:tc>
        <w:tc>
          <w:tcPr>
            <w:tcW w:type="dxa" w:w="1440"/>
          </w:tcPr>
          <w:p>
            <w:r/>
            <w:r>
              <w:rPr>
                <w:rFonts w:ascii="Calibri" w:hAnsi="Calibri"/>
                <w:sz w:val="18"/>
              </w:rPr>
              <w:t>Rack in labgebied; formeel geen opslagruimte</w:t>
            </w:r>
          </w:p>
        </w:tc>
        <w:tc>
          <w:tcPr>
            <w:tcW w:type="dxa" w:w="1440"/>
          </w:tcPr>
          <w:p>
            <w:r/>
            <w:r>
              <w:rPr>
                <w:rFonts w:ascii="Calibri" w:hAnsi="Calibri"/>
                <w:sz w:val="18"/>
              </w:rPr>
              <w:t>HOOG</w:t>
            </w:r>
          </w:p>
        </w:tc>
      </w:tr>
      <w:tr>
        <w:tc>
          <w:tcPr>
            <w:tcW w:type="dxa" w:w="1440"/>
          </w:tcPr>
          <w:p>
            <w:r/>
            <w:r>
              <w:rPr>
                <w:rFonts w:ascii="Calibri" w:hAnsi="Calibri"/>
                <w:b/>
                <w:sz w:val="18"/>
              </w:rPr>
              <w:t>M3</w:t>
            </w:r>
          </w:p>
        </w:tc>
        <w:tc>
          <w:tcPr>
            <w:tcW w:type="dxa" w:w="1440"/>
          </w:tcPr>
          <w:p>
            <w:r/>
            <w:r>
              <w:rPr>
                <w:rFonts w:ascii="Calibri" w:hAnsi="Calibri"/>
                <w:sz w:val="18"/>
              </w:rPr>
              <w:t>§4.3</w:t>
            </w:r>
          </w:p>
        </w:tc>
        <w:tc>
          <w:tcPr>
            <w:tcW w:type="dxa" w:w="1440"/>
          </w:tcPr>
          <w:p>
            <w:r/>
            <w:r>
              <w:rPr>
                <w:rFonts w:ascii="Calibri" w:hAnsi="Calibri"/>
                <w:sz w:val="18"/>
              </w:rPr>
              <w:t>Risico-inventarisatie opslag</w:t>
            </w:r>
          </w:p>
        </w:tc>
        <w:tc>
          <w:tcPr>
            <w:tcW w:type="dxa" w:w="1440"/>
          </w:tcPr>
          <w:p>
            <w:r/>
            <w:r>
              <w:rPr>
                <w:rFonts w:ascii="Calibri" w:hAnsi="Calibri"/>
                <w:sz w:val="18"/>
              </w:rPr>
              <w:t>⚠️</w:t>
            </w:r>
          </w:p>
        </w:tc>
        <w:tc>
          <w:tcPr>
            <w:tcW w:type="dxa" w:w="1440"/>
          </w:tcPr>
          <w:p>
            <w:r/>
            <w:r>
              <w:rPr>
                <w:rFonts w:ascii="Calibri" w:hAnsi="Calibri"/>
                <w:sz w:val="18"/>
              </w:rPr>
              <w:t>Geen specifieke RI&amp;E voor gevaarlijke stoffenopslag</w:t>
            </w:r>
          </w:p>
        </w:tc>
        <w:tc>
          <w:tcPr>
            <w:tcW w:type="dxa" w:w="1440"/>
          </w:tcPr>
          <w:p>
            <w:r/>
            <w:r>
              <w:rPr>
                <w:rFonts w:ascii="Calibri" w:hAnsi="Calibri"/>
                <w:sz w:val="18"/>
              </w:rPr>
              <w:t>HOOG</w:t>
            </w:r>
          </w:p>
        </w:tc>
      </w:tr>
      <w:tr>
        <w:tc>
          <w:tcPr>
            <w:tcW w:type="dxa" w:w="1440"/>
          </w:tcPr>
          <w:p>
            <w:r/>
            <w:r>
              <w:rPr>
                <w:rFonts w:ascii="Calibri" w:hAnsi="Calibri"/>
                <w:b/>
                <w:sz w:val="18"/>
              </w:rPr>
              <w:t>M14</w:t>
            </w:r>
          </w:p>
        </w:tc>
        <w:tc>
          <w:tcPr>
            <w:tcW w:type="dxa" w:w="1440"/>
          </w:tcPr>
          <w:p>
            <w:r/>
            <w:r>
              <w:rPr>
                <w:rFonts w:ascii="Calibri" w:hAnsi="Calibri"/>
                <w:sz w:val="18"/>
              </w:rPr>
              <w:t>§5.4</w:t>
            </w:r>
          </w:p>
        </w:tc>
        <w:tc>
          <w:tcPr>
            <w:tcW w:type="dxa" w:w="1440"/>
          </w:tcPr>
          <w:p>
            <w:r/>
            <w:r>
              <w:rPr>
                <w:rFonts w:ascii="Calibri" w:hAnsi="Calibri"/>
                <w:sz w:val="18"/>
              </w:rPr>
              <w:t>Werkvoorraadregeling</w:t>
            </w:r>
          </w:p>
        </w:tc>
        <w:tc>
          <w:tcPr>
            <w:tcW w:type="dxa" w:w="1440"/>
          </w:tcPr>
          <w:p>
            <w:r/>
            <w:r>
              <w:rPr>
                <w:rFonts w:ascii="Calibri" w:hAnsi="Calibri"/>
                <w:sz w:val="18"/>
              </w:rPr>
              <w:t>⚠️</w:t>
            </w:r>
          </w:p>
        </w:tc>
        <w:tc>
          <w:tcPr>
            <w:tcW w:type="dxa" w:w="1440"/>
          </w:tcPr>
          <w:p>
            <w:r/>
            <w:r>
              <w:rPr>
                <w:rFonts w:ascii="Calibri" w:hAnsi="Calibri"/>
                <w:sz w:val="18"/>
              </w:rPr>
              <w:t>Geen maximum werkvoorraad gedefinieerd</w:t>
            </w:r>
          </w:p>
        </w:tc>
        <w:tc>
          <w:tcPr>
            <w:tcW w:type="dxa" w:w="1440"/>
          </w:tcPr>
          <w:p>
            <w:r/>
            <w:r>
              <w:rPr>
                <w:rFonts w:ascii="Calibri" w:hAnsi="Calibri"/>
                <w:sz w:val="18"/>
              </w:rPr>
              <w:t>MIDDEL</w:t>
            </w:r>
          </w:p>
        </w:tc>
      </w:tr>
      <w:tr>
        <w:tc>
          <w:tcPr>
            <w:tcW w:type="dxa" w:w="1440"/>
          </w:tcPr>
          <w:p>
            <w:r/>
            <w:r>
              <w:rPr>
                <w:rFonts w:ascii="Calibri" w:hAnsi="Calibri"/>
                <w:b/>
                <w:sz w:val="18"/>
              </w:rPr>
              <w:t>M15</w:t>
            </w:r>
          </w:p>
        </w:tc>
        <w:tc>
          <w:tcPr>
            <w:tcW w:type="dxa" w:w="1440"/>
          </w:tcPr>
          <w:p>
            <w:r/>
            <w:r>
              <w:rPr>
                <w:rFonts w:ascii="Calibri" w:hAnsi="Calibri"/>
                <w:sz w:val="18"/>
              </w:rPr>
              <w:t>§5.5</w:t>
            </w:r>
          </w:p>
        </w:tc>
        <w:tc>
          <w:tcPr>
            <w:tcW w:type="dxa" w:w="1440"/>
          </w:tcPr>
          <w:p>
            <w:r/>
            <w:r>
              <w:rPr>
                <w:rFonts w:ascii="Calibri" w:hAnsi="Calibri"/>
                <w:sz w:val="18"/>
              </w:rPr>
              <w:t>Max. opp. brandcompartiment</w:t>
            </w:r>
          </w:p>
        </w:tc>
        <w:tc>
          <w:tcPr>
            <w:tcW w:type="dxa" w:w="1440"/>
          </w:tcPr>
          <w:p>
            <w:r/>
            <w:r>
              <w:rPr>
                <w:rFonts w:ascii="Calibri" w:hAnsi="Calibri"/>
                <w:sz w:val="18"/>
              </w:rPr>
              <w:t>✅</w:t>
            </w:r>
          </w:p>
        </w:tc>
        <w:tc>
          <w:tcPr>
            <w:tcW w:type="dxa" w:w="1440"/>
          </w:tcPr>
          <w:p>
            <w:r/>
            <w:r>
              <w:rPr>
                <w:rFonts w:ascii="Calibri" w:hAnsi="Calibri"/>
                <w:sz w:val="18"/>
              </w:rPr>
              <w:t>Volume &lt;10.000 kg; oppervlak binnen norm</w:t>
            </w:r>
          </w:p>
        </w:tc>
        <w:tc>
          <w:tcPr>
            <w:tcW w:type="dxa" w:w="1440"/>
          </w:tcPr>
          <w:p>
            <w:r/>
            <w:r>
              <w:rPr>
                <w:rFonts w:ascii="Calibri" w:hAnsi="Calibri"/>
                <w:sz w:val="18"/>
              </w:rPr>
              <w:t>LAAG</w:t>
            </w:r>
          </w:p>
        </w:tc>
      </w:tr>
      <w:tr>
        <w:tc>
          <w:tcPr>
            <w:tcW w:type="dxa" w:w="1440"/>
          </w:tcPr>
          <w:p>
            <w:r/>
            <w:r>
              <w:rPr>
                <w:rFonts w:ascii="Calibri" w:hAnsi="Calibri"/>
                <w:b/>
                <w:sz w:val="18"/>
              </w:rPr>
              <w:t>M30</w:t>
            </w:r>
          </w:p>
        </w:tc>
        <w:tc>
          <w:tcPr>
            <w:tcW w:type="dxa" w:w="1440"/>
          </w:tcPr>
          <w:p>
            <w:r/>
            <w:r>
              <w:rPr>
                <w:rFonts w:ascii="Calibri" w:hAnsi="Calibri"/>
                <w:sz w:val="18"/>
              </w:rPr>
              <w:t>§6.1</w:t>
            </w:r>
          </w:p>
        </w:tc>
        <w:tc>
          <w:tcPr>
            <w:tcW w:type="dxa" w:w="1440"/>
          </w:tcPr>
          <w:p>
            <w:r/>
            <w:r>
              <w:rPr>
                <w:rFonts w:ascii="Calibri" w:hAnsi="Calibri"/>
                <w:sz w:val="18"/>
              </w:rPr>
              <w:t>Vloeistofopvang + ventilatie</w:t>
            </w:r>
          </w:p>
        </w:tc>
        <w:tc>
          <w:tcPr>
            <w:tcW w:type="dxa" w:w="1440"/>
          </w:tcPr>
          <w:p>
            <w:r/>
            <w:r>
              <w:rPr>
                <w:rFonts w:ascii="Calibri" w:hAnsi="Calibri"/>
                <w:sz w:val="18"/>
              </w:rPr>
              <w:t>❌</w:t>
            </w:r>
          </w:p>
        </w:tc>
        <w:tc>
          <w:tcPr>
            <w:tcW w:type="dxa" w:w="1440"/>
          </w:tcPr>
          <w:p>
            <w:r/>
            <w:r>
              <w:rPr>
                <w:rFonts w:ascii="Calibri" w:hAnsi="Calibri"/>
                <w:sz w:val="18"/>
              </w:rPr>
              <w:t>Geen lekbakken gedocumenteerd; ventilatie onbekend</w:t>
            </w:r>
          </w:p>
        </w:tc>
        <w:tc>
          <w:tcPr>
            <w:tcW w:type="dxa" w:w="1440"/>
          </w:tcPr>
          <w:p>
            <w:r/>
            <w:r>
              <w:rPr>
                <w:rFonts w:ascii="Calibri" w:hAnsi="Calibri"/>
                <w:sz w:val="18"/>
              </w:rPr>
              <w:t>HOOG</w:t>
            </w:r>
          </w:p>
        </w:tc>
      </w:tr>
      <w:tr>
        <w:tc>
          <w:tcPr>
            <w:tcW w:type="dxa" w:w="1440"/>
          </w:tcPr>
          <w:p>
            <w:r/>
            <w:r>
              <w:rPr>
                <w:rFonts w:ascii="Calibri" w:hAnsi="Calibri"/>
                <w:b/>
                <w:sz w:val="18"/>
              </w:rPr>
              <w:t>M35</w:t>
            </w:r>
          </w:p>
        </w:tc>
        <w:tc>
          <w:tcPr>
            <w:tcW w:type="dxa" w:w="1440"/>
          </w:tcPr>
          <w:p>
            <w:r/>
            <w:r>
              <w:rPr>
                <w:rFonts w:ascii="Calibri" w:hAnsi="Calibri"/>
                <w:sz w:val="18"/>
              </w:rPr>
              <w:t>§6.3 + Bijl. E</w:t>
            </w:r>
          </w:p>
        </w:tc>
        <w:tc>
          <w:tcPr>
            <w:tcW w:type="dxa" w:w="1440"/>
          </w:tcPr>
          <w:p>
            <w:r/>
            <w:r>
              <w:rPr>
                <w:rFonts w:ascii="Calibri" w:hAnsi="Calibri"/>
                <w:sz w:val="18"/>
              </w:rPr>
              <w:t>Stoffenscheiding conform Tabel 9</w:t>
            </w:r>
          </w:p>
        </w:tc>
        <w:tc>
          <w:tcPr>
            <w:tcW w:type="dxa" w:w="1440"/>
          </w:tcPr>
          <w:p>
            <w:r/>
            <w:r>
              <w:rPr>
                <w:rFonts w:ascii="Calibri" w:hAnsi="Calibri"/>
                <w:sz w:val="18"/>
              </w:rPr>
              <w:t>❌</w:t>
            </w:r>
          </w:p>
        </w:tc>
        <w:tc>
          <w:tcPr>
            <w:tcW w:type="dxa" w:w="1440"/>
          </w:tcPr>
          <w:p>
            <w:r/>
            <w:r>
              <w:rPr>
                <w:rFonts w:ascii="Calibri" w:hAnsi="Calibri"/>
                <w:sz w:val="18"/>
              </w:rPr>
              <w:t>NaOH en H₂SO₄ inzelfde rack; A-scheiding vereist</w:t>
            </w:r>
          </w:p>
        </w:tc>
        <w:tc>
          <w:tcPr>
            <w:tcW w:type="dxa" w:w="1440"/>
          </w:tcPr>
          <w:p>
            <w:r/>
            <w:r>
              <w:rPr>
                <w:rFonts w:ascii="Calibri" w:hAnsi="Calibri"/>
                <w:sz w:val="18"/>
              </w:rPr>
              <w:t>Kritiek</w:t>
            </w:r>
          </w:p>
        </w:tc>
      </w:tr>
      <w:tr>
        <w:tc>
          <w:tcPr>
            <w:tcW w:type="dxa" w:w="1440"/>
          </w:tcPr>
          <w:p>
            <w:r/>
            <w:r>
              <w:rPr>
                <w:rFonts w:ascii="Calibri" w:hAnsi="Calibri"/>
                <w:b/>
                <w:sz w:val="18"/>
              </w:rPr>
              <w:t>M36</w:t>
            </w:r>
          </w:p>
        </w:tc>
        <w:tc>
          <w:tcPr>
            <w:tcW w:type="dxa" w:w="1440"/>
          </w:tcPr>
          <w:p>
            <w:r/>
            <w:r>
              <w:rPr>
                <w:rFonts w:ascii="Calibri" w:hAnsi="Calibri"/>
                <w:sz w:val="18"/>
              </w:rPr>
              <w:t>§6.4</w:t>
            </w:r>
          </w:p>
        </w:tc>
        <w:tc>
          <w:tcPr>
            <w:tcW w:type="dxa" w:w="1440"/>
          </w:tcPr>
          <w:p>
            <w:r/>
            <w:r>
              <w:rPr>
                <w:rFonts w:ascii="Calibri" w:hAnsi="Calibri"/>
                <w:sz w:val="18"/>
              </w:rPr>
              <w:t>Verpakkingsintegriteit</w:t>
            </w:r>
          </w:p>
        </w:tc>
        <w:tc>
          <w:tcPr>
            <w:tcW w:type="dxa" w:w="1440"/>
          </w:tcPr>
          <w:p>
            <w:r/>
            <w:r>
              <w:rPr>
                <w:rFonts w:ascii="Calibri" w:hAnsi="Calibri"/>
                <w:sz w:val="18"/>
              </w:rPr>
              <w:t>⚠️</w:t>
            </w:r>
          </w:p>
        </w:tc>
        <w:tc>
          <w:tcPr>
            <w:tcW w:type="dxa" w:w="1440"/>
          </w:tcPr>
          <w:p>
            <w:r/>
            <w:r>
              <w:rPr>
                <w:rFonts w:ascii="Calibri" w:hAnsi="Calibri"/>
                <w:sz w:val="18"/>
              </w:rPr>
              <w:t>Jerrycans visueel OK; geen formeel inspectieregime</w:t>
            </w:r>
          </w:p>
        </w:tc>
        <w:tc>
          <w:tcPr>
            <w:tcW w:type="dxa" w:w="1440"/>
          </w:tcPr>
          <w:p>
            <w:r/>
            <w:r>
              <w:rPr>
                <w:rFonts w:ascii="Calibri" w:hAnsi="Calibri"/>
                <w:sz w:val="18"/>
              </w:rPr>
              <w:t>MIDDEL</w:t>
            </w:r>
          </w:p>
        </w:tc>
      </w:tr>
      <w:tr>
        <w:tc>
          <w:tcPr>
            <w:tcW w:type="dxa" w:w="1440"/>
          </w:tcPr>
          <w:p>
            <w:r/>
            <w:r>
              <w:rPr>
                <w:rFonts w:ascii="Calibri" w:hAnsi="Calibri"/>
                <w:b/>
                <w:sz w:val="18"/>
              </w:rPr>
              <w:t>M45</w:t>
            </w:r>
          </w:p>
        </w:tc>
        <w:tc>
          <w:tcPr>
            <w:tcW w:type="dxa" w:w="1440"/>
          </w:tcPr>
          <w:p>
            <w:r/>
            <w:r>
              <w:rPr>
                <w:rFonts w:ascii="Calibri" w:hAnsi="Calibri"/>
                <w:sz w:val="18"/>
              </w:rPr>
              <w:t>§7.1</w:t>
            </w:r>
          </w:p>
        </w:tc>
        <w:tc>
          <w:tcPr>
            <w:tcW w:type="dxa" w:w="1440"/>
          </w:tcPr>
          <w:p>
            <w:r/>
            <w:r>
              <w:rPr>
                <w:rFonts w:ascii="Calibri" w:hAnsi="Calibri"/>
                <w:sz w:val="18"/>
              </w:rPr>
              <w:t>Etikettering + signalering</w:t>
            </w:r>
          </w:p>
        </w:tc>
        <w:tc>
          <w:tcPr>
            <w:tcW w:type="dxa" w:w="1440"/>
          </w:tcPr>
          <w:p>
            <w:r/>
            <w:r>
              <w:rPr>
                <w:rFonts w:ascii="Calibri" w:hAnsi="Calibri"/>
                <w:sz w:val="18"/>
              </w:rPr>
              <w:t>⚠️</w:t>
            </w:r>
          </w:p>
        </w:tc>
        <w:tc>
          <w:tcPr>
            <w:tcW w:type="dxa" w:w="1440"/>
          </w:tcPr>
          <w:p>
            <w:r/>
            <w:r>
              <w:rPr>
                <w:rFonts w:ascii="Calibri" w:hAnsi="Calibri"/>
                <w:sz w:val="18"/>
              </w:rPr>
              <w:t>Etiketten aanwezig; geen vloermarkering of GHS-borden</w:t>
            </w:r>
          </w:p>
        </w:tc>
        <w:tc>
          <w:tcPr>
            <w:tcW w:type="dxa" w:w="1440"/>
          </w:tcPr>
          <w:p>
            <w:r/>
            <w:r>
              <w:rPr>
                <w:rFonts w:ascii="Calibri" w:hAnsi="Calibri"/>
                <w:sz w:val="18"/>
              </w:rPr>
              <w:t>MIDDEL</w:t>
            </w:r>
          </w:p>
        </w:tc>
      </w:tr>
      <w:tr>
        <w:tc>
          <w:tcPr>
            <w:tcW w:type="dxa" w:w="1440"/>
          </w:tcPr>
          <w:p>
            <w:r/>
            <w:r>
              <w:rPr>
                <w:rFonts w:ascii="Calibri" w:hAnsi="Calibri"/>
                <w:b/>
                <w:sz w:val="18"/>
              </w:rPr>
              <w:t>M77</w:t>
            </w:r>
          </w:p>
        </w:tc>
        <w:tc>
          <w:tcPr>
            <w:tcW w:type="dxa" w:w="1440"/>
          </w:tcPr>
          <w:p>
            <w:r/>
            <w:r>
              <w:rPr>
                <w:rFonts w:ascii="Calibri" w:hAnsi="Calibri"/>
                <w:sz w:val="18"/>
              </w:rPr>
              <w:t>§8.2</w:t>
            </w:r>
          </w:p>
        </w:tc>
        <w:tc>
          <w:tcPr>
            <w:tcW w:type="dxa" w:w="1440"/>
          </w:tcPr>
          <w:p>
            <w:r/>
            <w:r>
              <w:rPr>
                <w:rFonts w:ascii="Calibri" w:hAnsi="Calibri"/>
                <w:sz w:val="18"/>
              </w:rPr>
              <w:t>Fysieke bescherming (botsbeveiliging)</w:t>
            </w:r>
          </w:p>
        </w:tc>
        <w:tc>
          <w:tcPr>
            <w:tcW w:type="dxa" w:w="1440"/>
          </w:tcPr>
          <w:p>
            <w:r/>
            <w:r>
              <w:rPr>
                <w:rFonts w:ascii="Calibri" w:hAnsi="Calibri"/>
                <w:sz w:val="18"/>
              </w:rPr>
              <w:t>⚠️</w:t>
            </w:r>
          </w:p>
        </w:tc>
        <w:tc>
          <w:tcPr>
            <w:tcW w:type="dxa" w:w="1440"/>
          </w:tcPr>
          <w:p>
            <w:r/>
            <w:r>
              <w:rPr>
                <w:rFonts w:ascii="Calibri" w:hAnsi="Calibri"/>
                <w:sz w:val="18"/>
              </w:rPr>
              <w:t>Geen stootbeveiliging rond rack aanwezig</w:t>
            </w:r>
          </w:p>
        </w:tc>
        <w:tc>
          <w:tcPr>
            <w:tcW w:type="dxa" w:w="1440"/>
          </w:tcPr>
          <w:p>
            <w:r/>
            <w:r>
              <w:rPr>
                <w:rFonts w:ascii="Calibri" w:hAnsi="Calibri"/>
                <w:sz w:val="18"/>
              </w:rPr>
              <w:t>MIDDEL</w:t>
            </w:r>
          </w:p>
        </w:tc>
      </w:tr>
      <w:tr>
        <w:tc>
          <w:tcPr>
            <w:tcW w:type="dxa" w:w="1440"/>
          </w:tcPr>
          <w:p>
            <w:r/>
            <w:r>
              <w:rPr>
                <w:rFonts w:ascii="Calibri" w:hAnsi="Calibri"/>
                <w:b/>
                <w:sz w:val="18"/>
              </w:rPr>
              <w:t>M85</w:t>
            </w:r>
          </w:p>
        </w:tc>
        <w:tc>
          <w:tcPr>
            <w:tcW w:type="dxa" w:w="1440"/>
          </w:tcPr>
          <w:p>
            <w:r/>
            <w:r>
              <w:rPr>
                <w:rFonts w:ascii="Calibri" w:hAnsi="Calibri"/>
                <w:sz w:val="18"/>
              </w:rPr>
              <w:t>§9.1</w:t>
            </w:r>
          </w:p>
        </w:tc>
        <w:tc>
          <w:tcPr>
            <w:tcW w:type="dxa" w:w="1440"/>
          </w:tcPr>
          <w:p>
            <w:r/>
            <w:r>
              <w:rPr>
                <w:rFonts w:ascii="Calibri" w:hAnsi="Calibri"/>
                <w:sz w:val="18"/>
              </w:rPr>
              <w:t>Deskundigheid + SDS beschikbaarheid</w:t>
            </w:r>
          </w:p>
        </w:tc>
        <w:tc>
          <w:tcPr>
            <w:tcW w:type="dxa" w:w="1440"/>
          </w:tcPr>
          <w:p>
            <w:r/>
            <w:r>
              <w:rPr>
                <w:rFonts w:ascii="Calibri" w:hAnsi="Calibri"/>
                <w:sz w:val="18"/>
              </w:rPr>
              <w:t>⚠️</w:t>
            </w:r>
          </w:p>
        </w:tc>
        <w:tc>
          <w:tcPr>
            <w:tcW w:type="dxa" w:w="1440"/>
          </w:tcPr>
          <w:p>
            <w:r/>
            <w:r>
              <w:rPr>
                <w:rFonts w:ascii="Calibri" w:hAnsi="Calibri"/>
                <w:sz w:val="18"/>
              </w:rPr>
              <w:t>SDS-niet gestructureerd raadpleegbaar; geen opleidingsplan</w:t>
            </w:r>
          </w:p>
        </w:tc>
        <w:tc>
          <w:tcPr>
            <w:tcW w:type="dxa" w:w="1440"/>
          </w:tcPr>
          <w:p>
            <w:r/>
            <w:r>
              <w:rPr>
                <w:rFonts w:ascii="Calibri" w:hAnsi="Calibri"/>
                <w:sz w:val="18"/>
              </w:rPr>
              <w:t>HOOG</w:t>
            </w:r>
          </w:p>
        </w:tc>
      </w:tr>
      <w:tr>
        <w:tc>
          <w:tcPr>
            <w:tcW w:type="dxa" w:w="1440"/>
          </w:tcPr>
          <w:p>
            <w:r/>
            <w:r>
              <w:rPr>
                <w:rFonts w:ascii="Calibri" w:hAnsi="Calibri"/>
                <w:b/>
                <w:sz w:val="18"/>
              </w:rPr>
              <w:t>M109</w:t>
            </w:r>
          </w:p>
        </w:tc>
        <w:tc>
          <w:tcPr>
            <w:tcW w:type="dxa" w:w="1440"/>
          </w:tcPr>
          <w:p>
            <w:r/>
            <w:r>
              <w:rPr>
                <w:rFonts w:ascii="Calibri" w:hAnsi="Calibri"/>
                <w:sz w:val="18"/>
              </w:rPr>
              <w:t>§10.3</w:t>
            </w:r>
          </w:p>
        </w:tc>
        <w:tc>
          <w:tcPr>
            <w:tcW w:type="dxa" w:w="1440"/>
          </w:tcPr>
          <w:p>
            <w:r/>
            <w:r>
              <w:rPr>
                <w:rFonts w:ascii="Calibri" w:hAnsi="Calibri"/>
                <w:sz w:val="18"/>
              </w:rPr>
              <w:t>Toegankelijkheid hulpdiensten</w:t>
            </w:r>
          </w:p>
        </w:tc>
        <w:tc>
          <w:tcPr>
            <w:tcW w:type="dxa" w:w="1440"/>
          </w:tcPr>
          <w:p>
            <w:r/>
            <w:r>
              <w:rPr>
                <w:rFonts w:ascii="Calibri" w:hAnsi="Calibri"/>
                <w:sz w:val="18"/>
              </w:rPr>
              <w:t>⚠️</w:t>
            </w:r>
          </w:p>
        </w:tc>
        <w:tc>
          <w:tcPr>
            <w:tcW w:type="dxa" w:w="1440"/>
          </w:tcPr>
          <w:p>
            <w:r/>
            <w:r>
              <w:rPr>
                <w:rFonts w:ascii="Calibri" w:hAnsi="Calibri"/>
                <w:sz w:val="18"/>
              </w:rPr>
              <w:t>Bereikbaarheid onvoldoende getoetst</w:t>
            </w:r>
          </w:p>
        </w:tc>
        <w:tc>
          <w:tcPr>
            <w:tcW w:type="dxa" w:w="1440"/>
          </w:tcPr>
          <w:p>
            <w:r/>
            <w:r>
              <w:rPr>
                <w:rFonts w:ascii="Calibri" w:hAnsi="Calibri"/>
                <w:sz w:val="18"/>
              </w:rPr>
              <w:t>MIDDEL</w:t>
            </w:r>
          </w:p>
        </w:tc>
      </w:tr>
    </w:tbl>
    <w:p/>
    <w:p>
      <w:pPr>
        <w:pStyle w:val="Heading1"/>
      </w:pPr>
      <w:r>
        <w:t>7 Brandpreventie Analyse</w:t>
      </w:r>
    </w:p>
    <w:p>
      <w:pPr>
        <w:pStyle w:val="Heading2"/>
      </w:pPr>
      <w:r>
        <w:t>7.1 Doelen D8–D12</w:t>
      </w:r>
    </w:p>
    <w:p>
      <w:r>
        <w:t>PGS 15:2025 definieert vijf preventiedoelen (D8–D12) die per veiligheidsniveau activeren:</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003366"/>
          </w:tcPr>
          <w:p>
            <w:pPr>
              <w:jc w:val="center"/>
            </w:pPr>
            <w:r/>
            <w:r>
              <w:rPr>
                <w:rFonts w:ascii="Calibri" w:hAnsi="Calibri"/>
                <w:b/>
                <w:color w:val="FFFFFF"/>
                <w:sz w:val="20"/>
              </w:rPr>
              <w:t>Doel</w:t>
            </w:r>
          </w:p>
        </w:tc>
        <w:tc>
          <w:tcPr>
            <w:tcW w:type="dxa" w:w="1728"/>
            <w:shd w:fill="003366"/>
          </w:tcPr>
          <w:p>
            <w:pPr>
              <w:jc w:val="center"/>
            </w:pPr>
            <w:r/>
            <w:r>
              <w:rPr>
                <w:rFonts w:ascii="Calibri" w:hAnsi="Calibri"/>
                <w:b/>
                <w:color w:val="FFFFFF"/>
                <w:sz w:val="20"/>
              </w:rPr>
              <w:t>Omschrijving</w:t>
            </w:r>
          </w:p>
        </w:tc>
        <w:tc>
          <w:tcPr>
            <w:tcW w:type="dxa" w:w="1728"/>
            <w:shd w:fill="003366"/>
          </w:tcPr>
          <w:p>
            <w:pPr>
              <w:jc w:val="center"/>
            </w:pPr>
            <w:r/>
            <w:r>
              <w:rPr>
                <w:rFonts w:ascii="Calibri" w:hAnsi="Calibri"/>
                <w:b/>
                <w:color w:val="FFFFFF"/>
                <w:sz w:val="20"/>
              </w:rPr>
              <w:t>Niveau</w:t>
            </w:r>
          </w:p>
        </w:tc>
        <w:tc>
          <w:tcPr>
            <w:tcW w:type="dxa" w:w="1728"/>
            <w:shd w:fill="003366"/>
          </w:tcPr>
          <w:p>
            <w:pPr>
              <w:jc w:val="center"/>
            </w:pPr>
            <w:r/>
            <w:r>
              <w:rPr>
                <w:rFonts w:ascii="Calibri" w:hAnsi="Calibri"/>
                <w:b/>
                <w:color w:val="FFFFFF"/>
                <w:sz w:val="20"/>
              </w:rPr>
              <w:t>Trigger</w:t>
            </w:r>
          </w:p>
        </w:tc>
        <w:tc>
          <w:tcPr>
            <w:tcW w:type="dxa" w:w="1728"/>
            <w:shd w:fill="003366"/>
          </w:tcPr>
          <w:p>
            <w:pPr>
              <w:jc w:val="center"/>
            </w:pPr>
            <w:r/>
            <w:r>
              <w:rPr>
                <w:rFonts w:ascii="Calibri" w:hAnsi="Calibri"/>
                <w:b/>
                <w:color w:val="FFFFFF"/>
                <w:sz w:val="20"/>
              </w:rPr>
              <w:t>Toelichting Phoenix Metals</w:t>
            </w:r>
          </w:p>
        </w:tc>
      </w:tr>
      <w:tr>
        <w:tc>
          <w:tcPr>
            <w:tcW w:type="dxa" w:w="1728"/>
          </w:tcPr>
          <w:p>
            <w:r/>
            <w:r>
              <w:rPr>
                <w:rFonts w:ascii="Calibri" w:hAnsi="Calibri"/>
                <w:sz w:val="18"/>
              </w:rPr>
              <w:t>D8</w:t>
            </w:r>
          </w:p>
        </w:tc>
        <w:tc>
          <w:tcPr>
            <w:tcW w:type="dxa" w:w="1728"/>
          </w:tcPr>
          <w:p>
            <w:r/>
            <w:r>
              <w:rPr>
                <w:rFonts w:ascii="Calibri" w:hAnsi="Calibri"/>
                <w:sz w:val="18"/>
              </w:rPr>
              <w:t>Voorkomen ontstaan brand</w:t>
            </w:r>
          </w:p>
        </w:tc>
        <w:tc>
          <w:tcPr>
            <w:tcW w:type="dxa" w:w="1728"/>
          </w:tcPr>
          <w:p>
            <w:r/>
            <w:r>
              <w:rPr>
                <w:rFonts w:ascii="Calibri" w:hAnsi="Calibri"/>
                <w:sz w:val="18"/>
              </w:rPr>
              <w:t>Basis</w:t>
            </w:r>
          </w:p>
        </w:tc>
        <w:tc>
          <w:tcPr>
            <w:tcW w:type="dxa" w:w="1728"/>
          </w:tcPr>
          <w:p>
            <w:r/>
            <w:r>
              <w:rPr>
                <w:rFonts w:ascii="Calibri" w:hAnsi="Calibri"/>
                <w:sz w:val="18"/>
              </w:rPr>
              <w:t>Altijd</w:t>
            </w:r>
          </w:p>
        </w:tc>
        <w:tc>
          <w:tcPr>
            <w:tcW w:type="dxa" w:w="1728"/>
          </w:tcPr>
          <w:p>
            <w:r/>
            <w:r>
              <w:rPr>
                <w:rFonts w:ascii="Calibri" w:hAnsi="Calibri"/>
                <w:sz w:val="18"/>
              </w:rPr>
              <w:t>Bbl-eis volstaat voor onbrandbare ADR 8-stoffen</w:t>
            </w:r>
          </w:p>
        </w:tc>
      </w:tr>
      <w:tr>
        <w:tc>
          <w:tcPr>
            <w:tcW w:type="dxa" w:w="1728"/>
          </w:tcPr>
          <w:p>
            <w:r/>
            <w:r>
              <w:rPr>
                <w:rFonts w:ascii="Calibri" w:hAnsi="Calibri"/>
                <w:sz w:val="18"/>
              </w:rPr>
              <w:t>D9</w:t>
            </w:r>
          </w:p>
        </w:tc>
        <w:tc>
          <w:tcPr>
            <w:tcW w:type="dxa" w:w="1728"/>
          </w:tcPr>
          <w:p>
            <w:r/>
            <w:r>
              <w:rPr>
                <w:rFonts w:ascii="Calibri" w:hAnsi="Calibri"/>
                <w:sz w:val="18"/>
              </w:rPr>
              <w:t>Beperken branduitbreiding (intern)</w:t>
            </w:r>
          </w:p>
        </w:tc>
        <w:tc>
          <w:tcPr>
            <w:tcW w:type="dxa" w:w="1728"/>
          </w:tcPr>
          <w:p>
            <w:r/>
            <w:r>
              <w:rPr>
                <w:rFonts w:ascii="Calibri" w:hAnsi="Calibri"/>
                <w:sz w:val="18"/>
              </w:rPr>
              <w:t>Basis</w:t>
            </w:r>
          </w:p>
        </w:tc>
        <w:tc>
          <w:tcPr>
            <w:tcW w:type="dxa" w:w="1728"/>
          </w:tcPr>
          <w:p>
            <w:r/>
            <w:r>
              <w:rPr>
                <w:rFonts w:ascii="Calibri" w:hAnsi="Calibri"/>
                <w:sz w:val="18"/>
              </w:rPr>
              <w:t>Altijd</w:t>
            </w:r>
          </w:p>
        </w:tc>
        <w:tc>
          <w:tcPr>
            <w:tcW w:type="dxa" w:w="1728"/>
          </w:tcPr>
          <w:p>
            <w:r/>
            <w:r>
              <w:rPr>
                <w:rFonts w:ascii="Calibri" w:hAnsi="Calibri"/>
                <w:sz w:val="18"/>
              </w:rPr>
              <w:t>Brandcompartimentering conform Bouwbesluit</w:t>
            </w:r>
          </w:p>
        </w:tc>
      </w:tr>
      <w:tr>
        <w:tc>
          <w:tcPr>
            <w:tcW w:type="dxa" w:w="1728"/>
          </w:tcPr>
          <w:p>
            <w:r/>
            <w:r>
              <w:rPr>
                <w:rFonts w:ascii="Calibri" w:hAnsi="Calibri"/>
                <w:sz w:val="18"/>
              </w:rPr>
              <w:t>D10</w:t>
            </w:r>
          </w:p>
        </w:tc>
        <w:tc>
          <w:tcPr>
            <w:tcW w:type="dxa" w:w="1728"/>
          </w:tcPr>
          <w:p>
            <w:r/>
            <w:r>
              <w:rPr>
                <w:rFonts w:ascii="Calibri" w:hAnsi="Calibri"/>
                <w:sz w:val="18"/>
              </w:rPr>
              <w:t>Beperken branduitbreiding (extern)</w:t>
            </w:r>
          </w:p>
        </w:tc>
        <w:tc>
          <w:tcPr>
            <w:tcW w:type="dxa" w:w="1728"/>
          </w:tcPr>
          <w:p>
            <w:r/>
            <w:r>
              <w:rPr>
                <w:rFonts w:ascii="Calibri" w:hAnsi="Calibri"/>
                <w:sz w:val="18"/>
              </w:rPr>
              <w:t>VN-B</w:t>
            </w:r>
          </w:p>
        </w:tc>
        <w:tc>
          <w:tcPr>
            <w:tcW w:type="dxa" w:w="1728"/>
          </w:tcPr>
          <w:p>
            <w:r/>
            <w:r>
              <w:rPr>
                <w:rFonts w:ascii="Calibri" w:hAnsi="Calibri"/>
                <w:sz w:val="18"/>
              </w:rPr>
              <w:t>≥10.000 kg</w:t>
            </w:r>
          </w:p>
        </w:tc>
        <w:tc>
          <w:tcPr>
            <w:tcW w:type="dxa" w:w="1728"/>
          </w:tcPr>
          <w:p>
            <w:r/>
            <w:r>
              <w:rPr>
                <w:rFonts w:ascii="Calibri" w:hAnsi="Calibri"/>
                <w:sz w:val="18"/>
              </w:rPr>
              <w:t>Wbdbo 60 min bij drempelwaarde</w:t>
            </w:r>
          </w:p>
        </w:tc>
      </w:tr>
      <w:tr>
        <w:tc>
          <w:tcPr>
            <w:tcW w:type="dxa" w:w="1728"/>
          </w:tcPr>
          <w:p>
            <w:r/>
            <w:r>
              <w:rPr>
                <w:rFonts w:ascii="Calibri" w:hAnsi="Calibri"/>
                <w:sz w:val="18"/>
              </w:rPr>
              <w:t>D11</w:t>
            </w:r>
          </w:p>
        </w:tc>
        <w:tc>
          <w:tcPr>
            <w:tcW w:type="dxa" w:w="1728"/>
          </w:tcPr>
          <w:p>
            <w:r/>
            <w:r>
              <w:rPr>
                <w:rFonts w:ascii="Calibri" w:hAnsi="Calibri"/>
                <w:sz w:val="18"/>
              </w:rPr>
              <w:t>Beschermen fatale slachtoffers</w:t>
            </w:r>
          </w:p>
        </w:tc>
        <w:tc>
          <w:tcPr>
            <w:tcW w:type="dxa" w:w="1728"/>
          </w:tcPr>
          <w:p>
            <w:r/>
            <w:r>
              <w:rPr>
                <w:rFonts w:ascii="Calibri" w:hAnsi="Calibri"/>
                <w:sz w:val="18"/>
              </w:rPr>
              <w:t>VN-B</w:t>
            </w:r>
          </w:p>
        </w:tc>
        <w:tc>
          <w:tcPr>
            <w:tcW w:type="dxa" w:w="1728"/>
          </w:tcPr>
          <w:p>
            <w:r/>
            <w:r>
              <w:rPr>
                <w:rFonts w:ascii="Calibri" w:hAnsi="Calibri"/>
                <w:sz w:val="18"/>
              </w:rPr>
              <w:t>≥10.000 kg</w:t>
            </w:r>
          </w:p>
        </w:tc>
        <w:tc>
          <w:tcPr>
            <w:tcW w:type="dxa" w:w="1728"/>
          </w:tcPr>
          <w:p>
            <w:r/>
            <w:r>
              <w:rPr>
                <w:rFonts w:ascii="Calibri" w:hAnsi="Calibri"/>
                <w:sz w:val="18"/>
              </w:rPr>
              <w:t>Externe veiligheidsafstanden Bkl</w:t>
            </w:r>
          </w:p>
        </w:tc>
      </w:tr>
      <w:tr>
        <w:tc>
          <w:tcPr>
            <w:tcW w:type="dxa" w:w="1728"/>
          </w:tcPr>
          <w:p>
            <w:r/>
            <w:r>
              <w:rPr>
                <w:rFonts w:ascii="Calibri" w:hAnsi="Calibri"/>
                <w:sz w:val="18"/>
              </w:rPr>
              <w:t>D12</w:t>
            </w:r>
          </w:p>
        </w:tc>
        <w:tc>
          <w:tcPr>
            <w:tcW w:type="dxa" w:w="1728"/>
          </w:tcPr>
          <w:p>
            <w:r/>
            <w:r>
              <w:rPr>
                <w:rFonts w:ascii="Calibri" w:hAnsi="Calibri"/>
                <w:sz w:val="18"/>
              </w:rPr>
              <w:t>Semi-automatische blussing</w:t>
            </w:r>
          </w:p>
        </w:tc>
        <w:tc>
          <w:tcPr>
            <w:tcW w:type="dxa" w:w="1728"/>
          </w:tcPr>
          <w:p>
            <w:r/>
            <w:r>
              <w:rPr>
                <w:rFonts w:ascii="Calibri" w:hAnsi="Calibri"/>
                <w:sz w:val="18"/>
              </w:rPr>
              <w:t>VN-A</w:t>
            </w:r>
          </w:p>
        </w:tc>
        <w:tc>
          <w:tcPr>
            <w:tcW w:type="dxa" w:w="1728"/>
          </w:tcPr>
          <w:p>
            <w:r/>
            <w:r>
              <w:rPr>
                <w:rFonts w:ascii="Calibri" w:hAnsi="Calibri"/>
                <w:sz w:val="18"/>
              </w:rPr>
              <w:t>≥20.000 kg</w:t>
            </w:r>
          </w:p>
        </w:tc>
        <w:tc>
          <w:tcPr>
            <w:tcW w:type="dxa" w:w="1728"/>
          </w:tcPr>
          <w:p>
            <w:r/>
            <w:r>
              <w:rPr>
                <w:rFonts w:ascii="Calibri" w:hAnsi="Calibri"/>
                <w:sz w:val="18"/>
              </w:rPr>
              <w:t>VBB-installatie + PAC-doormelding</w:t>
            </w:r>
          </w:p>
        </w:tc>
      </w:tr>
    </w:tbl>
    <w:p/>
    <w:p>
      <w:pPr>
        <w:pStyle w:val="Heading2"/>
      </w:pPr>
      <w:r>
        <w:t>7.2 Wettelijke brandcompartimentering (Wbdbo)</w:t>
      </w:r>
    </w:p>
    <w:p>
      <w:r>
        <w:t>Voor de huidige opslag (~390 kg ADR 8, onbrandbaar) geldt het basisveiligheidsniveau. De Wbdbo-eis (Weerstand tegen branddoorbraak) wordt hier volledig gedekt door het Bouwbesluit (Bbl). De huidige situatie (één brandcompartiment) voldoet, mits de functie "opslag" in het Bouwbesluit is toegestaan. Dit is een punt van aandacht: het rack staat momenteel in een labgebied, niet in een formele opslagruimte.</w:t>
      </w:r>
    </w:p>
    <w:p>
      <w:pPr>
        <w:pStyle w:val="Heading2"/>
      </w:pPr>
      <w:r>
        <w:t>7.3 Blusmiddelen en bereikbaarheid</w:t>
      </w:r>
    </w:p>
    <w:p>
      <w:r>
        <w:t>Basisniveau vereist geen automatisch blussysteem. Handblusmiddelen (poeder/CO₂) dienen conform NEN-EN 3 aanwezig te zijn. De bereikbaarheid voor hulpdiensten (M109) moet worden getoetst: minimum deurbreedte ≥0,9 m, vrije toegangswegen, en duidelijke adressering/wegwijzing conform RI&amp;E-brandveiligheid.</w:t>
      </w:r>
    </w:p>
    <w:p>
      <w:pPr>
        <w:pStyle w:val="Heading1"/>
      </w:pPr>
      <w:r>
        <w:t>8 Schaalfasen</w:t>
      </w:r>
    </w:p>
    <w:p>
      <w:r>
        <w:t>Onderstaand overzicht toont de drie schaalfasen voor ADR 8 VG II/III opslag bij Phoenix Metals, inclusief vereisten en indicatieve investeringen.</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fill="003366"/>
          </w:tcPr>
          <w:p>
            <w:pPr>
              <w:jc w:val="center"/>
            </w:pPr>
            <w:r/>
            <w:r>
              <w:rPr>
                <w:rFonts w:ascii="Calibri" w:hAnsi="Calibri"/>
                <w:b/>
                <w:color w:val="FFFFFF"/>
                <w:sz w:val="20"/>
              </w:rPr>
              <w:t>Fase</w:t>
            </w:r>
          </w:p>
        </w:tc>
        <w:tc>
          <w:tcPr>
            <w:tcW w:type="dxa" w:w="1440"/>
            <w:shd w:fill="003366"/>
          </w:tcPr>
          <w:p>
            <w:pPr>
              <w:jc w:val="center"/>
            </w:pPr>
            <w:r/>
            <w:r>
              <w:rPr>
                <w:rFonts w:ascii="Calibri" w:hAnsi="Calibri"/>
                <w:b/>
                <w:color w:val="FFFFFF"/>
                <w:sz w:val="20"/>
              </w:rPr>
              <w:t>Volume</w:t>
            </w:r>
          </w:p>
        </w:tc>
        <w:tc>
          <w:tcPr>
            <w:tcW w:type="dxa" w:w="1440"/>
            <w:shd w:fill="003366"/>
          </w:tcPr>
          <w:p>
            <w:pPr>
              <w:jc w:val="center"/>
            </w:pPr>
            <w:r/>
            <w:r>
              <w:rPr>
                <w:rFonts w:ascii="Calibri" w:hAnsi="Calibri"/>
                <w:b/>
                <w:color w:val="FFFFFF"/>
                <w:sz w:val="20"/>
              </w:rPr>
              <w:t>Niveau</w:t>
            </w:r>
          </w:p>
        </w:tc>
        <w:tc>
          <w:tcPr>
            <w:tcW w:type="dxa" w:w="1440"/>
            <w:shd w:fill="003366"/>
          </w:tcPr>
          <w:p>
            <w:pPr>
              <w:jc w:val="center"/>
            </w:pPr>
            <w:r/>
            <w:r>
              <w:rPr>
                <w:rFonts w:ascii="Calibri" w:hAnsi="Calibri"/>
                <w:b/>
                <w:color w:val="FFFFFF"/>
                <w:sz w:val="20"/>
              </w:rPr>
              <w:t>Kernvereisten</w:t>
            </w:r>
          </w:p>
        </w:tc>
        <w:tc>
          <w:tcPr>
            <w:tcW w:type="dxa" w:w="1440"/>
            <w:shd w:fill="003366"/>
          </w:tcPr>
          <w:p>
            <w:pPr>
              <w:jc w:val="center"/>
            </w:pPr>
            <w:r/>
            <w:r>
              <w:rPr>
                <w:rFonts w:ascii="Calibri" w:hAnsi="Calibri"/>
                <w:b/>
                <w:color w:val="FFFFFF"/>
                <w:sz w:val="20"/>
              </w:rPr>
              <w:t>Investeringsrange</w:t>
            </w:r>
          </w:p>
        </w:tc>
        <w:tc>
          <w:tcPr>
            <w:tcW w:type="dxa" w:w="1440"/>
            <w:shd w:fill="003366"/>
          </w:tcPr>
          <w:p>
            <w:pPr>
              <w:jc w:val="center"/>
            </w:pPr>
            <w:r/>
            <w:r>
              <w:rPr>
                <w:rFonts w:ascii="Calibri" w:hAnsi="Calibri"/>
                <w:b/>
                <w:color w:val="FFFFFF"/>
                <w:sz w:val="20"/>
              </w:rPr>
              <w:t>Trigger</w:t>
            </w:r>
          </w:p>
        </w:tc>
      </w:tr>
      <w:tr>
        <w:tc>
          <w:tcPr>
            <w:tcW w:type="dxa" w:w="1440"/>
          </w:tcPr>
          <w:p>
            <w:r/>
            <w:r>
              <w:rPr>
                <w:rFonts w:ascii="Calibri" w:hAnsi="Calibri"/>
                <w:sz w:val="18"/>
              </w:rPr>
              <w:t>Fase 1</w:t>
            </w:r>
          </w:p>
        </w:tc>
        <w:tc>
          <w:tcPr>
            <w:tcW w:type="dxa" w:w="1440"/>
          </w:tcPr>
          <w:p>
            <w:r/>
            <w:r>
              <w:rPr>
                <w:rFonts w:ascii="Calibri" w:hAnsi="Calibri"/>
                <w:sz w:val="18"/>
              </w:rPr>
              <w:t>&lt;10.000 kg</w:t>
            </w:r>
          </w:p>
        </w:tc>
        <w:tc>
          <w:tcPr>
            <w:tcW w:type="dxa" w:w="1440"/>
          </w:tcPr>
          <w:p>
            <w:r/>
            <w:r>
              <w:rPr>
                <w:rFonts w:ascii="Calibri" w:hAnsi="Calibri"/>
                <w:sz w:val="18"/>
              </w:rPr>
              <w:t>Basis</w:t>
            </w:r>
          </w:p>
        </w:tc>
        <w:tc>
          <w:tcPr>
            <w:tcW w:type="dxa" w:w="1440"/>
          </w:tcPr>
          <w:p>
            <w:r/>
            <w:r>
              <w:rPr>
                <w:rFonts w:ascii="Calibri" w:hAnsi="Calibri"/>
                <w:sz w:val="18"/>
              </w:rPr>
              <w:t>Lekbakken, scheiding Tabel 9, RI&amp;E, SDS, vloermarkering</w:t>
            </w:r>
          </w:p>
        </w:tc>
        <w:tc>
          <w:tcPr>
            <w:tcW w:type="dxa" w:w="1440"/>
          </w:tcPr>
          <w:p>
            <w:r/>
            <w:r>
              <w:rPr>
                <w:rFonts w:ascii="Calibri" w:hAnsi="Calibri"/>
                <w:sz w:val="18"/>
              </w:rPr>
              <w:t>€5K–15K</w:t>
            </w:r>
          </w:p>
        </w:tc>
        <w:tc>
          <w:tcPr>
            <w:tcW w:type="dxa" w:w="1440"/>
          </w:tcPr>
          <w:p>
            <w:r/>
            <w:r>
              <w:rPr>
                <w:rFonts w:ascii="Calibri" w:hAnsi="Calibri"/>
                <w:sz w:val="18"/>
              </w:rPr>
              <w:t>Huidig (~390 kg)</w:t>
            </w:r>
          </w:p>
        </w:tc>
      </w:tr>
      <w:tr>
        <w:tc>
          <w:tcPr>
            <w:tcW w:type="dxa" w:w="1440"/>
          </w:tcPr>
          <w:p>
            <w:r/>
            <w:r>
              <w:rPr>
                <w:rFonts w:ascii="Calibri" w:hAnsi="Calibri"/>
                <w:sz w:val="18"/>
              </w:rPr>
              <w:t>Fase 2</w:t>
            </w:r>
          </w:p>
        </w:tc>
        <w:tc>
          <w:tcPr>
            <w:tcW w:type="dxa" w:w="1440"/>
          </w:tcPr>
          <w:p>
            <w:r/>
            <w:r>
              <w:rPr>
                <w:rFonts w:ascii="Calibri" w:hAnsi="Calibri"/>
                <w:sz w:val="18"/>
              </w:rPr>
              <w:t>10.000–20.000 kg</w:t>
            </w:r>
          </w:p>
        </w:tc>
        <w:tc>
          <w:tcPr>
            <w:tcW w:type="dxa" w:w="1440"/>
          </w:tcPr>
          <w:p>
            <w:r/>
            <w:r>
              <w:rPr>
                <w:rFonts w:ascii="Calibri" w:hAnsi="Calibri"/>
                <w:sz w:val="18"/>
              </w:rPr>
              <w:t>VN-B</w:t>
            </w:r>
          </w:p>
        </w:tc>
        <w:tc>
          <w:tcPr>
            <w:tcW w:type="dxa" w:w="1440"/>
          </w:tcPr>
          <w:p>
            <w:r/>
            <w:r>
              <w:rPr>
                <w:rFonts w:ascii="Calibri" w:hAnsi="Calibri"/>
                <w:sz w:val="18"/>
              </w:rPr>
              <w:t>Fase 1 + 60 min Wbdbo, branddetectie, blusinstallatie M103, D6/D10/D11</w:t>
            </w:r>
          </w:p>
        </w:tc>
        <w:tc>
          <w:tcPr>
            <w:tcW w:type="dxa" w:w="1440"/>
          </w:tcPr>
          <w:p>
            <w:r/>
            <w:r>
              <w:rPr>
                <w:rFonts w:ascii="Calibri" w:hAnsi="Calibri"/>
                <w:sz w:val="18"/>
              </w:rPr>
              <w:t>€25K–75K</w:t>
            </w:r>
          </w:p>
        </w:tc>
        <w:tc>
          <w:tcPr>
            <w:tcW w:type="dxa" w:w="1440"/>
          </w:tcPr>
          <w:p>
            <w:r/>
            <w:r>
              <w:rPr>
                <w:rFonts w:ascii="Calibri" w:hAnsi="Calibri"/>
                <w:sz w:val="18"/>
              </w:rPr>
              <w:t>Uitbreiding bijtende stoffen</w:t>
            </w:r>
          </w:p>
        </w:tc>
      </w:tr>
      <w:tr>
        <w:tc>
          <w:tcPr>
            <w:tcW w:type="dxa" w:w="1440"/>
          </w:tcPr>
          <w:p>
            <w:r/>
            <w:r>
              <w:rPr>
                <w:rFonts w:ascii="Calibri" w:hAnsi="Calibri"/>
                <w:sz w:val="18"/>
              </w:rPr>
              <w:t>Fase 3</w:t>
            </w:r>
          </w:p>
        </w:tc>
        <w:tc>
          <w:tcPr>
            <w:tcW w:type="dxa" w:w="1440"/>
          </w:tcPr>
          <w:p>
            <w:r/>
            <w:r>
              <w:rPr>
                <w:rFonts w:ascii="Calibri" w:hAnsi="Calibri"/>
                <w:sz w:val="18"/>
              </w:rPr>
              <w:t>&gt;20.000 kg</w:t>
            </w:r>
          </w:p>
        </w:tc>
        <w:tc>
          <w:tcPr>
            <w:tcW w:type="dxa" w:w="1440"/>
          </w:tcPr>
          <w:p>
            <w:r/>
            <w:r>
              <w:rPr>
                <w:rFonts w:ascii="Calibri" w:hAnsi="Calibri"/>
                <w:sz w:val="18"/>
              </w:rPr>
              <w:t>VN-A</w:t>
            </w:r>
          </w:p>
        </w:tc>
        <w:tc>
          <w:tcPr>
            <w:tcW w:type="dxa" w:w="1440"/>
          </w:tcPr>
          <w:p>
            <w:r/>
            <w:r>
              <w:rPr>
                <w:rFonts w:ascii="Calibri" w:hAnsi="Calibri"/>
                <w:sz w:val="18"/>
              </w:rPr>
              <w:t>Fase 2 + VBB-installatie (M96), PAC-doormelding (M97), D12</w:t>
            </w:r>
          </w:p>
        </w:tc>
        <w:tc>
          <w:tcPr>
            <w:tcW w:type="dxa" w:w="1440"/>
          </w:tcPr>
          <w:p>
            <w:r/>
            <w:r>
              <w:rPr>
                <w:rFonts w:ascii="Calibri" w:hAnsi="Calibri"/>
                <w:sz w:val="18"/>
              </w:rPr>
              <w:t>€100K–300K+</w:t>
            </w:r>
          </w:p>
        </w:tc>
        <w:tc>
          <w:tcPr>
            <w:tcW w:type="dxa" w:w="1440"/>
          </w:tcPr>
          <w:p>
            <w:r/>
            <w:r>
              <w:rPr>
                <w:rFonts w:ascii="Calibri" w:hAnsi="Calibri"/>
                <w:sz w:val="18"/>
              </w:rPr>
              <w:t>Grootschalige opslag</w:t>
            </w:r>
          </w:p>
        </w:tc>
      </w:tr>
    </w:tbl>
    <w:p/>
    <w:p>
      <w:r>
        <w:t>Fase 1 is direct actueel: de huidige 390 kg valt binnen het basisniveau, maar vereist wel directe implementatie van lekbakken, stoffenscheiding en documentatie. Fase 2 en 3 zijn toekomstscenario's bij significante opslaguitbreiding.</w:t>
      </w:r>
    </w:p>
    <w:p>
      <w:pPr>
        <w:pStyle w:val="Heading1"/>
      </w:pPr>
      <w:r>
        <w:t>9 Conclusie en Aanbevelingen</w:t>
      </w:r>
    </w:p>
    <w:p>
      <w:r>
        <w:t>Het META-dossier toont dat Phoenix Metals IJmuiden met ~390 kg ADR 8-stoffen ver onder alle PGS 15-drempelwaarden operateert. Het basisveiligheidsniveau volstaat. Echter, twee kritieke niet-compliancies zijn geconstateerd: de stoffenscheiding (NaOH ↔ H₂SO₄) en de afwezigheid van lekbakken. Deze vereisen onmiddellijke correctie. Daarnaast is een aantal maatregelen nog niet formeel gedocumenteerd of getoetst.</w:t>
      </w:r>
    </w:p>
    <w:p>
      <w:pPr>
        <w:pStyle w:val="Heading2"/>
      </w:pPr>
      <w:r>
        <w:t>9.1 Aanbevelingen</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003366"/>
          </w:tcPr>
          <w:p>
            <w:pPr>
              <w:jc w:val="center"/>
            </w:pPr>
            <w:r/>
            <w:r>
              <w:rPr>
                <w:rFonts w:ascii="Calibri" w:hAnsi="Calibri"/>
                <w:b/>
                <w:color w:val="FFFFFF"/>
                <w:sz w:val="20"/>
              </w:rPr>
              <w:t>#</w:t>
            </w:r>
          </w:p>
        </w:tc>
        <w:tc>
          <w:tcPr>
            <w:tcW w:type="dxa" w:w="1728"/>
            <w:shd w:fill="003366"/>
          </w:tcPr>
          <w:p>
            <w:pPr>
              <w:jc w:val="center"/>
            </w:pPr>
            <w:r/>
            <w:r>
              <w:rPr>
                <w:rFonts w:ascii="Calibri" w:hAnsi="Calibri"/>
                <w:b/>
                <w:color w:val="FFFFFF"/>
                <w:sz w:val="20"/>
              </w:rPr>
              <w:t>Aanbeveling</w:t>
            </w:r>
          </w:p>
        </w:tc>
        <w:tc>
          <w:tcPr>
            <w:tcW w:type="dxa" w:w="1728"/>
            <w:shd w:fill="003366"/>
          </w:tcPr>
          <w:p>
            <w:pPr>
              <w:jc w:val="center"/>
            </w:pPr>
            <w:r/>
            <w:r>
              <w:rPr>
                <w:rFonts w:ascii="Calibri" w:hAnsi="Calibri"/>
                <w:b/>
                <w:color w:val="FFFFFF"/>
                <w:sz w:val="20"/>
              </w:rPr>
              <w:t>Prioriteit</w:t>
            </w:r>
          </w:p>
        </w:tc>
        <w:tc>
          <w:tcPr>
            <w:tcW w:type="dxa" w:w="1728"/>
            <w:shd w:fill="003366"/>
          </w:tcPr>
          <w:p>
            <w:pPr>
              <w:jc w:val="center"/>
            </w:pPr>
            <w:r/>
            <w:r>
              <w:rPr>
                <w:rFonts w:ascii="Calibri" w:hAnsi="Calibri"/>
                <w:b/>
                <w:color w:val="FFFFFF"/>
                <w:sz w:val="20"/>
              </w:rPr>
              <w:t>Budget (indicatief)</w:t>
            </w:r>
          </w:p>
        </w:tc>
        <w:tc>
          <w:tcPr>
            <w:tcW w:type="dxa" w:w="1728"/>
            <w:shd w:fill="003366"/>
          </w:tcPr>
          <w:p>
            <w:pPr>
              <w:jc w:val="center"/>
            </w:pPr>
            <w:r/>
            <w:r>
              <w:rPr>
                <w:rFonts w:ascii="Calibri" w:hAnsi="Calibri"/>
                <w:b/>
                <w:color w:val="FFFFFF"/>
                <w:sz w:val="20"/>
              </w:rPr>
              <w:t>Termijn</w:t>
            </w:r>
          </w:p>
        </w:tc>
      </w:tr>
      <w:tr>
        <w:tc>
          <w:tcPr>
            <w:tcW w:type="dxa" w:w="1728"/>
          </w:tcPr>
          <w:p>
            <w:r/>
            <w:r>
              <w:rPr>
                <w:rFonts w:ascii="Calibri" w:hAnsi="Calibri"/>
                <w:sz w:val="18"/>
              </w:rPr>
              <w:t>1</w:t>
            </w:r>
          </w:p>
        </w:tc>
        <w:tc>
          <w:tcPr>
            <w:tcW w:type="dxa" w:w="1728"/>
          </w:tcPr>
          <w:p>
            <w:r/>
            <w:r>
              <w:rPr>
                <w:rFonts w:ascii="Calibri" w:hAnsi="Calibri"/>
                <w:sz w:val="18"/>
              </w:rPr>
              <w:t>Implementeer stoffenscheiding: aparte lekbakken + 2 m afstand NaOH/H₂SO₄; CaO apart van H₂SO₄</w:t>
            </w:r>
          </w:p>
        </w:tc>
        <w:tc>
          <w:tcPr>
            <w:tcW w:type="dxa" w:w="1728"/>
          </w:tcPr>
          <w:p>
            <w:r/>
            <w:r>
              <w:rPr>
                <w:rFonts w:ascii="Calibri" w:hAnsi="Calibri"/>
                <w:sz w:val="18"/>
              </w:rPr>
              <w:t>Kritiek</w:t>
            </w:r>
          </w:p>
        </w:tc>
        <w:tc>
          <w:tcPr>
            <w:tcW w:type="dxa" w:w="1728"/>
          </w:tcPr>
          <w:p>
            <w:r/>
            <w:r>
              <w:rPr>
                <w:rFonts w:ascii="Calibri" w:hAnsi="Calibri"/>
                <w:sz w:val="18"/>
              </w:rPr>
              <w:t>€200–500</w:t>
            </w:r>
          </w:p>
        </w:tc>
        <w:tc>
          <w:tcPr>
            <w:tcW w:type="dxa" w:w="1728"/>
          </w:tcPr>
          <w:p>
            <w:r/>
            <w:r>
              <w:rPr>
                <w:rFonts w:ascii="Calibri" w:hAnsi="Calibri"/>
                <w:sz w:val="18"/>
              </w:rPr>
              <w:t>Direct (1 week)</w:t>
            </w:r>
          </w:p>
        </w:tc>
      </w:tr>
      <w:tr>
        <w:tc>
          <w:tcPr>
            <w:tcW w:type="dxa" w:w="1728"/>
          </w:tcPr>
          <w:p>
            <w:r/>
            <w:r>
              <w:rPr>
                <w:rFonts w:ascii="Calibri" w:hAnsi="Calibri"/>
                <w:sz w:val="18"/>
              </w:rPr>
              <w:t>2</w:t>
            </w:r>
          </w:p>
        </w:tc>
        <w:tc>
          <w:tcPr>
            <w:tcW w:type="dxa" w:w="1728"/>
          </w:tcPr>
          <w:p>
            <w:r/>
            <w:r>
              <w:rPr>
                <w:rFonts w:ascii="Calibri" w:hAnsi="Calibri"/>
                <w:sz w:val="18"/>
              </w:rPr>
              <w:t>Plaats lekbakken voor alle vloeibare ADR 8-stoffen (min. 110% grootste verpakking)</w:t>
            </w:r>
          </w:p>
        </w:tc>
        <w:tc>
          <w:tcPr>
            <w:tcW w:type="dxa" w:w="1728"/>
          </w:tcPr>
          <w:p>
            <w:r/>
            <w:r>
              <w:rPr>
                <w:rFonts w:ascii="Calibri" w:hAnsi="Calibri"/>
                <w:sz w:val="18"/>
              </w:rPr>
              <w:t>Kritiek</w:t>
            </w:r>
          </w:p>
        </w:tc>
        <w:tc>
          <w:tcPr>
            <w:tcW w:type="dxa" w:w="1728"/>
          </w:tcPr>
          <w:p>
            <w:r/>
            <w:r>
              <w:rPr>
                <w:rFonts w:ascii="Calibri" w:hAnsi="Calibri"/>
                <w:sz w:val="18"/>
              </w:rPr>
              <w:t>€300–600</w:t>
            </w:r>
          </w:p>
        </w:tc>
        <w:tc>
          <w:tcPr>
            <w:tcW w:type="dxa" w:w="1728"/>
          </w:tcPr>
          <w:p>
            <w:r/>
            <w:r>
              <w:rPr>
                <w:rFonts w:ascii="Calibri" w:hAnsi="Calibri"/>
                <w:sz w:val="18"/>
              </w:rPr>
              <w:t>Direct (1 week)</w:t>
            </w:r>
          </w:p>
        </w:tc>
      </w:tr>
      <w:tr>
        <w:tc>
          <w:tcPr>
            <w:tcW w:type="dxa" w:w="1728"/>
          </w:tcPr>
          <w:p>
            <w:r/>
            <w:r>
              <w:rPr>
                <w:rFonts w:ascii="Calibri" w:hAnsi="Calibri"/>
                <w:sz w:val="18"/>
              </w:rPr>
              <w:t>3</w:t>
            </w:r>
          </w:p>
        </w:tc>
        <w:tc>
          <w:tcPr>
            <w:tcW w:type="dxa" w:w="1728"/>
          </w:tcPr>
          <w:p>
            <w:r/>
            <w:r>
              <w:rPr>
                <w:rFonts w:ascii="Calibri" w:hAnsi="Calibri"/>
                <w:sz w:val="18"/>
              </w:rPr>
              <w:t>Stel RI&amp;E gevaarlijke stoffen op + SDS-map (6 VIB's) + instructiekaart lekkage</w:t>
            </w:r>
          </w:p>
        </w:tc>
        <w:tc>
          <w:tcPr>
            <w:tcW w:type="dxa" w:w="1728"/>
          </w:tcPr>
          <w:p>
            <w:r/>
            <w:r>
              <w:rPr>
                <w:rFonts w:ascii="Calibri" w:hAnsi="Calibri"/>
                <w:sz w:val="18"/>
              </w:rPr>
              <w:t>HOOG</w:t>
            </w:r>
          </w:p>
        </w:tc>
        <w:tc>
          <w:tcPr>
            <w:tcW w:type="dxa" w:w="1728"/>
          </w:tcPr>
          <w:p>
            <w:r/>
            <w:r>
              <w:rPr>
                <w:rFonts w:ascii="Calibri" w:hAnsi="Calibri"/>
                <w:sz w:val="18"/>
              </w:rPr>
              <w:t>€500–2.000</w:t>
            </w:r>
          </w:p>
        </w:tc>
        <w:tc>
          <w:tcPr>
            <w:tcW w:type="dxa" w:w="1728"/>
          </w:tcPr>
          <w:p>
            <w:r/>
            <w:r>
              <w:rPr>
                <w:rFonts w:ascii="Calibri" w:hAnsi="Calibri"/>
                <w:sz w:val="18"/>
              </w:rPr>
              <w:t>2–4 weken</w:t>
            </w:r>
          </w:p>
        </w:tc>
      </w:tr>
      <w:tr>
        <w:tc>
          <w:tcPr>
            <w:tcW w:type="dxa" w:w="1728"/>
          </w:tcPr>
          <w:p>
            <w:r/>
            <w:r>
              <w:rPr>
                <w:rFonts w:ascii="Calibri" w:hAnsi="Calibri"/>
                <w:sz w:val="18"/>
              </w:rPr>
              <w:t>4</w:t>
            </w:r>
          </w:p>
        </w:tc>
        <w:tc>
          <w:tcPr>
            <w:tcW w:type="dxa" w:w="1728"/>
          </w:tcPr>
          <w:p>
            <w:r/>
            <w:r>
              <w:rPr>
                <w:rFonts w:ascii="Calibri" w:hAnsi="Calibri"/>
                <w:sz w:val="18"/>
              </w:rPr>
              <w:t>Implementeer vloermarkering, GHS-borden, botsbeveiliging rond rack</w:t>
            </w:r>
          </w:p>
        </w:tc>
        <w:tc>
          <w:tcPr>
            <w:tcW w:type="dxa" w:w="1728"/>
          </w:tcPr>
          <w:p>
            <w:r/>
            <w:r>
              <w:rPr>
                <w:rFonts w:ascii="Calibri" w:hAnsi="Calibri"/>
                <w:sz w:val="18"/>
              </w:rPr>
              <w:t>MIDDEL</w:t>
            </w:r>
          </w:p>
        </w:tc>
        <w:tc>
          <w:tcPr>
            <w:tcW w:type="dxa" w:w="1728"/>
          </w:tcPr>
          <w:p>
            <w:r/>
            <w:r>
              <w:rPr>
                <w:rFonts w:ascii="Calibri" w:hAnsi="Calibri"/>
                <w:sz w:val="18"/>
              </w:rPr>
              <w:t>€500–1.500</w:t>
            </w:r>
          </w:p>
        </w:tc>
        <w:tc>
          <w:tcPr>
            <w:tcW w:type="dxa" w:w="1728"/>
          </w:tcPr>
          <w:p>
            <w:r/>
            <w:r>
              <w:rPr>
                <w:rFonts w:ascii="Calibri" w:hAnsi="Calibri"/>
                <w:sz w:val="18"/>
              </w:rPr>
              <w:t>4–8 weken</w:t>
            </w:r>
          </w:p>
        </w:tc>
      </w:tr>
      <w:tr>
        <w:tc>
          <w:tcPr>
            <w:tcW w:type="dxa" w:w="1728"/>
          </w:tcPr>
          <w:p>
            <w:r/>
            <w:r>
              <w:rPr>
                <w:rFonts w:ascii="Calibri" w:hAnsi="Calibri"/>
                <w:sz w:val="18"/>
              </w:rPr>
              <w:t>5</w:t>
            </w:r>
          </w:p>
        </w:tc>
        <w:tc>
          <w:tcPr>
            <w:tcW w:type="dxa" w:w="1728"/>
          </w:tcPr>
          <w:p>
            <w:r/>
            <w:r>
              <w:rPr>
                <w:rFonts w:ascii="Calibri" w:hAnsi="Calibri"/>
                <w:sz w:val="18"/>
              </w:rPr>
              <w:t>Toets formele opslagfunctie met Bouwbesluit; ruimte aanwijzen als opslagruimte</w:t>
            </w:r>
          </w:p>
        </w:tc>
        <w:tc>
          <w:tcPr>
            <w:tcW w:type="dxa" w:w="1728"/>
          </w:tcPr>
          <w:p>
            <w:r/>
            <w:r>
              <w:rPr>
                <w:rFonts w:ascii="Calibri" w:hAnsi="Calibri"/>
                <w:sz w:val="18"/>
              </w:rPr>
              <w:t>MIDDEL</w:t>
            </w:r>
          </w:p>
        </w:tc>
        <w:tc>
          <w:tcPr>
            <w:tcW w:type="dxa" w:w="1728"/>
          </w:tcPr>
          <w:p>
            <w:r/>
            <w:r>
              <w:rPr>
                <w:rFonts w:ascii="Calibri" w:hAnsi="Calibri"/>
                <w:sz w:val="18"/>
              </w:rPr>
              <w:t>€0–500</w:t>
            </w:r>
          </w:p>
        </w:tc>
        <w:tc>
          <w:tcPr>
            <w:tcW w:type="dxa" w:w="1728"/>
          </w:tcPr>
          <w:p>
            <w:r/>
            <w:r>
              <w:rPr>
                <w:rFonts w:ascii="Calibri" w:hAnsi="Calibri"/>
                <w:sz w:val="18"/>
              </w:rPr>
              <w:t>4–8 weken</w:t>
            </w:r>
          </w:p>
        </w:tc>
      </w:tr>
    </w:tbl>
    <w:p/>
    <w:p>
      <w:r>
        <w:t>Implementatie van aanbevelingen 1 en 2 brengt Phoenix Metals op het niveau van formele PGS 15-basiscompliance. De overige aanbevelingen zijn noodzakelijk voor volledige aantoonbaarheid en audit-readiness.</w:t>
      </w:r>
    </w:p>
    <w:p>
      <w:pPr>
        <w:pStyle w:val="Heading1"/>
      </w:pPr>
      <w:r>
        <w:t>Bijlagen</w:t>
      </w:r>
    </w:p>
    <w:p>
      <w:pPr>
        <w:pStyle w:val="Heading2"/>
      </w:pPr>
      <w:r>
        <w:t>Bijlage A: Bronverwijzingen</w:t>
      </w:r>
    </w:p>
    <w:p>
      <w:pPr>
        <w:spacing w:after="40"/>
      </w:pPr>
      <w:r>
        <w:t>[1] PGS 15:2025 v1.0 — Publicatiereeks Gevaarlijke Stoffen 15, "Opslag van verpakte gevaarlijke stoffen", 238 pp.</w:t>
      </w:r>
    </w:p>
    <w:p>
      <w:pPr>
        <w:spacing w:after="40"/>
      </w:pPr>
      <w:r>
        <w:t>[2] Phoenix Metals Chemical Register v2.1.0 — Intern stoffenregister, 26 april 2026.</w:t>
      </w:r>
    </w:p>
    <w:p>
      <w:pPr>
        <w:spacing w:after="40"/>
      </w:pPr>
      <w:r>
        <w:t>[3] REACH Scanner Data — Automatische classificatie-uitdraai, april 2026.</w:t>
      </w:r>
    </w:p>
    <w:p>
      <w:pPr>
        <w:spacing w:after="40"/>
      </w:pPr>
      <w:r>
        <w:t>[4] Omgevingswet — Bbl (BouwbESluit) / Bkl (Besluit kwaliteit leefomgeving), wetten.overheid.nl.</w:t>
      </w:r>
    </w:p>
    <w:p>
      <w:pPr>
        <w:spacing w:after="40"/>
      </w:pPr>
      <w:r>
        <w:t>[5] Arbowet / Arbobesluit art. 4.1c — Risico-inventarisatie en -evaluatie.</w:t>
      </w:r>
    </w:p>
    <w:p>
      <w:pPr>
        <w:spacing w:after="40"/>
      </w:pPr>
      <w:r>
        <w:t>[6] ADR 2025 — Accord européen relatif au transport international des marchandises dangereuses par route.</w:t>
      </w:r>
    </w:p>
    <w:p>
      <w:pPr>
        <w:spacing w:after="40"/>
      </w:pPr>
      <w:r>
        <w:t>[7] CLP-Verordening (EG 1272/2008) — Classification, Labelling and Packaging.</w:t>
      </w:r>
    </w:p>
    <w:p>
      <w:pPr>
        <w:spacing w:after="40"/>
      </w:pPr>
      <w:r>
        <w:t>[8] NEN-EN 3: Draagbare brandblusapparaten — Eisen en keuring.</w:t>
      </w:r>
    </w:p>
    <w:p>
      <w:pPr>
        <w:pStyle w:val="Heading2"/>
      </w:pPr>
      <w:r>
        <w:t>Bijlage B: PGS 15:2025 Paragraafreferenties</w:t>
      </w:r>
    </w:p>
    <w:p>
      <w:pPr>
        <w:spacing w:after="40"/>
      </w:pPr>
      <w:r>
        <w:t>§4.1–4.3 — Algemene zorgplicht en risico-inventarisatie (MW1, M2, M3)</w:t>
      </w:r>
    </w:p>
    <w:p>
      <w:pPr>
        <w:spacing w:after="40"/>
      </w:pPr>
      <w:r>
        <w:t>§5.4–5.5 — Werkvoorraad en brandcompartimentering (M14, M15)</w:t>
      </w:r>
    </w:p>
    <w:p>
      <w:pPr>
        <w:spacing w:after="40"/>
      </w:pPr>
      <w:r>
        <w:t>§6.1 — Vloeistofopvang en ventilatie (M30)</w:t>
      </w:r>
    </w:p>
    <w:p>
      <w:pPr>
        <w:spacing w:after="40"/>
      </w:pPr>
      <w:r>
        <w:t>§6.3 + Bijlage E — Stoffenscheiding Tabel 9 (M35)</w:t>
      </w:r>
    </w:p>
    <w:p>
      <w:pPr>
        <w:spacing w:after="40"/>
      </w:pPr>
      <w:r>
        <w:t>§6.4 — Verpakkingsintegriteit (M36)</w:t>
      </w:r>
    </w:p>
    <w:p>
      <w:pPr>
        <w:spacing w:after="40"/>
      </w:pPr>
      <w:r>
        <w:t>§7.1 — Etikettering en signalering (M45)</w:t>
      </w:r>
    </w:p>
    <w:p>
      <w:pPr>
        <w:spacing w:after="40"/>
      </w:pPr>
      <w:r>
        <w:t>§8.2 — Fysieke bescherming (M77/M78)</w:t>
      </w:r>
    </w:p>
    <w:p>
      <w:pPr>
        <w:spacing w:after="40"/>
      </w:pPr>
      <w:r>
        <w:t>§9.1 — Deskundigheid en informatieverstrekking (M85/M86)</w:t>
      </w:r>
    </w:p>
    <w:p>
      <w:pPr>
        <w:spacing w:after="40"/>
      </w:pPr>
      <w:r>
        <w:t>§10.3 — Toegankelijkheid hulpdiensten (M109)</w:t>
      </w:r>
    </w:p>
    <w:p>
      <w:pPr>
        <w:spacing w:after="40"/>
      </w:pPr>
      <w:r>
        <w:t>Tabel 6 — Drempelwaarden veiligheidsniveaus</w:t>
      </w:r>
    </w:p>
    <w:p>
      <w:pPr>
        <w:spacing w:after="40"/>
      </w:pPr>
      <w:r>
        <w:t>Tabel 7 — Ondergrenzen per ADR-klasse</w:t>
      </w:r>
    </w:p>
    <w:p>
      <w:pPr>
        <w:spacing w:after="40"/>
      </w:pPr>
      <w:r>
        <w:t>Tabel 9 — Compatibiliteitsmatrix opslag</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6"/>
      </w:rPr>
      <w:t>© 2026 JvG Consultancy | HSEQ | 26 april 2026 | Vertrouwelijk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374151"/>
        <w:sz w:val="18"/>
      </w:rPr>
      <w:t>JvG Consultancy | PGS-15 Compliance Toetsing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003366"/>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Calibri" w:hAnsi="Calibri"/>
      <w:b/>
      <w:color w:val="003366"/>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