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3366"/>
          <w:sz w:val="44"/>
        </w:rPr>
        <w:t>Werkinstructie Opslag &amp; H-zin Beheer — Phoenix Metals</w:t>
      </w:r>
    </w:p>
    <w:p>
      <w:r>
        <w:rPr>
          <w:rFonts w:ascii="Calibri" w:hAnsi="Calibri"/>
          <w:color w:val="1F2937"/>
          <w:sz w:val="22"/>
        </w:rPr>
        <w:t xml:space="preserve">**Versie**: 1.0  </w:t>
        <w:br/>
        <w:t xml:space="preserve">**Datum**: 27 april 2026  </w:t>
        <w:br/>
        <w:t xml:space="preserve">**Doelgroep**: Operators, magazijnmedewerkers, laboranten  </w:t>
        <w:br/>
        <w:t>**Opslagniveau**: C-niveau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1. Stappenplan: Stof Toevoegen aan Opslag</w:t>
      </w:r>
    </w:p>
    <w:p>
      <w:pPr>
        <w:pStyle w:val="Heading3"/>
      </w:pPr>
      <w:r>
        <w:rPr>
          <w:b/>
          <w:color w:val="003366"/>
          <w:sz w:val="32"/>
        </w:rPr>
        <w:t>Stap 1: Informatie verzamelen</w:t>
        <w:br/>
        <w:t>Verzamel de volgende gegevens van de nieuwe stof:</w:t>
        <w:br/>
        <w:t>- Productnaam en CAS-nummer</w:t>
        <w:br/>
        <w:t>- SDS (Safety Data Sheet) — **altijd vóór levering opvragen**</w:t>
        <w:br/>
        <w:t>- ADR-klasse en Verpakkingsgroep (VG)</w:t>
        <w:br/>
        <w:t>- CLP-classificatie (H-zinnen)</w:t>
      </w:r>
    </w:p>
    <w:p>
      <w:pPr>
        <w:pStyle w:val="Heading3"/>
      </w:pPr>
      <w:r>
        <w:rPr>
          <w:b/>
          <w:color w:val="003366"/>
          <w:sz w:val="32"/>
        </w:rPr>
        <w:t>Stap 2: HSE-goedkeuring</w:t>
        <w:br/>
        <w:t>- Vul het **HSE Chemical Request Form** in</w:t>
        <w:br/>
        <w:t>- HSE Manager beoordeelt de stof op risico's en opslagcompatibiliteit</w:t>
        <w:br/>
        <w:t>- Pas na goedkeuring: stof bestellen</w:t>
      </w:r>
    </w:p>
    <w:p>
      <w:pPr>
        <w:pStyle w:val="Heading3"/>
      </w:pPr>
      <w:r>
        <w:rPr>
          <w:b/>
          <w:color w:val="003366"/>
          <w:sz w:val="32"/>
        </w:rPr>
        <w:t>Stap 3: Classificeren</w:t>
        <w:br/>
        <w:t>Bepaal de gevarencategorie:</w:t>
        <w:br/>
        <w:t>- **ADR-klasse** (2, 3, 4.1, 4.2, 4.3, 5.1, 5.2, 6.1, 6.2, 8, 9)</w:t>
        <w:br/>
        <w:t>- **Verpakkingsgroep** (I, II, III)</w:t>
        <w:br/>
        <w:t>- **CMR-status** (Carcinogeen, Mutageen, Reprotoxisch)</w:t>
        <w:br/>
        <w:t>- **Acute Toxiciteit** (Cat. 1, 2, 3)</w:t>
      </w:r>
    </w:p>
    <w:p>
      <w:pPr>
        <w:pStyle w:val="Heading3"/>
      </w:pPr>
      <w:r>
        <w:rPr>
          <w:b/>
          <w:color w:val="003366"/>
          <w:sz w:val="32"/>
        </w:rPr>
        <w:t>Stap 4: Niveaubepaling</w:t>
        <w:br/>
        <w:t>Controleer of de stof boven de ondergrens van PGS 15:2025 Tabel 2 valt:</w:t>
      </w:r>
    </w:p>
    <w:p>
      <w:r>
        <w:rPr>
          <w:rFonts w:ascii="Calibri" w:hAnsi="Calibri"/>
          <w:color w:val="1F2937"/>
          <w:sz w:val="22"/>
        </w:rPr>
        <w:t>| ADR-klasse | VG | Ondergrens |</w:t>
        <w:br/>
        <w:t>|------------|-----|-----------|</w:t>
        <w:br/>
        <w:t>| Alle | I | 1 kg |</w:t>
        <w:br/>
        <w:t>| 6.1 | II/III | 50 kg |</w:t>
        <w:br/>
        <w:t>| 8 | II/III | 250 kg |</w:t>
        <w:br/>
        <w:t>| 3 | II | 25 kg |</w:t>
        <w:br/>
        <w:t>| 3 | III | 50 kg |</w:t>
        <w:br/>
        <w:t>| CMR-stoffen | — | 25 kg |</w:t>
        <w:br/>
        <w:t>| CLP Acute Tox. 1/2/3 | — | 1 kg |</w:t>
      </w:r>
    </w:p>
    <w:p>
      <w:pPr>
        <w:pStyle w:val="Heading3"/>
      </w:pPr>
      <w:r>
        <w:rPr>
          <w:b/>
          <w:color w:val="003366"/>
          <w:sz w:val="32"/>
        </w:rPr>
        <w:t>Stap 5: Opslaglocatie bepalen</w:t>
        <w:br/>
        <w:t>1. Raadpleeg de scheidingstabel (Bijlage E PGS 15:2025)</w:t>
        <w:br/>
        <w:t>2. Controleer of de stof verenigbaar is met reeds opgeslagen stoffen</w:t>
        <w:br/>
        <w:t>3. Wijs het juiste vak toe (Zone A: bijtend, Zone B: giftig, Zone C: overig)</w:t>
      </w:r>
    </w:p>
    <w:p>
      <w:pPr>
        <w:pStyle w:val="Heading3"/>
      </w:pPr>
      <w:r>
        <w:rPr>
          <w:b/>
          <w:color w:val="003366"/>
          <w:sz w:val="32"/>
        </w:rPr>
        <w:t>Stap 6: Registreren</w:t>
        <w:br/>
        <w:t>- Voeg de stof toe aan de **Stoffenregistratie** (Registration Chemicals MASTER)</w:t>
        <w:br/>
        <w:t>- Noteer: naam, CAS, ADR, CLP, hoeveelheid, locatie, leverancier, datum</w:t>
      </w:r>
    </w:p>
    <w:p>
      <w:pPr>
        <w:pStyle w:val="Heading3"/>
      </w:pPr>
      <w:r>
        <w:rPr>
          <w:b/>
          <w:color w:val="003366"/>
          <w:sz w:val="32"/>
        </w:rPr>
        <w:t>Stap 7: Fysiek opslaan</w:t>
        <w:br/>
        <w:t>- Plaats in aangewezen vak</w:t>
        <w:br/>
        <w:t>- Controleer etikettering op verpakking</w:t>
        <w:br/>
        <w:t>- Zorg voor gesloten verpakking</w:t>
        <w:br/>
        <w:t>- Controleer productopvang onder stelling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2. H-zin Interpretatie en Classificatie</w:t>
      </w:r>
    </w:p>
    <w:p>
      <w:pPr>
        <w:pStyle w:val="Heading3"/>
      </w:pPr>
      <w:r>
        <w:rPr>
          <w:b/>
          <w:color w:val="003366"/>
          <w:sz w:val="32"/>
        </w:rPr>
        <w:t>2.1 Belangrijkste H-zinnen voor Phoenix Metals</w:t>
      </w:r>
    </w:p>
    <w:p>
      <w:r>
        <w:rPr>
          <w:rFonts w:ascii="Calibri" w:hAnsi="Calibri"/>
          <w:color w:val="1F2937"/>
          <w:sz w:val="22"/>
        </w:rPr>
        <w:t>| H-zin | Betekenis | Gevarencategorie | Impact op opslag |</w:t>
        <w:br/>
        <w:t>|-------|-----------|------------------|------------------|</w:t>
        <w:br/>
        <w:t>| H314 | Veroorzaakt ernstige brandwonden en oogletsel | Skin Corr. 1A/1B | ADR 8, basisveiligheidsniveau |</w:t>
        <w:br/>
        <w:t>| H315 | Veroorzaakt huidirritatie | Skin Irrit. 2 | Geen PGS 15-impact |</w:t>
        <w:br/>
        <w:t>| H318 | Veroorzaakt ernstig oogletsel | Eye Dam. 1 | Geen specifiek niveau |</w:t>
        <w:br/>
        <w:t>| H319 | Veroorzaakt oogirritatie | Eye Irrit. 2 | Geen PGS 15-impact |</w:t>
        <w:br/>
        <w:t>| H330 | Dodelijk bij inademing | Acute Tox. 2 | **C-niveau vanaf 1 kg** |</w:t>
        <w:br/>
        <w:t>| H335 | Kan luchtwegen irriteren | STOT SE 3 | Geen specifiek niveau |</w:t>
        <w:br/>
        <w:t>| H350i | Kan kanker veroorzaken bij inademing | Carc. 1B | **CMR — extra maatregelen** |</w:t>
        <w:br/>
        <w:t>| H361fd | Vermoedelijk schadelijk voor vruchtbaarheid | Repr. 2 | CMR — extra maatregelen |</w:t>
        <w:br/>
        <w:t>| H372 | Veroorzaakt schade aan organen bij langdurige blootstelling | STOT RE 1 | Geen specifiek niveau |</w:t>
        <w:br/>
        <w:t>| H302 | Schadelijk bij inslikken | Acute Tox. 4 | Geen PGS 15-niveau (cat. 4 valt buiten) |</w:t>
        <w:br/>
        <w:t>| H312 | Schadelijk bij contact met de huid | Acute Tox. 4 | Geen PGS 15-niveau |</w:t>
      </w:r>
    </w:p>
    <w:p>
      <w:pPr>
        <w:pStyle w:val="Heading3"/>
      </w:pPr>
      <w:r>
        <w:rPr>
          <w:b/>
          <w:color w:val="003366"/>
          <w:sz w:val="32"/>
        </w:rPr>
        <w:t>2.2 H-zin → Opslagniveau vertaling</w:t>
      </w:r>
    </w:p>
    <w:p>
      <w:r>
        <w:rPr>
          <w:rFonts w:ascii="Calibri" w:hAnsi="Calibri"/>
          <w:color w:val="1F2937"/>
          <w:sz w:val="22"/>
        </w:rPr>
        <w:t>| H-zin categorie | Niveau vanaf ondergrens |</w:t>
        <w:br/>
        <w:t>|----------------|------------------------|</w:t>
        <w:br/>
        <w:t>| H330, H310, H300 (Acute Tox. 1/2) | **C-niveau** |</w:t>
        <w:br/>
        <w:t>| H331, H311, H301 (Acute Tox. 3) | **C-niveau** |</w:t>
        <w:br/>
        <w:t>| H350, H350i, H340 (Carc./Mut. 1A/1B) | Via ADR-route, anders basis + CMR-maatregelen |</w:t>
        <w:br/>
        <w:t>| H360, H360f, H360Fd (Repr. 1A/1B) | Via ADR-route, anders basis + CMR-maatregelen |</w:t>
        <w:br/>
        <w:t>| H314 (Skin Corr. 1A/1B) | ADR 8 → basisveiligheidsniveau (indien onbrandbaar)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3. Niveaubepaling per Stof — Phoenix Metals Voorbeelden</w:t>
      </w:r>
    </w:p>
    <w:p>
      <w:pPr>
        <w:pStyle w:val="Heading3"/>
      </w:pPr>
      <w:r>
        <w:rPr>
          <w:b/>
          <w:color w:val="003366"/>
          <w:sz w:val="32"/>
        </w:rPr>
        <w:t>Voorbeeld 1: Sodium hydroxide 50% oplossing</w:t>
        <w:br/>
        <w:t>- **ADR**: 8 / II → Ondergrens 250 kg → Hoeveelheid 120 kg → **Onder ondergrens (individueel)**</w:t>
        <w:br/>
        <w:t>- **CLP**: Skin Corr. 1A (H314) → Geen CMR, geen Acute Tox. → Geen CLP-route</w:t>
        <w:br/>
        <w:t>- **Resultaat**: Basisveiligheidsniveau (bijdragend aan ADR 8 aggregaat)</w:t>
      </w:r>
    </w:p>
    <w:p>
      <w:pPr>
        <w:pStyle w:val="Heading3"/>
      </w:pPr>
      <w:r>
        <w:rPr>
          <w:b/>
          <w:color w:val="003366"/>
          <w:sz w:val="32"/>
        </w:rPr>
        <w:t>Voorbeeld 2: Sulfuric acid 75% oplossing</w:t>
        <w:br/>
        <w:t>- **ADR**: 8 / II → Ondergrens 250 kg → Hoeveelheid 50 kg → Onder ondergrens</w:t>
        <w:br/>
        <w:t>- **CLP**: Skin Corr. 1A (H314) → Geen CMR, geen Acute Tox.</w:t>
        <w:br/>
        <w:t>- **Resultaat**: Basisveiligheidsniveau</w:t>
      </w:r>
    </w:p>
    <w:p>
      <w:pPr>
        <w:pStyle w:val="Heading3"/>
      </w:pPr>
      <w:r>
        <w:rPr>
          <w:b/>
          <w:color w:val="003366"/>
          <w:sz w:val="32"/>
        </w:rPr>
        <w:t>Voorbeeld 3: Vanadium(V) oxide (V₂O₅) — ⚠️ KRITIEK</w:t>
        <w:br/>
        <w:t>- **ADR**: 6.1 / II → Ondergrens 50 kg</w:t>
        <w:br/>
        <w:t>- **CLP Acute Tox. 2 (H330)**: Ondergrens **1 kg** → C-niveau</w:t>
        <w:br/>
        <w:t>- **CLP Carc. 1B (H350i)**: CMR, ondergrens 25 kg → via ADR-route</w:t>
        <w:br/>
        <w:t>- **Resultaat**: **C-niveau vanaf 1 kg** — dit bepaalt het opslagniveau voor de hele locatie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4. Gebruik PGS 15 Scanner Tool</w:t>
      </w:r>
    </w:p>
    <w:p>
      <w:pPr>
        <w:pStyle w:val="Heading3"/>
      </w:pPr>
      <w:r>
        <w:rPr>
          <w:b/>
          <w:color w:val="003366"/>
          <w:sz w:val="32"/>
        </w:rPr>
        <w:t>4.1 Doel</w:t>
        <w:br/>
        <w:t>De PGS 15 Scanner tool automatiseert de niveaubepaling op basis van ingevoerde stofdata (CAS, ADR, CLP, hoeveelheid).</w:t>
      </w:r>
    </w:p>
    <w:p>
      <w:pPr>
        <w:pStyle w:val="Heading3"/>
      </w:pPr>
      <w:r>
        <w:rPr>
          <w:b/>
          <w:color w:val="003366"/>
          <w:sz w:val="32"/>
        </w:rPr>
        <w:t>4.2 Stappen</w:t>
        <w:br/>
        <w:t>1. Open de PGS 15 Scanner (URL: [in te vullen])</w:t>
        <w:br/>
        <w:t>2. Voer per stof in: CAS-nummer, productnaam, ADR-klasse, VG, H-zinnen, hoeveelheid (kg)</w:t>
        <w:br/>
        <w:t>3. De tool berekent automatisch:</w:t>
        <w:br/>
        <w:t xml:space="preserve">   - Ondergrens toetsing (Tabel 2)</w:t>
        <w:br/>
        <w:t xml:space="preserve">   - ADR-route niveau (Tabel 6)</w:t>
        <w:br/>
        <w:t xml:space="preserve">   - CLP-route niveau (Tabel 6)</w:t>
        <w:br/>
        <w:t xml:space="preserve">   - Aggregatie per klasse</w:t>
        <w:br/>
        <w:t xml:space="preserve">   - Strengste niveau (bepaald opslagniveau)</w:t>
        <w:br/>
        <w:t>4. Resultaat wordt opgeslagen als JSON (compatibel met scanner_compliance_data_v1.0.json)</w:t>
      </w:r>
    </w:p>
    <w:p>
      <w:pPr>
        <w:pStyle w:val="Heading3"/>
      </w:pPr>
      <w:r>
        <w:rPr>
          <w:b/>
          <w:color w:val="003366"/>
          <w:sz w:val="32"/>
        </w:rPr>
        <w:t>4.3 Data-import</w:t>
        <w:br/>
        <w:t>De scanner data (zie deliverable 11: `scanner_compliance_data_v1.0.json`) kan direct worden geïmporteerd met alle Phoenix Metals stoffen.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5. Checklist Nieuwe Stof</w:t>
      </w:r>
    </w:p>
    <w:p>
      <w:r>
        <w:rPr>
          <w:rFonts w:ascii="Calibri" w:hAnsi="Calibri"/>
          <w:color w:val="1F2937"/>
          <w:sz w:val="22"/>
        </w:rPr>
        <w:t>| # | Controle | ✅/❌ |</w:t>
        <w:br/>
        <w:t>|---|---------|-------|</w:t>
        <w:br/>
        <w:t>| 1 | SDS ontvangen en beoordeeld | ☐ |</w:t>
        <w:br/>
        <w:t>| 2 | HSE Chemical Request Form ingevuld | ☐ |</w:t>
        <w:br/>
        <w:t>| 3 | ADR-klasse + VG bepaald | ☐ |</w:t>
        <w:br/>
        <w:t>| 4 | H-zinnen geïdentificeerd | ☐ |</w:t>
        <w:br/>
        <w:t>| 5 | CMR-status gecontroleerd | ☐ |</w:t>
        <w:br/>
        <w:t>| 6 | Acute Tox. categorie gecontroleerd | ☐ |</w:t>
        <w:br/>
        <w:t>| 7 | Ondergrens Tabel 2 gecontroleerd | ☐ |</w:t>
        <w:br/>
        <w:t>| 8 | Niveaubepaling uitgevoerd | ☐ |</w:t>
        <w:br/>
        <w:t>| 9 | Scheidingstabel geraadpleegd | ☐ |</w:t>
        <w:br/>
        <w:t>| 10 | Opslagvak toegewezen | ☐ |</w:t>
        <w:br/>
        <w:t>| 11 | Stoffenregistratie bijgewerkt | ☐ |</w:t>
        <w:br/>
        <w:t>| 12 | Etikettering gecontroleerd | ☐ |</w:t>
        <w:br/>
        <w:t>| 13 | PBM's bepaald | ☐ |</w:t>
      </w:r>
    </w:p>
    <w:p>
      <w:r>
        <w:rPr>
          <w:rFonts w:ascii="Calibri" w:hAnsi="Calibri"/>
          <w:color w:val="1F2937"/>
          <w:sz w:val="22"/>
        </w:rPr>
        <w:t>---</w:t>
      </w:r>
    </w:p>
    <w:p>
      <w:r>
        <w:rPr>
          <w:rFonts w:ascii="Calibri" w:hAnsi="Calibri"/>
          <w:color w:val="1F2937"/>
          <w:sz w:val="22"/>
        </w:rPr>
        <w:t>*Werkinstructie Opslag &amp; H-zin Beheer v1.0 — Phoenix Metals — 27 april 2026*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jc w:val="center"/>
    </w:pPr>
    <w:r>
      <w:t>Phoenix Metals | werkinstructie_opslag_hzinnen_v1.0_v1.0 | 27 april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ing1"/>
      <w:jc w:val="left"/>
    </w:pPr>
    <w:r>
      <w:t>Werkinstructie — werkinstructie_opslag_hzinnen_v1.0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Werkinstructie - werkinstructie_opslag_hzinnen_v1.0</dc:title>
  <dc:subject/>
  <dc:creator>JvG Consultancy via Kas</dc:creator>
  <cp:keywords/>
  <dc:description>generated by python-docx</dc:description>
  <cp:lastModifiedBy/>
  <cp:revision>1</cp:revision>
  <dcterms:created xsi:type="dcterms:W3CDTF">2026-04-28T07:29:32Z</dcterms:created>
  <dcterms:modified xsi:type="dcterms:W3CDTF">2013-12-23T23:15:00Z</dcterms:modified>
  <cp:category/>
</cp:coreProperties>
</file>