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color w:val="003366"/>
          <w:sz w:val="44"/>
        </w:rPr>
        <w:t>PGS 15:2025 Niveaubepaling Rapport — Phoenix Metals</w:t>
      </w:r>
    </w:p>
    <w:p>
      <w:r>
        <w:rPr>
          <w:rFonts w:ascii="Calibri" w:hAnsi="Calibri"/>
          <w:color w:val="1F2937"/>
          <w:sz w:val="22"/>
        </w:rPr>
        <w:t xml:space="preserve">**Versie**: 1.0  </w:t>
        <w:br/>
        <w:t xml:space="preserve">**Datum**: 27 april 2026  </w:t>
        <w:br/>
        <w:t xml:space="preserve">**Gebaseerd op**: Niveaubepaling v2.0  </w:t>
        <w:br/>
        <w:t>**Status**: CONCEPT — vereist bevestiging hoeveelheden door Phoenix Metals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1. Inleiding</w:t>
      </w:r>
    </w:p>
    <w:p>
      <w:pPr>
        <w:pStyle w:val="Heading3"/>
      </w:pPr>
      <w:r>
        <w:rPr>
          <w:b/>
          <w:color w:val="003366"/>
          <w:sz w:val="32"/>
        </w:rPr>
        <w:t>1.1 Doel</w:t>
        <w:br/>
        <w:t>Dit rapport documenteert de niveaubepaling conform PGS 15:2025 Tabel 6 voor de opslag van gevaarlijke stoffen bij Phoenix Metals, locatie Tata Steel terrein, IJmuiden.</w:t>
      </w:r>
    </w:p>
    <w:p>
      <w:pPr>
        <w:pStyle w:val="Heading3"/>
      </w:pPr>
      <w:r>
        <w:rPr>
          <w:b/>
          <w:color w:val="003366"/>
          <w:sz w:val="32"/>
        </w:rPr>
        <w:t>1.2 Methodiek</w:t>
        <w:br/>
        <w:t>- Per stof: ADR-route en CLP-route onafhankelijk bepalen</w:t>
        <w:br/>
        <w:t>- Per ADR-klasse: aggregatie van hoeveelheden</w:t>
        <w:br/>
        <w:t>- Strengste niveau over alle routes is het bepaalde opslagniveau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2. Stoffenlijst met Classificatie</w:t>
      </w:r>
    </w:p>
    <w:p>
      <w:pPr>
        <w:pStyle w:val="Heading3"/>
      </w:pPr>
      <w:r>
        <w:rPr>
          <w:b/>
          <w:color w:val="003366"/>
          <w:sz w:val="32"/>
        </w:rPr>
        <w:t>2.1 ADR-geclassificeerde stoffen</w:t>
      </w:r>
    </w:p>
    <w:p>
      <w:r>
        <w:rPr>
          <w:rFonts w:ascii="Calibri" w:hAnsi="Calibri"/>
          <w:color w:val="1F2937"/>
          <w:sz w:val="22"/>
        </w:rPr>
        <w:t>| # | Stof | CAS | ADR | VG | Vorm | Hoeveelheid | Gewicht | CLP extra |</w:t>
        <w:br/>
        <w:t>|---|------|-----|-----|-----|------|-------------|---------|-----------|</w:t>
        <w:br/>
        <w:t>| 1 | Sodium hydroxide 50% | 1310-73-2 | 8 | II | Vloeistof | 100 L | ~120 kg | Skin Corr. 1A |</w:t>
        <w:br/>
        <w:t>| 2 | Sulfuric acid 75% | 7664-93-9 | 8 | II | Vloeistof | 30 L | ~50 kg | Skin Corr. 1A |</w:t>
        <w:br/>
        <w:t>| 3 | Sulfuric acid 50% | 7664-93-9 | 8 | II | Vloeistof | 70 L | ~110 kg | Skin Corr. 1A |</w:t>
        <w:br/>
        <w:t>| 4 | Sulfuric acid 25% | 7664-93-9 | 8 | II | Vloeistof | 100 L | ~120 kg | Skin Corr. 1A |</w:t>
        <w:br/>
        <w:t>| 5 | Calcium oxide | 1305-78-8 | 8 | III¹ | Vast | 10 kg | 10 kg | Skin Corr. 1B, STOT SE 3 |</w:t>
        <w:br/>
        <w:t>| 6 | **Vanadium(V) oxide** | 1314-62-1 | **6.1** | **II** | Vast | **TBV** | **TBV** | **Carc. 1B, Acute Tox. 2, Repr. 2** |</w:t>
      </w:r>
    </w:p>
    <w:p>
      <w:r>
        <w:rPr>
          <w:rFonts w:ascii="Calibri" w:hAnsi="Calibri"/>
          <w:color w:val="1F2937"/>
          <w:sz w:val="22"/>
        </w:rPr>
        <w:t>¹ CaO: in registratie als N/A, aangenomen ADR 8 VG III (UN 1910).</w:t>
      </w:r>
    </w:p>
    <w:p>
      <w:pPr>
        <w:pStyle w:val="Heading3"/>
      </w:pPr>
      <w:r>
        <w:rPr>
          <w:b/>
          <w:color w:val="003366"/>
          <w:sz w:val="32"/>
        </w:rPr>
        <w:t>2.2 Niet-ADR-geclassificeerde stoffen</w:t>
      </w:r>
    </w:p>
    <w:p>
      <w:r>
        <w:rPr>
          <w:rFonts w:ascii="Calibri" w:hAnsi="Calibri"/>
          <w:color w:val="1F2937"/>
          <w:sz w:val="22"/>
        </w:rPr>
        <w:t>| # | Stof | CAS | CLP | PGS 15 relevantie |</w:t>
        <w:br/>
        <w:t>|---|------|-----|-----|-------------------|</w:t>
        <w:br/>
        <w:t>| 7 | Aluminiumsulfaat octadecahydraat | 7784-31-8 | H319 | Geen (geen ADR, geen CMR, geen Acute Tox.) |</w:t>
        <w:br/>
        <w:t>| 8 | Vanadium(IV) sulfaat oplossing | N/A | TBV | TBV — mogelijk ADR 6.1 |</w:t>
        <w:br/>
        <w:t>| 9 | Vanadium elektrolyt (V³·⁵⁺) | N/A | TBV | TBV — mogelijk ADR 6.1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3. ADR-route Berekeningen</w:t>
      </w:r>
    </w:p>
    <w:p>
      <w:pPr>
        <w:pStyle w:val="Heading3"/>
      </w:pPr>
      <w:r>
        <w:rPr>
          <w:b/>
          <w:color w:val="003366"/>
          <w:sz w:val="32"/>
        </w:rPr>
        <w:t>3.1 ADR-klasse 8 — Bijtende stoffen</w:t>
      </w:r>
    </w:p>
    <w:p>
      <w:r>
        <w:rPr>
          <w:rFonts w:ascii="Calibri" w:hAnsi="Calibri"/>
          <w:color w:val="1F2937"/>
          <w:sz w:val="22"/>
        </w:rPr>
        <w:t>**Stoffen**:</w:t>
        <w:br/>
        <w:t>| Stof | VG | Gewicht (kg) | Onbrandbaar |</w:t>
        <w:br/>
        <w:t>|------|-----|-------------|-------------|</w:t>
        <w:br/>
        <w:t>| NaOH 50% | II | 120 | Ja |</w:t>
        <w:br/>
        <w:t>| H₂SO₄ 75% | II | 50 | Ja |</w:t>
        <w:br/>
        <w:t>| H₂SO₄ 50% | II | 110 | Ja |</w:t>
        <w:br/>
        <w:t>| H₂SO₄ 25% | II | 120 | Ja |</w:t>
        <w:br/>
        <w:t>| CaO | III | 10 | Ja |</w:t>
        <w:br/>
        <w:t>| **Totaal** | | **410** | |</w:t>
      </w:r>
    </w:p>
    <w:p>
      <w:r>
        <w:rPr>
          <w:rFonts w:ascii="Calibri" w:hAnsi="Calibri"/>
          <w:color w:val="1F2937"/>
          <w:sz w:val="22"/>
        </w:rPr>
        <w:t>**Toetsing Tabel 6**: ADR 8 VG II+III, onbrandbaar, geen Acute Tox. → **Basisveiligheidsniveau** (voetnoot c)</w:t>
      </w:r>
    </w:p>
    <w:p>
      <w:r>
        <w:rPr>
          <w:rFonts w:ascii="Calibri" w:hAnsi="Calibri"/>
          <w:color w:val="1F2937"/>
          <w:sz w:val="22"/>
        </w:rPr>
        <w:t>**Ondergrens Tabel 2**: ADR 8 VG II/III → 250 kg. Geaggregeerd 410 kg &gt; 250 kg → boven ondergrens, maar voetnoot c blijft van toepassing (onbrandbaar).</w:t>
      </w:r>
    </w:p>
    <w:p>
      <w:r>
        <w:rPr>
          <w:rFonts w:ascii="Calibri" w:hAnsi="Calibri"/>
          <w:color w:val="1F2937"/>
          <w:sz w:val="22"/>
        </w:rPr>
        <w:t>**Conclusie ADR 8**: Basisveiligheidsniveau</w:t>
      </w:r>
    </w:p>
    <w:p>
      <w:pPr>
        <w:pStyle w:val="Heading3"/>
      </w:pPr>
      <w:r>
        <w:rPr>
          <w:b/>
          <w:color w:val="003366"/>
          <w:sz w:val="32"/>
        </w:rPr>
        <w:t>3.2 ADR-klasse 6.1 — Giftige stoffen</w:t>
      </w:r>
    </w:p>
    <w:p>
      <w:r>
        <w:rPr>
          <w:rFonts w:ascii="Calibri" w:hAnsi="Calibri"/>
          <w:color w:val="1F2937"/>
          <w:sz w:val="22"/>
        </w:rPr>
        <w:t>**Stoffen**:</w:t>
        <w:br/>
        <w:t>| Stof | VG | Gewicht (kg) |</w:t>
        <w:br/>
        <w:t>|------|-----|-------------|</w:t>
        <w:br/>
        <w:t>| V₂O₅ | II | TBV (verwacht: &gt;1 kg) |</w:t>
      </w:r>
    </w:p>
    <w:p>
      <w:r>
        <w:rPr>
          <w:rFonts w:ascii="Calibri" w:hAnsi="Calibri"/>
          <w:color w:val="1F2937"/>
          <w:sz w:val="22"/>
        </w:rPr>
        <w:t>**Toetsing Tabel 6**:</w:t>
        <w:br/>
        <w:t>- ADR 6.1 VG II, &lt;10 ton → **C-niveau** (Wbdbo 60 min)</w:t>
        <w:br/>
        <w:t>- ADR 6.1 VG II, &lt;20 ton → C-niveau (Wbdbo 90 min)</w:t>
        <w:br/>
        <w:t>- ADR 6.1 VG II, &gt;20 ton → A-niveau</w:t>
      </w:r>
    </w:p>
    <w:p>
      <w:r>
        <w:rPr>
          <w:rFonts w:ascii="Calibri" w:hAnsi="Calibri"/>
          <w:color w:val="1F2937"/>
          <w:sz w:val="22"/>
        </w:rPr>
        <w:t>**Ondergrens Tabel 2**: ADR 6.1 VG II → 50 kg</w:t>
      </w:r>
    </w:p>
    <w:p>
      <w:r>
        <w:rPr>
          <w:rFonts w:ascii="Calibri" w:hAnsi="Calibri"/>
          <w:color w:val="1F2937"/>
          <w:sz w:val="22"/>
        </w:rPr>
        <w:t>**Conclusie ADR 6.1**: C-niveau (bij &lt;10 ton V₂O₅)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4. CLP-route Berekeningen</w:t>
      </w:r>
    </w:p>
    <w:p>
      <w:pPr>
        <w:pStyle w:val="Heading3"/>
      </w:pPr>
      <w:r>
        <w:rPr>
          <w:b/>
          <w:color w:val="003366"/>
          <w:sz w:val="32"/>
        </w:rPr>
        <w:t>4.1 Acute Toxiciteit Cat. 2 — V₂O₅ (H330)</w:t>
      </w:r>
    </w:p>
    <w:p>
      <w:r>
        <w:rPr>
          <w:rFonts w:ascii="Calibri" w:hAnsi="Calibri"/>
          <w:color w:val="1F2937"/>
          <w:sz w:val="22"/>
        </w:rPr>
        <w:t>| Parameter | Waarde |</w:t>
        <w:br/>
        <w:t>|-----------|--------|</w:t>
        <w:br/>
        <w:t>| Stof | Vanadium(V) oxide |</w:t>
        <w:br/>
        <w:t>| H-zin | H330 — Dodelijk bij inademing |</w:t>
        <w:br/>
        <w:t>| Categorie | Acute Tox. Cat. 2 |</w:t>
        <w:br/>
        <w:t>| Ondergrens Tabel 2 | 1 kg |</w:t>
        <w:br/>
        <w:t>| Verwachte opslag | &gt;1 kg |</w:t>
        <w:br/>
        <w:t>| Tabel 6 CLP Acute Tox. 2, &lt;10 ton | **C-niveau** (Wbdbo 60 min) |</w:t>
        <w:br/>
        <w:t>| Tabel 6 CLP Acute Tox. 2, &gt;10 ton | A-niveau |</w:t>
      </w:r>
    </w:p>
    <w:p>
      <w:r>
        <w:rPr>
          <w:rFonts w:ascii="Calibri" w:hAnsi="Calibri"/>
          <w:color w:val="1F2937"/>
          <w:sz w:val="22"/>
        </w:rPr>
        <w:t>**Conclusie CLP Acute Tox. 2**: C-niveau (bij &lt;10 ton V₂O₅). **Drempel A-niveau bij 10 ton** (via CLP Acute Tox. 2).</w:t>
      </w:r>
    </w:p>
    <w:p>
      <w:pPr>
        <w:pStyle w:val="Heading3"/>
      </w:pPr>
      <w:r>
        <w:rPr>
          <w:b/>
          <w:color w:val="003366"/>
          <w:sz w:val="32"/>
        </w:rPr>
        <w:t>4.2 CMR Cat. 1B — V₂O₅ (H350i)</w:t>
      </w:r>
    </w:p>
    <w:p>
      <w:r>
        <w:rPr>
          <w:rFonts w:ascii="Calibri" w:hAnsi="Calibri"/>
          <w:color w:val="1F2937"/>
          <w:sz w:val="22"/>
        </w:rPr>
        <w:t>| Parameter | Waarde |</w:t>
        <w:br/>
        <w:t>|-----------|--------|</w:t>
        <w:br/>
        <w:t>| Stof | Vanadium(V) oxide |</w:t>
        <w:br/>
        <w:t>| H-zin | H350i — Kan kanker veroorzaken bij inademing |</w:t>
        <w:br/>
        <w:t>| Categorie | Carc. 1B |</w:t>
        <w:br/>
        <w:t>| Ondergrens Tabel 2 | 25 kg (poeder) |</w:t>
        <w:br/>
        <w:t>| Heeft ADR-classificatie? | Ja (6.1 VG II) → ADR-route prevaleert |</w:t>
      </w:r>
    </w:p>
    <w:p>
      <w:r>
        <w:rPr>
          <w:rFonts w:ascii="Calibri" w:hAnsi="Calibri"/>
          <w:color w:val="1F2937"/>
          <w:sz w:val="22"/>
        </w:rPr>
        <w:t>**Conclusie CMR**: V₂O₅ wordt via de ADR-route beoordeeld (Tabel 6). Aanvullende arbo-maatregelen (AI-06) verplicht.</w:t>
      </w:r>
    </w:p>
    <w:p>
      <w:pPr>
        <w:pStyle w:val="Heading3"/>
      </w:pPr>
      <w:r>
        <w:rPr>
          <w:b/>
          <w:color w:val="003366"/>
          <w:sz w:val="32"/>
        </w:rPr>
        <w:t>4.3 Acute Toxiciteit Cat. 4 — V₂O₅ (H302+H312)</w:t>
      </w:r>
    </w:p>
    <w:p>
      <w:r>
        <w:rPr>
          <w:rFonts w:ascii="Calibri" w:hAnsi="Calibri"/>
          <w:color w:val="1F2937"/>
          <w:sz w:val="22"/>
        </w:rPr>
        <w:t>Niet van toepassing — Cat. 4 valt buiten PGS 15 Tabel 2 ondergrenzen.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5. Aggregatie per Klasse</w:t>
      </w:r>
    </w:p>
    <w:p>
      <w:pPr>
        <w:pStyle w:val="Heading3"/>
      </w:pPr>
      <w:r>
        <w:rPr>
          <w:b/>
          <w:color w:val="003366"/>
          <w:sz w:val="32"/>
        </w:rPr>
        <w:t>5.1 Samenvatting</w:t>
      </w:r>
    </w:p>
    <w:p>
      <w:r>
        <w:rPr>
          <w:rFonts w:ascii="Calibri" w:hAnsi="Calibri"/>
          <w:color w:val="1F2937"/>
          <w:sz w:val="22"/>
        </w:rPr>
        <w:t>| Route | Stofklasse | Resultaat |</w:t>
        <w:br/>
        <w:t>|-------|-----------|-----------|</w:t>
        <w:br/>
        <w:t>| ADR 8 | Bijtend, onbrandbaar | Basisveiligheidsniveau |</w:t>
        <w:br/>
        <w:t>| ADR 6.1 | Giftig (V₂O₅) | **C-niveau** |</w:t>
        <w:br/>
        <w:t>| CLP Acute Tox. 2 | V₂O₅ (H330) | **C-niveau** |</w:t>
        <w:br/>
        <w:t>| CLP CMR 1B | V₂O₅ (H350i) | Via ADR 6.1 route |</w:t>
        <w:br/>
        <w:t>| Catch-all (~415 kg) | &lt;1.000 kg | Niet van toepassing |</w:t>
      </w:r>
    </w:p>
    <w:p>
      <w:pPr>
        <w:pStyle w:val="Heading3"/>
      </w:pPr>
      <w:r>
        <w:rPr>
          <w:b/>
          <w:color w:val="003366"/>
          <w:sz w:val="32"/>
        </w:rPr>
        <w:t>5.2 Catch-all controle</w:t>
        <w:br/>
        <w:t xml:space="preserve">Totaal bekende gevaarlijke stoffen: ~415 kg (+ V₂O₅ TBV).  </w:t>
        <w:br/>
        <w:t xml:space="preserve">Catch-all drempel: 1.000 kg.  </w:t>
        <w:br/>
        <w:t>Bij &lt;585 kg V₂O₅: catch-all niet van toepassing (maar C-niveau al vereist via CLP/AOA 6.1).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6. Conclusie: C-niveau</w:t>
      </w:r>
    </w:p>
    <w:p>
      <w:pPr>
        <w:pStyle w:val="Heading3"/>
      </w:pPr>
      <w:r>
        <w:rPr>
          <w:b/>
          <w:color w:val="003366"/>
          <w:sz w:val="32"/>
        </w:rPr>
        <w:t>6.1 Bepaald Opslagniveau</w:t>
        <w:br/>
        <w:t>**C-NIVEAU** (Wbdbo 60 minuten)</w:t>
      </w:r>
    </w:p>
    <w:p>
      <w:pPr>
        <w:pStyle w:val="Heading3"/>
      </w:pPr>
      <w:r>
        <w:rPr>
          <w:b/>
          <w:color w:val="003366"/>
          <w:sz w:val="32"/>
        </w:rPr>
        <w:t>6.2 Argumentatie</w:t>
        <w:br/>
        <w:t>V₂O₅ is de dominante factor. Onafhankelijke routes leiden beiden tot C-niveau:</w:t>
        <w:br/>
        <w:t>1. **ADR-route**: ADR 6.1 VG II → C-niveau bij &lt;10 ton</w:t>
        <w:br/>
        <w:t>2. **CLP-route**: Acute Tox. Cat. 2 (H330) → C-niveau bij &lt;10 ton</w:t>
      </w:r>
    </w:p>
    <w:p>
      <w:r>
        <w:rPr>
          <w:rFonts w:ascii="Calibri" w:hAnsi="Calibri"/>
          <w:color w:val="1F2937"/>
          <w:sz w:val="22"/>
        </w:rPr>
        <w:t>Beide routes zijn onafhankelijk en beiden resulteren in C-niveau. Het strengste niveau (C) is het bepaalde opslagniveau.</w:t>
      </w:r>
    </w:p>
    <w:p>
      <w:pPr>
        <w:pStyle w:val="Heading3"/>
      </w:pPr>
      <w:r>
        <w:rPr>
          <w:b/>
          <w:color w:val="003366"/>
          <w:sz w:val="32"/>
        </w:rPr>
        <w:t>6.3 Verplichte constructieve eisen C-niveau</w:t>
      </w:r>
    </w:p>
    <w:p>
      <w:r>
        <w:rPr>
          <w:rFonts w:ascii="Calibri" w:hAnsi="Calibri"/>
          <w:color w:val="1F2937"/>
          <w:sz w:val="22"/>
        </w:rPr>
        <w:t>| Eis | Vereiste | PGS 15 referentie |</w:t>
        <w:br/>
        <w:t>|-----|----------|-------------------|</w:t>
        <w:br/>
        <w:t>| Weerstand branddoorgang/overslag | 60 minuten | Tabel 6 |</w:t>
        <w:br/>
        <w:t>| Branddetectiesysteem | NEN 2535 | M103 |</w:t>
        <w:br/>
        <w:t>| Brandwerende constructie | Wanden ≥60 min Wbdbo | Doel D7 |</w:t>
        <w:br/>
        <w:t>| Productopvang | Grootste individuele vak | Tabel 8 |</w:t>
        <w:br/>
        <w:t>| Basisveiligheidsniveau | Volledig van toepassing | §7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7. Schaalniveaus</w:t>
      </w:r>
    </w:p>
    <w:p>
      <w:pPr>
        <w:pStyle w:val="Heading3"/>
      </w:pPr>
      <w:r>
        <w:rPr>
          <w:b/>
          <w:color w:val="003366"/>
          <w:sz w:val="32"/>
        </w:rPr>
        <w:t>7.1 Wanneer naar A-niveau?</w:t>
      </w:r>
    </w:p>
    <w:p>
      <w:r>
        <w:rPr>
          <w:rFonts w:ascii="Calibri" w:hAnsi="Calibri"/>
          <w:color w:val="1F2937"/>
          <w:sz w:val="22"/>
        </w:rPr>
        <w:t>| V₂O₅ opslag | ADR 6.1 VG II | CLP Acute Tox. 2 | Resultaat |</w:t>
        <w:br/>
        <w:t>|-------------|---------------|------------------|-----------|</w:t>
        <w:br/>
        <w:t>| 0 kg | Niet van toepassing | Niet van toepassing | Basis¹ |</w:t>
        <w:br/>
        <w:t>| 1 – 1.000 kg | C (60 min) | C (60 min) | **C** |</w:t>
        <w:br/>
        <w:t>| 1.000 – 10.000 kg | C (60 min) | C (60 min) | **C** |</w:t>
        <w:br/>
        <w:t>| 10.000 – 20.000 kg | C (90 min) | **A** (aut. blussing) | **A** |</w:t>
        <w:br/>
        <w:t>| &gt;20.000 kg | A | A | **A** |</w:t>
      </w:r>
    </w:p>
    <w:p>
      <w:r>
        <w:rPr>
          <w:rFonts w:ascii="Calibri" w:hAnsi="Calibri"/>
          <w:color w:val="1F2937"/>
          <w:sz w:val="22"/>
        </w:rPr>
        <w:t>¹ Alleen als V₂O₅ NIET op locatie wordt opgeslagen. Bij ADR 8 aggregaat 410 kg blijft het op basisniveau.</w:t>
      </w:r>
    </w:p>
    <w:p>
      <w:pPr>
        <w:pStyle w:val="Heading3"/>
      </w:pPr>
      <w:r>
        <w:rPr>
          <w:b/>
          <w:color w:val="003366"/>
          <w:sz w:val="32"/>
        </w:rPr>
        <w:t>7.2 Monitoring</w:t>
        <w:br/>
        <w:t>Phoenix Metals dient de V₂O₅ opslaghoeveelheid structureel te monitoren. Bij overschrijding van 10.000 kg moet worden opgeschaald naar A-niveau (automatische blussing).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8. Aannames en Onzekerheden</w:t>
      </w:r>
    </w:p>
    <w:p>
      <w:r>
        <w:rPr>
          <w:rFonts w:ascii="Calibri" w:hAnsi="Calibri"/>
          <w:color w:val="1F2937"/>
          <w:sz w:val="22"/>
        </w:rPr>
        <w:t>| # | Aanname | Impact | Actie |</w:t>
        <w:br/>
        <w:t>|---|---------|--------|-------|</w:t>
        <w:br/>
        <w:t>| 1 | V₂O₅ wordt opgeslagen op locatie | HOOG — bepaalt C vs Basis | Bevestig opslag ja/nee |</w:t>
        <w:br/>
        <w:t>| 2 | V₂O₅ hoeveelheid &lt;10 ton | HOOG — bepaalt C vs A | Bevestig maximale hoeveelheid |</w:t>
        <w:br/>
        <w:t>| 3 | Geen brandstoffen op locatie | HOOG — ADR 3 verandert niveau | Inventariseer brandstoffen |</w:t>
        <w:br/>
        <w:t>| 4 | CaO = ADR 8 VG III | LAAG — 10 kg | Verifieer SDS |</w:t>
        <w:br/>
        <w:t>| 5 | V(IV) sulfaat = geen significant ADR | MIDDEN — bij ADR 6.1 versterkt C | Verkrijg SDS |</w:t>
      </w:r>
    </w:p>
    <w:p>
      <w:r>
        <w:rPr>
          <w:rFonts w:ascii="Calibri" w:hAnsi="Calibri"/>
          <w:color w:val="1F2937"/>
          <w:sz w:val="22"/>
        </w:rPr>
        <w:t>---</w:t>
      </w:r>
    </w:p>
    <w:p>
      <w:r>
        <w:rPr>
          <w:rFonts w:ascii="Calibri" w:hAnsi="Calibri"/>
          <w:color w:val="1F2937"/>
          <w:sz w:val="22"/>
        </w:rPr>
        <w:t>*PGS 15:2025 Niveaubepaling Rapport v1.0 — Phoenix Metals — 27 april 2026*</w:t>
      </w:r>
    </w:p>
    <w:p>
      <w:r>
        <w:br w:type="page"/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jc w:val="center"/>
    </w:pPr>
    <w:r>
      <w:t>Phoenix Metals | niveaubepaling_rapport_v1.0_v1.0 | 27 april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ing1"/>
      <w:jc w:val="left"/>
    </w:pPr>
    <w:r>
      <w:t>Rapport — niveaubepaling_rapport_v1.0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- niveaubepaling_rapport_v1.0</dc:title>
  <dc:subject/>
  <dc:creator>JvG Consultancy via Kas</dc:creator>
  <cp:keywords/>
  <dc:description>generated by python-docx</dc:description>
  <cp:lastModifiedBy/>
  <cp:revision>1</cp:revision>
  <dcterms:created xsi:type="dcterms:W3CDTF">2026-04-28T07:29:32Z</dcterms:created>
  <dcterms:modified xsi:type="dcterms:W3CDTF">2013-12-23T23:15:00Z</dcterms:modified>
  <cp:category/>
</cp:coreProperties>
</file>