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pgs15_2025_extract</w:t>
      </w:r>
    </w:p>
    <w:p>
      <w:pPr>
        <w:pStyle w:val="Heading1"/>
      </w:pPr>
      <w:r>
        <w:t>PGS 15:2025 — Kerndata Extractie</w:t>
      </w:r>
    </w:p>
    <w:p>
      <w:r>
        <w:t xml:space="preserve">**Bron**: PGS 15:2025 versie 1.0 (januari 2025)  </w:t>
      </w:r>
    </w:p>
    <w:p>
      <w:r>
        <w:t xml:space="preserve">**Extractiedatum**: 27 april 2026  </w:t>
      </w:r>
    </w:p>
    <w:p>
      <w:r>
        <w:t>**Status**: Volledige kernextractie</w:t>
      </w:r>
    </w:p>
    <w:p>
      <w:r>
        <w:t>---</w:t>
      </w:r>
    </w:p>
    <w:p>
      <w:pPr>
        <w:pStyle w:val="Heading2"/>
      </w:pPr>
      <w:r>
        <w:t>1. Hoofdstukstructuur (Inhoudsopgave)</w:t>
      </w:r>
    </w:p>
    <w:p>
      <w:r>
        <w:t>| Hst | Titel | Status |</w:t>
      </w:r>
    </w:p>
    <w:p>
      <w:r>
        <w:t>|-----|-------|--------|</w:t>
      </w:r>
    </w:p>
    <w:p>
      <w:r>
        <w:t>| 1 | Inleiding | §1.2 normatief |</w:t>
      </w:r>
    </w:p>
    <w:p>
      <w:r>
        <w:t>| 2 | Beschrijving opslag en tijdelijke opslag | Informatief |</w:t>
      </w:r>
    </w:p>
    <w:p>
      <w:r>
        <w:t>| 3 | Risicobenadering | Informatief |</w:t>
      </w:r>
    </w:p>
    <w:p>
      <w:r>
        <w:t>| 4 | Scenario's | Informatief |</w:t>
      </w:r>
    </w:p>
    <w:p>
      <w:r>
        <w:t>| 5 | Richtingaanwijzer wet- en regelgeving | Normatief |</w:t>
      </w:r>
    </w:p>
    <w:p>
      <w:r>
        <w:t>| 6 | Doelen | Normatief |</w:t>
      </w:r>
    </w:p>
    <w:p>
      <w:r>
        <w:t>| 7 | Maatregelen | Normatief |</w:t>
      </w:r>
    </w:p>
    <w:p>
      <w:r>
        <w:t>| 8 | Gelijkwaardige maatregelen | Informatief |</w:t>
      </w:r>
    </w:p>
    <w:p>
      <w:r>
        <w:t>| Bijl. A-K | Informatief, behalve Bijl. J (normatief) | |</w:t>
      </w:r>
    </w:p>
    <w:p>
      <w:pPr>
        <w:pStyle w:val="Heading3"/>
      </w:pPr>
      <w:r>
        <w:t>Bijlagen</w:t>
      </w:r>
    </w:p>
    <w:p>
      <w:pPr>
        <w:pStyle w:val="ListBullet"/>
      </w:pPr>
      <w:r>
        <w:t>**A**: Informatieve documenten en bronnen</w:t>
      </w:r>
    </w:p>
    <w:p>
      <w:pPr>
        <w:pStyle w:val="ListBullet"/>
      </w:pPr>
      <w:r>
        <w:t>**B**: Relevante wet- en regelgeving (Omgevingswet, Chemische stoffen, Arbowet, Warenwet, Wet veiligheidsregio's, Vervoer)</w:t>
      </w:r>
    </w:p>
    <w:p>
      <w:pPr>
        <w:pStyle w:val="ListBullet"/>
      </w:pPr>
      <w:r>
        <w:t>**C**: Arbeidsomstandighedenwetgeving</w:t>
      </w:r>
    </w:p>
    <w:p>
      <w:pPr>
        <w:pStyle w:val="ListBullet"/>
      </w:pPr>
      <w:r>
        <w:t>**D**: Opslag en omgevingsveiligheid</w:t>
      </w:r>
    </w:p>
    <w:p>
      <w:pPr>
        <w:pStyle w:val="ListBullet"/>
      </w:pPr>
      <w:r>
        <w:t>**E**: Voorkomen van onverenigbare combinaties door stoffenscheiding</w:t>
      </w:r>
    </w:p>
    <w:p>
      <w:pPr>
        <w:pStyle w:val="ListBullet"/>
      </w:pPr>
      <w:r>
        <w:t>**F**: Eisen aan brandveiligheidsopslagkasten</w:t>
      </w:r>
    </w:p>
    <w:p>
      <w:pPr>
        <w:pStyle w:val="ListBullet"/>
      </w:pPr>
      <w:r>
        <w:t>**G**: Brandbeveiligingsinstallaties</w:t>
      </w:r>
    </w:p>
    <w:p>
      <w:pPr>
        <w:pStyle w:val="ListBullet"/>
      </w:pPr>
      <w:r>
        <w:t>**H**: Bepaling straling door openingen in brandwerende gevel</w:t>
      </w:r>
    </w:p>
    <w:p>
      <w:pPr>
        <w:pStyle w:val="ListBullet"/>
      </w:pPr>
      <w:r>
        <w:t>**I**: Verschillen met de vorige versie</w:t>
      </w:r>
    </w:p>
    <w:p>
      <w:pPr>
        <w:pStyle w:val="ListBullet"/>
      </w:pPr>
      <w:r>
        <w:t>**J**: Implementatietermijnen in bestaande situaties **(NORMATIEF)**</w:t>
      </w:r>
    </w:p>
    <w:p>
      <w:pPr>
        <w:pStyle w:val="ListBullet"/>
      </w:pPr>
      <w:r>
        <w:t>**K**: Samenstelling PGS 15-team</w:t>
      </w:r>
    </w:p>
    <w:p>
      <w:r>
        <w:t>---</w:t>
      </w:r>
    </w:p>
    <w:p>
      <w:pPr>
        <w:pStyle w:val="Heading2"/>
      </w:pPr>
      <w:r>
        <w:t>2. Toepassingsgebied (Tabel 1)</w:t>
      </w:r>
    </w:p>
    <w:p>
      <w:r>
        <w:t>| ADR-klasse | Wel in toepassingsgebied | Niet in toepassingsgebied |</w:t>
      </w:r>
    </w:p>
    <w:p>
      <w:r>
        <w:t>|------------|--------------------------|---------------------------|</w:t>
      </w:r>
    </w:p>
    <w:p>
      <w:r>
        <w:t>| 1 | - | Alle stoffen |</w:t>
      </w:r>
    </w:p>
    <w:p>
      <w:r>
        <w:t>| 2 | Alle drukhouders m.u.v. genoemde | Gesloten cryohouders (PGS 9), blusgassen, ademluchtflessen |</w:t>
      </w:r>
    </w:p>
    <w:p>
      <w:r>
        <w:t>| 3 | Alle stoffen m.u.v. genoemde | Alcoholhoudende dranken consumentenverpakking, gasolie/diesel FP≥55°C, viskeuze oplossingen ADR 2.2.3.1.5.1 |</w:t>
      </w:r>
    </w:p>
    <w:p>
      <w:r>
        <w:t>| 4.1 | Alle stoffen | - |</w:t>
      </w:r>
    </w:p>
    <w:p>
      <w:r>
        <w:t>| 4.2 | Alle stoffen | - |</w:t>
      </w:r>
    </w:p>
    <w:p>
      <w:r>
        <w:t>| 4.3 | Alle stoffen | - |</w:t>
      </w:r>
    </w:p>
    <w:p>
      <w:r>
        <w:t>| 5.1 | Alle stoffen m.u.v. meststoffen | Vaste minerale anorganische meststoffen (PGS 7) |</w:t>
      </w:r>
    </w:p>
    <w:p>
      <w:r>
        <w:t>| 5.2 | LQ-verpakkingen tot max 1.000 kg | Overige 5.2 stoffen (PGS 8) |</w:t>
      </w:r>
    </w:p>
    <w:p>
      <w:r>
        <w:t>| 6.1 | Alle stoffen | - |</w:t>
      </w:r>
    </w:p>
    <w:p>
      <w:r>
        <w:t>| 6.2 | Alle stoffen | - |</w:t>
      </w:r>
    </w:p>
    <w:p>
      <w:r>
        <w:t>| 7 | - | Alle stoffen |</w:t>
      </w:r>
    </w:p>
    <w:p>
      <w:r>
        <w:t>| 8 | Alle stoffen m.u.v. meststoffen | Vaste minerale anorganische meststoffen (PGS 7) |</w:t>
      </w:r>
    </w:p>
    <w:p>
      <w:r>
        <w:t>| 9 | Classificatiecode M6/M7 (UN-3082/UN-3077) | Overige klasse 9, meststoffen UN-2071 (PGS 7), Lithium (PGS 37-2) |</w:t>
      </w:r>
    </w:p>
    <w:p>
      <w:r>
        <w:t>| CMR | Alle stoffen m.u.v. metalen vaste vorm | Metalen vaste vorm (m.u.v. poedervormig) |</w:t>
      </w:r>
    </w:p>
    <w:p>
      <w:r>
        <w:t>| Afval | Zelfde chemische/fysische eigenschappen | Overige |</w:t>
      </w:r>
    </w:p>
    <w:p>
      <w:r>
        <w:t>| Gewasbescherming/Biociden | ≥400 kg indien PGS-criteria | &lt;400 kg |</w:t>
      </w:r>
    </w:p>
    <w:p>
      <w:r>
        <w:t>| CLP-stoffen | Acute toxiciteit cat. 1/2/3 | - |</w:t>
      </w:r>
    </w:p>
    <w:p>
      <w:r>
        <w:t>---</w:t>
      </w:r>
    </w:p>
    <w:p>
      <w:pPr>
        <w:pStyle w:val="Heading2"/>
      </w:pPr>
      <w:r>
        <w:t>3. Ondergrenzen (Tabel 2)</w:t>
      </w:r>
    </w:p>
    <w:p>
      <w:r>
        <w:t>| ADR-klasse | Verpakkingsgroep | Ondergrens |</w:t>
      </w:r>
    </w:p>
    <w:p>
      <w:r>
        <w:t>|------------|------------------|------------|</w:t>
      </w:r>
    </w:p>
    <w:p>
      <w:r>
        <w:t>| Alle ADR-klassen | I | 1 kg |</w:t>
      </w:r>
    </w:p>
    <w:p>
      <w:r>
        <w:t>| CMR-stoffen | n.v.t. | 25 kg |</w:t>
      </w:r>
    </w:p>
    <w:p>
      <w:r>
        <w:t>| Acute toxiciteit cat. 1/2/3 (CLP) | n.v.t. | 1 kg |</w:t>
      </w:r>
    </w:p>
    <w:p>
      <w:r>
        <w:t>| 2 (UN 1950 spuitbussen, UN 2037, UN 3500-3505) | n.v.t. | 50 kg |</w:t>
      </w:r>
    </w:p>
    <w:p>
      <w:r>
        <w:t>| 2.1 brandbare gassen in gasflessen | n.v.t. | 125 l |</w:t>
      </w:r>
    </w:p>
    <w:p>
      <w:r>
        <w:t>| 2.3 giftige of bijtende gassen | n.v.t. | 25 l |</w:t>
      </w:r>
    </w:p>
    <w:p>
      <w:r>
        <w:t>| 2 overige gassen | n.v.t. | 125 l |</w:t>
      </w:r>
    </w:p>
    <w:p>
      <w:r>
        <w:t>| 3 | II | 25 kg |</w:t>
      </w:r>
    </w:p>
    <w:p>
      <w:r>
        <w:t>| 3 | III | 50 kg |</w:t>
      </w:r>
    </w:p>
    <w:p>
      <w:r>
        <w:t>| 4.1, 4.2, 4.3 | II en III | 50 kg |</w:t>
      </w:r>
    </w:p>
    <w:p>
      <w:r>
        <w:t>| 5.1 | II en III | 50 kg |</w:t>
      </w:r>
    </w:p>
    <w:p>
      <w:r>
        <w:t>| 5.2 LQ (UN 3103-3110) | n.v.t. | 30 kg |</w:t>
      </w:r>
    </w:p>
    <w:p>
      <w:r>
        <w:t>| 6.1 | II en III | 50 kg |</w:t>
      </w:r>
    </w:p>
    <w:p>
      <w:r>
        <w:t>| 6.2 Categorie I1 en I2 | - | 0 kg |</w:t>
      </w:r>
    </w:p>
    <w:p>
      <w:r>
        <w:t>| 6.2 Overig | - | 50 kg |</w:t>
      </w:r>
    </w:p>
    <w:p>
      <w:r>
        <w:t>| 8 | II en III | 250 kg |</w:t>
      </w:r>
    </w:p>
    <w:p>
      <w:r>
        <w:t>| 9 | Alle | 250 kg |</w:t>
      </w:r>
    </w:p>
    <w:p>
      <w:r>
        <w:t>**LQ/EQ vrijstelling**: Verdubbeling van ondergrenzen bij gelimiteerde hoeveelheden (LQ) of vrijgestelde hoeveelheden (EQ), mits in transportverpakking opgeslagen.</w:t>
      </w:r>
    </w:p>
    <w:p>
      <w:r>
        <w:t>---</w:t>
      </w:r>
    </w:p>
    <w:p>
      <w:pPr>
        <w:pStyle w:val="Heading2"/>
      </w:pPr>
      <w:r>
        <w:t>4. Catch-all Regel</w:t>
      </w:r>
    </w:p>
    <w:p>
      <w:r>
        <w:t>&gt; **Deze PGS-richtlijn is ALTIJD van toepassing bij de opslag van in totaal meer dan 1.000 kg verpakte gevaarlijke stoffen** uit de genoemde stofklassen, tenzij artikel 4.1012 Bal van toepassing is.</w:t>
      </w:r>
    </w:p>
    <w:p>
      <w:r>
        <w:t>---</w:t>
      </w:r>
    </w:p>
    <w:p>
      <w:pPr>
        <w:pStyle w:val="Heading2"/>
      </w:pPr>
      <w:r>
        <w:t>5. Tabel 6 — Niveaubepaling (Criteria Vereist Veiligheidsniveau)</w:t>
      </w:r>
    </w:p>
    <w:p>
      <w:pPr>
        <w:pStyle w:val="Heading3"/>
      </w:pPr>
      <w:r>
        <w:t>Kolomstructuur</w:t>
      </w:r>
    </w:p>
    <w:p>
      <w:pPr>
        <w:pStyle w:val="ListBullet"/>
      </w:pPr>
      <w:r>
        <w:t>**Niet ontstoken escalatie**: Veiligheidsniveau C → Doel D7</w:t>
      </w:r>
    </w:p>
    <w:p>
      <w:pPr>
        <w:pStyle w:val="ListBullet"/>
      </w:pPr>
      <w:r>
        <w:t>**Brandescalatie**: Veiligheidsniveau B → Doelen D6, D10, D11</w:t>
      </w:r>
    </w:p>
    <w:p>
      <w:pPr>
        <w:pStyle w:val="ListBullet"/>
      </w:pPr>
      <w:r>
        <w:t>**Veiligheidsniveau A**: Doel D12</w:t>
      </w:r>
    </w:p>
    <w:p>
      <w:pPr>
        <w:pStyle w:val="Heading3"/>
      </w:pPr>
      <w:r>
        <w:t>Niveautabel per ADR-klasse</w:t>
      </w:r>
    </w:p>
    <w:p>
      <w:r>
        <w:t>| Stofklasse | Verpakking/VG | Vlampunt | Relevant voor stof | Opgeslagen hoeveelheid (C) | Minimale Wbdbo | Opgeslagen hoeveelheid (B) | Opgeslagen hoeveelheid (A) |</w:t>
      </w:r>
    </w:p>
    <w:p>
      <w:r>
        <w:t>|------------|---------------|----------|--------------------|----------------------------|----------------|----------------------------|----------------------------|</w:t>
      </w:r>
    </w:p>
    <w:p>
      <w:r>
        <w:t>| ADR 2.1 gasflessen | - | - | - | Vanaf ondergrens Tabel 2 | 60 min | - | - |</w:t>
      </w:r>
    </w:p>
    <w:p>
      <w:r>
        <w:t>| ADR 2.1 spuitbussen/canisters (Code F) | - | - | - | &lt;10 ton | 60 min | - | &gt;10 ton |</w:t>
      </w:r>
    </w:p>
    <w:p>
      <w:r>
        <w:t>| ADR 2.3 | - | - | - | Van toepassing | - | - | - |</w:t>
      </w:r>
    </w:p>
    <w:p>
      <w:r>
        <w:t>| ADR 3 | - | - | - | &lt;10 ton | 60 min | - | &gt;10 ton |</w:t>
      </w:r>
    </w:p>
    <w:p>
      <w:r>
        <w:t>| ADR 3 | - | - | - | &lt;20 ton | 90 min | - | &gt;20 ton |</w:t>
      </w:r>
    </w:p>
    <w:p>
      <w:r>
        <w:t>| ADR 4.1 | VG I | - | - | - | - | Maatwerk | - |</w:t>
      </w:r>
    </w:p>
    <w:p>
      <w:r>
        <w:t>| ADR 4.1 | VG II | - | - | - | - | &lt;10 ton | &gt;20 ton |</w:t>
      </w:r>
    </w:p>
    <w:p>
      <w:r>
        <w:t>| ADR 4.1 | VG III | - | - | - | - | Vanaf ondergrens Tabel 2 | - |</w:t>
      </w:r>
    </w:p>
    <w:p>
      <w:r>
        <w:t>| ADR 4.2 | VG I+II | - | - | - | - | &lt;10 ton | &gt;20 ton |</w:t>
      </w:r>
    </w:p>
    <w:p>
      <w:r>
        <w:t>| ADR 4.2 | VG III | - | - | - | - | Vanaf ondergrens Tabel 2 | - |</w:t>
      </w:r>
    </w:p>
    <w:p>
      <w:r>
        <w:t>| ADR 4.3 | VG I | - | - | - | - | &lt;10 ton | &gt;20 ton |</w:t>
      </w:r>
    </w:p>
    <w:p>
      <w:r>
        <w:t>| ADR 4.3 | VG II | - | - | - | - | &lt;10 ton | &gt;20 ton |</w:t>
      </w:r>
    </w:p>
    <w:p>
      <w:r>
        <w:t>| ADR 4.3 | VG III | - | - | - | - | Vanaf ondergrens Tabel 2 | - |</w:t>
      </w:r>
    </w:p>
    <w:p>
      <w:r>
        <w:t>| ADR 5.1 | - | - | - | &lt;2,5 ton | 60 min | &gt;2,5 ton | - |</w:t>
      </w:r>
    </w:p>
    <w:p>
      <w:r>
        <w:t>| ADR 5.2 | - | - | - | &lt;1 ton | 60 min | - | - |</w:t>
      </w:r>
    </w:p>
    <w:p>
      <w:r>
        <w:t>| ADR 6.1 | VG I | - | Van toepassing | &lt;1 ton | 60 min | - | &gt;1 ton |</w:t>
      </w:r>
    </w:p>
    <w:p>
      <w:r>
        <w:t>| ADR 6.1 | VG II | - | Van toepassing | &lt;10 ton | 60 min | - | &gt;10 ton |</w:t>
      </w:r>
    </w:p>
    <w:p>
      <w:r>
        <w:t>| ADR 6.1 | VG II | - | Van toepassing | &lt;20 ton | 90 min | - | &gt;20 ton |</w:t>
      </w:r>
    </w:p>
    <w:p>
      <w:r>
        <w:t>| ADR 6.1 | VG III | - | - | &lt;10 ton | 60 min | - | &gt;10 ton |</w:t>
      </w:r>
    </w:p>
    <w:p>
      <w:r>
        <w:t>| ADR 6.1 | VG III | - | - | &lt;20 ton | 90 min | - | &gt;20 ton |</w:t>
      </w:r>
    </w:p>
    <w:p>
      <w:r>
        <w:t>| ADR 6.2 | - | - | - | &lt;10 ton | 60 min | - | &gt;10 ton |</w:t>
      </w:r>
    </w:p>
    <w:p>
      <w:r>
        <w:t>| ADR 6.2 | - | - | - | &lt;20 ton | 60 min | - | &gt;20 ton |</w:t>
      </w:r>
    </w:p>
    <w:p>
      <w:r>
        <w:t>| ADR 8 | VG I | 60°C-100°C | - | &lt;10 ton | 60 min | - | &gt;10 ton |</w:t>
      </w:r>
    </w:p>
    <w:p>
      <w:r>
        <w:t>| ADR 8 | VG I | 60°C-100°C | - | &lt;20 ton | 90 min | - | &gt;20 ton |</w:t>
      </w:r>
    </w:p>
    <w:p>
      <w:r>
        <w:t>| ADR 8 | VG I | &gt;100°C | - | &lt;10 ton | 60 min | &gt;10 ton | - |</w:t>
      </w:r>
    </w:p>
    <w:p>
      <w:r>
        <w:t>| ADR 8 | VG I | &gt;100°C | - | &lt;20 ton | 90 min | &gt;20 ton | - |</w:t>
      </w:r>
    </w:p>
    <w:p>
      <w:r>
        <w:t>| ADR 8+9 | VG II+III | Acute tox cat.1/2/3 brandbaar | - | &lt;10 ton | 60 min | &gt;10 ton | - |</w:t>
      </w:r>
    </w:p>
    <w:p>
      <w:r>
        <w:t>| ADR 8+9 | VG II+III | Acute tox cat.1/2/3 brandbaar | - | &lt;20 ton | 60 min | &gt;20 ton | - |</w:t>
      </w:r>
    </w:p>
    <w:p>
      <w:r>
        <w:t>| ADR 8 | VG II+III | Onbrandbaar acute tox cat.1/2/3 | - | - | - | - | - |</w:t>
      </w:r>
    </w:p>
    <w:p>
      <w:r>
        <w:t>| ADR 9 | - | Onbrandbaar | - | - | - | - | - |</w:t>
      </w:r>
    </w:p>
    <w:p>
      <w:r>
        <w:t>| CMR-stoffen | - | Zonder ADR-classificatie | - | - | - | - | - |</w:t>
      </w:r>
    </w:p>
    <w:p>
      <w:r>
        <w:t>| CLP-stoffen | - | Acute toxiciteit cat. 1 | - | &lt;1 ton | 60 min | - | &gt;1 ton |</w:t>
      </w:r>
    </w:p>
    <w:p>
      <w:r>
        <w:t>| CLP-stoffen | - | Acute toxiciteit cat. 2 en 3 | - | &lt;10 ton | 60 min | - | &gt;10 ton |</w:t>
      </w:r>
    </w:p>
    <w:p>
      <w:r>
        <w:t>| CLP-stoffen | - | Acute toxiciteit cat. 2 en 3 | - | &lt;20 ton | 90 min | - | &gt;20 ton |</w:t>
      </w:r>
    </w:p>
    <w:p>
      <w:pPr>
        <w:pStyle w:val="Heading3"/>
      </w:pPr>
      <w:r>
        <w:t>Voetnoten Tabel 6</w:t>
      </w:r>
    </w:p>
    <w:p>
      <w:pPr>
        <w:pStyle w:val="ListBullet"/>
      </w:pPr>
      <w:r>
        <w:t>**a**: Zowel hoofdgevaar als bijkomend gevaar wordt meegenomen. Bij meerdere ADR-klassen: totaal + zwaarste categorie. Tenzij hoeveelheid zwaarste categorie &lt; Tabel 2 ondergrens.</w:t>
      </w:r>
    </w:p>
    <w:p>
      <w:pPr>
        <w:pStyle w:val="ListBullet"/>
      </w:pPr>
      <w:r>
        <w:t>**b**: Hoeveelheden gelden ALS opslagvoorziening bereikbaar/toegankelijk is voor hulpdiensten (M109). Zo niet: max 2,5 ton. Geldt m.n. voor binnenopslag.</w:t>
      </w:r>
    </w:p>
    <w:p>
      <w:pPr>
        <w:pStyle w:val="ListBullet"/>
      </w:pPr>
      <w:r>
        <w:t>**c**: Onbrandbaar/niet brandonderhoudend in dedicated opslag → geen aanvullend veiligheidsniveau vereist, alleen basisveiligheidsniveau.</w:t>
      </w:r>
    </w:p>
    <w:p>
      <w:r>
        <w:t>---</w:t>
      </w:r>
    </w:p>
    <w:p>
      <w:pPr>
        <w:pStyle w:val="Heading2"/>
      </w:pPr>
      <w:r>
        <w:t>6. Tabel 7 — Grenswaarden Veiligheidsniveau</w:t>
      </w:r>
    </w:p>
    <w:p>
      <w:r>
        <w:t>| Gevaar conform ADR | Omschrijving | Grenswaarde |</w:t>
      </w:r>
    </w:p>
    <w:p>
      <w:r>
        <w:t>|--------------------|--------------|-------------|</w:t>
      </w:r>
    </w:p>
    <w:p>
      <w:r>
        <w:t>| ADR-klasse 3 | Brandbare vloeistoffen FP tot 60°C | 400 kg |</w:t>
      </w:r>
    </w:p>
    <w:p>
      <w:r>
        <w:t>| Verpakkingsgroep I | ADR 6.1 en 8 met etiket 6.1 | 1.000 kg |</w:t>
      </w:r>
    </w:p>
    <w:p>
      <w:r>
        <w:t>| ADR 5.1, 6.1, 8, 9 | Totale hoeveelheid giftig/bijtend/milieugevaarlijk/CMR/CLP | 2.500 kg |</w:t>
      </w:r>
    </w:p>
    <w:p>
      <w:r>
        <w:t>---</w:t>
      </w:r>
    </w:p>
    <w:p>
      <w:pPr>
        <w:pStyle w:val="Heading2"/>
      </w:pPr>
      <w:r>
        <w:t>7. CLP-routes (Samengevat uit Tabel 6)</w:t>
      </w:r>
    </w:p>
    <w:p>
      <w:pPr>
        <w:pStyle w:val="Heading3"/>
      </w:pPr>
      <w:r>
        <w:t>CMR-stoffen (geen ADR-classificatie)</w:t>
      </w:r>
    </w:p>
    <w:p>
      <w:pPr>
        <w:pStyle w:val="ListBullet"/>
      </w:pPr>
      <w:r>
        <w:t>**Zonder ADR-classificatie** → Geen specifiek veiligheidsniveau via Tabel 6 (wel basisveiligheidsniveau + zorgplicht)</w:t>
      </w:r>
    </w:p>
    <w:p>
      <w:pPr>
        <w:pStyle w:val="Heading3"/>
      </w:pPr>
      <w:r>
        <w:t>CLP-stoffen</w:t>
      </w:r>
    </w:p>
    <w:p>
      <w:pPr>
        <w:pStyle w:val="ListBullet"/>
      </w:pPr>
      <w:r>
        <w:t>**Acute toxiciteit categorie 1**: &lt;1 ton → C (Wbdbo 60 min); &gt;1 ton → A</w:t>
      </w:r>
    </w:p>
    <w:p>
      <w:pPr>
        <w:pStyle w:val="ListBullet"/>
      </w:pPr>
      <w:r>
        <w:t>**Acute toxiciteit categorie 2 en 3**: &lt;10 ton → C (60 min); &lt;20 ton → C (90 min); &gt;10 ton → A; &gt;20 ton → A</w:t>
      </w:r>
    </w:p>
    <w:p>
      <w:pPr>
        <w:pStyle w:val="Heading3"/>
      </w:pPr>
      <w:r>
        <w:t>Toelichting CMR</w:t>
      </w:r>
    </w:p>
    <w:p>
      <w:pPr>
        <w:pStyle w:val="ListBullet"/>
      </w:pPr>
      <w:r>
        <w:t>CMR Cat. 1A/1B (vloeibaar/poeder) en CMR Cat. 2 (vloeibaar/poeder) vallen onder de CMR-stoffenrij in Tabel 6</w:t>
      </w:r>
    </w:p>
    <w:p>
      <w:pPr>
        <w:pStyle w:val="ListBullet"/>
      </w:pPr>
      <w:r>
        <w:t>Indien de CMR-stof ook een ADR-classificatie heeft → via de ADR-route bepalen</w:t>
      </w:r>
    </w:p>
    <w:p>
      <w:pPr>
        <w:pStyle w:val="ListBullet"/>
      </w:pPr>
      <w:r>
        <w:t>Indien géén ADR-classificatie → alleen basisveiligheidsniveau + zorgplicht (arbowetgeving)</w:t>
      </w:r>
    </w:p>
    <w:p>
      <w:r>
        <w:t>---</w:t>
      </w:r>
    </w:p>
    <w:p>
      <w:pPr>
        <w:pStyle w:val="Heading2"/>
      </w:pPr>
      <w:r>
        <w:t>8. Doelen (Hoofdstuk 6)</w:t>
      </w:r>
    </w:p>
    <w:p>
      <w:r>
        <w:t>| Doel | Omschrijving | Thema |</w:t>
      </w:r>
    </w:p>
    <w:p>
      <w:r>
        <w:t>|------|--------------|-------|</w:t>
      </w:r>
    </w:p>
    <w:p>
      <w:r>
        <w:t>| D1 | Voorkomen dat een aanrijding plaatsvindt | Fysieke veiligheid |</w:t>
      </w:r>
    </w:p>
    <w:p>
      <w:r>
        <w:t>| D2 | Zekerstellen dat opslaglocaties voorzien zijn van fysieke bescherming | Fysieke veiligheid |</w:t>
      </w:r>
    </w:p>
    <w:p>
      <w:r>
        <w:t>| D3 | Zekerstellen dat verpakte gevaarlijke stoffen op juiste wijze in juiste opslagvoorziening worden opgeslagen | Organisatie |</w:t>
      </w:r>
    </w:p>
    <w:p>
      <w:r>
        <w:t>| D4 | Voorkomen dat na lekkage een gevaarlijke situatie ontstaat | Lekkagebeheersing |</w:t>
      </w:r>
    </w:p>
    <w:p>
      <w:r>
        <w:t>| D5 | Zekerstellen dat adequaat wordt gereageerd bij noodsituaties ter voorkoming van effecten op medewerkers | Noodorganisatie |</w:t>
      </w:r>
    </w:p>
    <w:p>
      <w:r>
        <w:t>| D6 | Zekerstellen dat hulpdiensten adequaat kunnen optreden | Rampenbestrijding |</w:t>
      </w:r>
    </w:p>
    <w:p>
      <w:r>
        <w:t>| D7 | Voorkomen verspreiding | Gezondheid/Milieu |</w:t>
      </w:r>
    </w:p>
    <w:p>
      <w:r>
        <w:t>| D8 | Voorkomen van ontsteking | Brandpreventie |</w:t>
      </w:r>
    </w:p>
    <w:p>
      <w:r>
        <w:t>| D9 | Voorkomen van brand in de opslagvoorziening | Brandpreventie |</w:t>
      </w:r>
    </w:p>
    <w:p>
      <w:r>
        <w:t>| D10 | Voorkomen van escalatie van een brand (passief) - compartimenteren | Brandbeheersing |</w:t>
      </w:r>
    </w:p>
    <w:p>
      <w:r>
        <w:t>| D11 | Voorkomen van escalatie (actief) - beheersen | Brandbeheersing |</w:t>
      </w:r>
    </w:p>
    <w:p>
      <w:r>
        <w:t>| D12 | Zekerstellen dat een brand (semi)automatisch geblust kan worden | Brandbeheersing |</w:t>
      </w:r>
    </w:p>
    <w:p>
      <w:r>
        <w:t>| D13 | Zekerstellen dat aanvullende stofspecifieke risico's worden beheerst | Stofspecifiek |</w:t>
      </w:r>
    </w:p>
    <w:p>
      <w:r>
        <w:t>---</w:t>
      </w:r>
    </w:p>
    <w:p>
      <w:pPr>
        <w:pStyle w:val="Heading2"/>
      </w:pPr>
      <w:r>
        <w:t>9. Maatregelen per Niveau (Samenvatting)</w:t>
      </w:r>
    </w:p>
    <w:p>
      <w:pPr>
        <w:pStyle w:val="Heading3"/>
      </w:pPr>
      <w:r>
        <w:t>Basisveiligheidsniveau (altijd van toepassing)</w:t>
      </w:r>
    </w:p>
    <w:p>
      <w:pPr>
        <w:pStyle w:val="ListBullet"/>
      </w:pPr>
      <w:r>
        <w:t>Zorgplicht (M2): Veilige opslag, beheerste omgang met stoffen</w:t>
      </w:r>
    </w:p>
    <w:p>
      <w:pPr>
        <w:pStyle w:val="ListBullet"/>
      </w:pPr>
      <w:r>
        <w:t>administratieve en organisatorische maatregelen</w:t>
      </w:r>
    </w:p>
    <w:p>
      <w:pPr>
        <w:pStyle w:val="ListBullet"/>
      </w:pPr>
      <w:r>
        <w:t>Vakindeling, stoffenscheiding (M35)</w:t>
      </w:r>
    </w:p>
    <w:p>
      <w:pPr>
        <w:pStyle w:val="ListBullet"/>
      </w:pPr>
      <w:r>
        <w:t>Productopvang (M30)</w:t>
      </w:r>
    </w:p>
    <w:p>
      <w:pPr>
        <w:pStyle w:val="ListBullet"/>
      </w:pPr>
      <w:r>
        <w:t>Aanrijdbeveiliging (M14)</w:t>
      </w:r>
    </w:p>
    <w:p>
      <w:pPr>
        <w:pStyle w:val="ListBullet"/>
      </w:pPr>
      <w:r>
        <w:t>Keuring, onderhoud, training (M87-M89)</w:t>
      </w:r>
    </w:p>
    <w:p>
      <w:pPr>
        <w:pStyle w:val="Heading3"/>
      </w:pPr>
      <w:r>
        <w:t>Veiligheidsniveau C</w:t>
      </w:r>
    </w:p>
    <w:p>
      <w:pPr>
        <w:pStyle w:val="ListBullet"/>
      </w:pPr>
      <w:r>
        <w:t>Aanvullend op basisveiligheidsniveau</w:t>
      </w:r>
    </w:p>
    <w:p>
      <w:pPr>
        <w:pStyle w:val="ListBullet"/>
      </w:pPr>
      <w:r>
        <w:t>Brandwerende constructie (Wbdbo 60 of 90 min)</w:t>
      </w:r>
    </w:p>
    <w:p>
      <w:pPr>
        <w:pStyle w:val="ListBullet"/>
      </w:pPr>
      <w:r>
        <w:t>Branddetectie (M103)</w:t>
      </w:r>
    </w:p>
    <w:p>
      <w:pPr>
        <w:pStyle w:val="ListBullet"/>
      </w:pPr>
      <w:r>
        <w:t>Doel D7: Voorkomen verspreiding</w:t>
      </w:r>
    </w:p>
    <w:p>
      <w:pPr>
        <w:pStyle w:val="Heading3"/>
      </w:pPr>
      <w:r>
        <w:t>Veiligheidsniveau B</w:t>
      </w:r>
    </w:p>
    <w:p>
      <w:pPr>
        <w:pStyle w:val="ListBullet"/>
      </w:pPr>
      <w:r>
        <w:t>Aanvullend op C</w:t>
      </w:r>
    </w:p>
    <w:p>
      <w:pPr>
        <w:pStyle w:val="ListBullet"/>
      </w:pPr>
      <w:r>
        <w:t>Doelen D6, D10, D11</w:t>
      </w:r>
    </w:p>
    <w:p>
      <w:pPr>
        <w:pStyle w:val="ListBullet"/>
      </w:pPr>
      <w:r>
        <w:t>Compartimentering</w:t>
      </w:r>
    </w:p>
    <w:p>
      <w:pPr>
        <w:pStyle w:val="ListBullet"/>
      </w:pPr>
      <w:r>
        <w:t>Branddetectie + doormelding</w:t>
      </w:r>
    </w:p>
    <w:p>
      <w:pPr>
        <w:pStyle w:val="Heading3"/>
      </w:pPr>
      <w:r>
        <w:t>Veiligheidsniveau A</w:t>
      </w:r>
    </w:p>
    <w:p>
      <w:pPr>
        <w:pStyle w:val="ListBullet"/>
      </w:pPr>
      <w:r>
        <w:t>Aanvullend op B</w:t>
      </w:r>
    </w:p>
    <w:p>
      <w:pPr>
        <w:pStyle w:val="ListBullet"/>
      </w:pPr>
      <w:r>
        <w:t>Doel D12: (Semi)automatisch blussen</w:t>
      </w:r>
    </w:p>
    <w:p>
      <w:pPr>
        <w:pStyle w:val="ListBullet"/>
      </w:pPr>
      <w:r>
        <w:t>VBB-installatie (automatische brandblussing)</w:t>
      </w:r>
    </w:p>
    <w:p>
      <w:pPr>
        <w:pStyle w:val="ListBullet"/>
      </w:pPr>
      <w:r>
        <w:t>Max oppervlakte per brandcompartiment</w:t>
      </w:r>
    </w:p>
    <w:p>
      <w:r>
        <w:t>---</w:t>
      </w:r>
    </w:p>
    <w:p>
      <w:pPr>
        <w:pStyle w:val="Heading2"/>
      </w:pPr>
      <w:r>
        <w:t>10. Tabel 8 — Productopvangcapaciteit per Veiligheidsniveau</w:t>
      </w:r>
    </w:p>
    <w:p>
      <w:r>
        <w:t>| Veiligheidsniveau | Vlampunt ≤ 60°C | Vlampunt &gt; 60°C |</w:t>
      </w:r>
    </w:p>
    <w:p>
      <w:r>
        <w:t>|-------------------|------------------|------------------|</w:t>
      </w:r>
    </w:p>
    <w:p>
      <w:r>
        <w:t>| **B** | 10% van max hoeveelheid vloeistoffen in vak met grootste hoeveelheid | |</w:t>
      </w:r>
    </w:p>
    <w:p>
      <w:r>
        <w:t>| **C** | Meerdere vakken → grootste individuele vak-benodigde | Grootste individuele vak |</w:t>
      </w:r>
    </w:p>
    <w:p>
      <w:r>
        <w:t>| **A ≤ 1.000 m²** | Metaal: 10% van max; Overig: 100% van max | 10% van max per vak |</w:t>
      </w:r>
    </w:p>
    <w:p>
      <w:r>
        <w:t>| **A ≥ 1.000 m²** | 10% van max hoeveelheid in hele opslagvoorziening | |</w:t>
      </w:r>
    </w:p>
    <w:p>
      <w:r>
        <w:t>---</w:t>
      </w:r>
    </w:p>
    <w:p>
      <w:pPr>
        <w:pStyle w:val="Heading2"/>
      </w:pPr>
      <w:r>
        <w:t>11. Seveso/BRZO Drempels</w:t>
      </w:r>
    </w:p>
    <w:p>
      <w:r>
        <w:t>PGS 15 verwijst naar Seveso-richtlijn voor bedrijven die onder BRZO vallen:</w:t>
      </w:r>
    </w:p>
    <w:p>
      <w:pPr>
        <w:pStyle w:val="ListBullet"/>
      </w:pPr>
      <w:r>
        <w:t>**Seveso-inrichtingen**: Hogedrempelinrichting → MVR/AVR verplicht</w:t>
      </w:r>
    </w:p>
    <w:p>
      <w:pPr>
        <w:pStyle w:val="ListBullet"/>
      </w:pPr>
      <w:r>
        <w:t>Seveso-inrichtingen hebben aanvullende eisen m.b.t. VEILIGHEIDSrapporten, interne noodplannen</w:t>
      </w:r>
    </w:p>
    <w:p>
      <w:pPr>
        <w:pStyle w:val="ListBullet"/>
      </w:pPr>
      <w:r>
        <w:t>PGS 15 maatregelen dienen als invulling van technisch beleid binnen BRZO-kader</w:t>
      </w:r>
    </w:p>
    <w:p>
      <w:r>
        <w:t>&gt; **Let op**: Exacte Seveso-drempelwaarden staan niet in PGS 15 zelf maar in het Bal (Besluit activiteiten leefomgeving). PGS 15 verwijst ernaar.</w:t>
      </w:r>
    </w:p>
    <w:p>
      <w:r>
        <w:t>---</w:t>
      </w:r>
    </w:p>
    <w:p>
      <w:pPr>
        <w:pStyle w:val="Heading2"/>
      </w:pPr>
      <w:r>
        <w:t>12. Scheiding (Bijlage E)</w:t>
      </w:r>
    </w:p>
    <w:p>
      <w:pPr>
        <w:pStyle w:val="Heading3"/>
      </w:pPr>
      <w:r>
        <w:t>Scheidsingscategorieën (Tabel E.1)</w:t>
      </w:r>
    </w:p>
    <w:p>
      <w:r>
        <w:t>Stoffen die gescheiden moeten worden opgeslagen op basis van onverenigbare combinaties:</w:t>
      </w:r>
    </w:p>
    <w:p>
      <w:pPr>
        <w:pStyle w:val="ListBullet"/>
      </w:pPr>
      <w:r>
        <w:t>**Explosief** ↔ Brandbaar</w:t>
      </w:r>
    </w:p>
    <w:p>
      <w:pPr>
        <w:pStyle w:val="ListBullet"/>
      </w:pPr>
      <w:r>
        <w:t>**Oxiderend** ↔ Brandbaar/Organisch</w:t>
      </w:r>
    </w:p>
    <w:p>
      <w:pPr>
        <w:pStyle w:val="ListBullet"/>
      </w:pPr>
      <w:r>
        <w:t>**Giftig** ↔ (diverse)</w:t>
      </w:r>
    </w:p>
    <w:p>
      <w:pPr>
        <w:pStyle w:val="ListBullet"/>
      </w:pPr>
      <w:r>
        <w:t>**Zuur** ↔ Base</w:t>
      </w:r>
    </w:p>
    <w:p>
      <w:pPr>
        <w:pStyle w:val="ListBullet"/>
      </w:pPr>
      <w:r>
        <w:t>**Waterreactief** ↔ Waterhoudend</w:t>
      </w:r>
    </w:p>
    <w:p>
      <w:pPr>
        <w:pStyle w:val="Heading3"/>
      </w:pPr>
      <w:r>
        <w:t>Scheidingmethoden</w:t>
      </w:r>
    </w:p>
    <w:p>
      <w:r>
        <w:t>1. **Afstand**: Minimaal 2,4 m of scheidingsconstructie ≥30 min brandwerendheid</w:t>
      </w:r>
    </w:p>
    <w:p>
      <w:r>
        <w:t>2. **Scheidingsconstructie**: Brandwerendheid ≥30 min</w:t>
      </w:r>
    </w:p>
    <w:p>
      <w:r>
        <w:t>3. **Aparte opslagvoorziening**: Verschillende ruimtes/gebouwen</w:t>
      </w:r>
    </w:p>
    <w:p>
      <w:r>
        <w:t>---</w:t>
      </w:r>
    </w:p>
    <w:p>
      <w:pPr>
        <w:pStyle w:val="Heading2"/>
      </w:pPr>
      <w:r>
        <w:t>13. Constructieve Eisen per Niveau</w:t>
      </w:r>
    </w:p>
    <w:p>
      <w:pPr>
        <w:pStyle w:val="Heading3"/>
      </w:pPr>
      <w:r>
        <w:t>Basisveiligheidsniveau</w:t>
      </w:r>
    </w:p>
    <w:p>
      <w:pPr>
        <w:pStyle w:val="ListBullet"/>
      </w:pPr>
      <w:r>
        <w:t>Voldoende dragend vermogen vloer</w:t>
      </w:r>
    </w:p>
    <w:p>
      <w:pPr>
        <w:pStyle w:val="ListBullet"/>
      </w:pPr>
      <w:r>
        <w:t>Stellingen: stabiel, aardingsvoorziening</w:t>
      </w:r>
    </w:p>
    <w:p>
      <w:pPr>
        <w:pStyle w:val="ListBullet"/>
      </w:pPr>
      <w:r>
        <w:t>Aanrijdbeveiliging</w:t>
      </w:r>
    </w:p>
    <w:p>
      <w:pPr>
        <w:pStyle w:val="Heading3"/>
      </w:pPr>
      <w:r>
        <w:t>Niveau C</w:t>
      </w:r>
    </w:p>
    <w:p>
      <w:pPr>
        <w:pStyle w:val="ListBullet"/>
      </w:pPr>
      <w:r>
        <w:t>Wbdbo 60 min (of 90 min bij &gt;20 ton)</w:t>
      </w:r>
    </w:p>
    <w:p>
      <w:pPr>
        <w:pStyle w:val="ListBullet"/>
      </w:pPr>
      <w:r>
        <w:t>Brandwerende wanden en constructie</w:t>
      </w:r>
    </w:p>
    <w:p>
      <w:pPr>
        <w:pStyle w:val="ListBullet"/>
      </w:pPr>
      <w:r>
        <w:t>Branddetectiesysteem (NEN 2535)</w:t>
      </w:r>
    </w:p>
    <w:p>
      <w:pPr>
        <w:pStyle w:val="Heading3"/>
      </w:pPr>
      <w:r>
        <w:t>Niveau B</w:t>
      </w:r>
    </w:p>
    <w:p>
      <w:pPr>
        <w:pStyle w:val="ListBullet"/>
      </w:pPr>
      <w:r>
        <w:t>Wbdbo conform Tabel 6</w:t>
      </w:r>
    </w:p>
    <w:p>
      <w:pPr>
        <w:pStyle w:val="ListBullet"/>
      </w:pPr>
      <w:r>
        <w:t>Brandwerende scheiding naar aangrenzende ruimtes</w:t>
      </w:r>
    </w:p>
    <w:p>
      <w:pPr>
        <w:pStyle w:val="ListBullet"/>
      </w:pPr>
      <w:r>
        <w:t>Detectie + doormelding</w:t>
      </w:r>
    </w:p>
    <w:p>
      <w:pPr>
        <w:pStyle w:val="Heading3"/>
      </w:pPr>
      <w:r>
        <w:t>Niveau A</w:t>
      </w:r>
    </w:p>
    <w:p>
      <w:pPr>
        <w:pStyle w:val="ListBullet"/>
      </w:pPr>
      <w:r>
        <w:t>Wbdbo conform Tabel 6</w:t>
      </w:r>
    </w:p>
    <w:p>
      <w:pPr>
        <w:pStyle w:val="ListBullet"/>
      </w:pPr>
      <w:r>
        <w:t>VBB-installatie (automatische blussing)</w:t>
      </w:r>
    </w:p>
    <w:p>
      <w:pPr>
        <w:pStyle w:val="ListBullet"/>
      </w:pPr>
      <w:r>
        <w:t>Max oppervlaktemaat per brandcompartiment</w:t>
      </w:r>
    </w:p>
    <w:p>
      <w:pPr>
        <w:pStyle w:val="ListBullet"/>
      </w:pPr>
      <w:r>
        <w:t>Dakconstructie: zelfde Wbdbo als wanden</w:t>
      </w:r>
    </w:p>
    <w:p>
      <w:r>
        <w:t>---</w:t>
      </w:r>
    </w:p>
    <w:p>
      <w:r>
        <w:t>*Einde extractie PGS 15:2025*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