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niveaubepaling_v2.0</w:t>
      </w:r>
    </w:p>
    <w:p>
      <w:pPr>
        <w:pStyle w:val="Heading1"/>
      </w:pPr>
      <w:r>
        <w:t>Phoenix Metals — Herziene Niveaubepaling v2.0</w:t>
      </w:r>
    </w:p>
    <w:p>
      <w:r>
        <w:t xml:space="preserve">**Datum**: 27 april 2026  </w:t>
      </w:r>
    </w:p>
    <w:p>
      <w:r>
        <w:t xml:space="preserve">**Basis**: PGS 15:2025 Tabel 2, Tabel 6 + Volledige stoffenlijst Phoenix Metals  </w:t>
      </w:r>
    </w:p>
    <w:p>
      <w:r>
        <w:t xml:space="preserve">**Versie**: 2.0 (herzien — inclusief V₂O₅ en alle stoffen)  </w:t>
      </w:r>
    </w:p>
    <w:p>
      <w:r>
        <w:t>**Status**: CONCEPT — vereist bevestiging hoeveelheden door Phoenix Metals</w:t>
      </w:r>
    </w:p>
    <w:p>
      <w:r>
        <w:t>---</w:t>
      </w:r>
    </w:p>
    <w:p>
      <w:pPr>
        <w:pStyle w:val="Heading2"/>
      </w:pPr>
      <w:r>
        <w:t>1. Volledige Stoffenlijst — Classificatie</w:t>
      </w:r>
    </w:p>
    <w:p>
      <w:pPr>
        <w:pStyle w:val="Heading3"/>
      </w:pPr>
      <w:r>
        <w:t>1.1 ADR-geclassificeerde stoffen</w:t>
      </w:r>
    </w:p>
    <w:p>
      <w:r>
        <w:t>| # | Stof | CAS | ADR | VG | Vorm | Hoeveelheid | Gewicht (kg) | CLP extra gevaren |</w:t>
      </w:r>
    </w:p>
    <w:p>
      <w:r>
        <w:t>|---|------|-----|-----|-----|------|-------------|-------------|-------------------|</w:t>
      </w:r>
    </w:p>
    <w:p>
      <w:r>
        <w:t>| 1 | Sodium hydroxide 50% oplossing | 1310-73-2 | 8 | II | Vloeistof | 100 L | ~120 kg | Skin Corr. 1A |</w:t>
      </w:r>
    </w:p>
    <w:p>
      <w:r>
        <w:t>| 2 | Sulfuric acid 75% oplossing | 7664-93-9 | 8 | II | Vloeistof | 30 L | ~50 kg | Skin Corr. 1A |</w:t>
      </w:r>
    </w:p>
    <w:p>
      <w:r>
        <w:t>| 3 | Sulfuric acid 50% oplossing | 7664-93-9 | 8 | II | Vloeistof | 70 L | ~110 kg | Skin Corr. 1A |</w:t>
      </w:r>
    </w:p>
    <w:p>
      <w:r>
        <w:t>| 4 | Sulfuric acid 25% oplossing | 7664-93-9 | 8 | II | Vloeistof | 100 L | ~120 kg | Skin Corr. 1A |</w:t>
      </w:r>
    </w:p>
    <w:p>
      <w:r>
        <w:t>| 5 | **Vanadium(V) oxide (V₂O₅)** | 1314-62-1 | **6.1** | **II** | **Vast (poeder)** | **TE BEVESTIGEN** | **TBV** | **Carc. 1B, Acute Tox. 2 (H330), Repr. 2** |</w:t>
      </w:r>
    </w:p>
    <w:p>
      <w:r>
        <w:t>| 6 | Calcium oxide | 1305-78-8 | 8 | III¹ | Vast | 10 kg | 10 kg | Skin Corr. 1B, STOT SE 3 |</w:t>
      </w:r>
    </w:p>
    <w:p>
      <w:r>
        <w:t>¹ Calcium oxide: in registratie als N/A opgegeven, maar conform ADR-classificatie: ADR 8 VG III (UN 1910). Cave: kan ook ADR 4.3 eigenschappen hebben. Hier aangenomen: ADR 8 VG III.</w:t>
      </w:r>
    </w:p>
    <w:p>
      <w:pPr>
        <w:pStyle w:val="Heading3"/>
      </w:pPr>
      <w:r>
        <w:t>1.2 Niet-ADR-geclassificeerde stoffen</w:t>
      </w:r>
    </w:p>
    <w:p>
      <w:r>
        <w:t>| # | Stof | CAS | Vorm | Hoeveelheid | CLP | PGS 15 relevantie |</w:t>
      </w:r>
    </w:p>
    <w:p>
      <w:r>
        <w:t>|---|------|-----|------|-------------|-----|-------------------|</w:t>
      </w:r>
    </w:p>
    <w:p>
      <w:r>
        <w:t>| 7 | Aluminum sulfate octadecahydrate | 7784-31-8 | Vast | 5 kg | H319 (oogirritatie) | Geen ADR, geen CMR, geen Acute Tox → buiten PGS 15 |</w:t>
      </w:r>
    </w:p>
    <w:p>
      <w:r>
        <w:t>| 8 | Vanadium(IV) sulfaat oplossing | N/A (mengsel) | Vloeistof | TBV | Waarschijnlijk Acute Tox. | **TE BEVESTIGEN** — mogelijk ADR 6.1 |</w:t>
      </w:r>
    </w:p>
    <w:p>
      <w:r>
        <w:t>| 9 | Vanadium elektrolyt (V³·⁵⁺) | N/A (mengsel) | Vloeistof | TBV | Waarschijnlijk Acute Tox. | **TE BEVESTIGEN** — mogelijk ADR 6.1 |</w:t>
      </w:r>
    </w:p>
    <w:p>
      <w:pPr>
        <w:pStyle w:val="Heading3"/>
      </w:pPr>
      <w:r>
        <w:t>1.3 Grondstoffen (niet-gevaarlijk)</w:t>
      </w:r>
    </w:p>
    <w:p>
      <w:r>
        <w:t>| # | Stof | Hoeveelheid | PGS 15 relevantie |</w:t>
      </w:r>
    </w:p>
    <w:p>
      <w:r>
        <w:t>|---|------|-------------|-------------------|</w:t>
      </w:r>
    </w:p>
    <w:p>
      <w:r>
        <w:t>| 10 | Staalslakken | 80-120 ton/jaar | Geen gevaarlijke stof → buiten PGS 15 |</w:t>
      </w:r>
    </w:p>
    <w:p>
      <w:r>
        <w:t>| 11 | Demi water | Procesafhankelijk | Geen gevaarlijke stof → buiten PGS 15 |</w:t>
      </w:r>
    </w:p>
    <w:p>
      <w:r>
        <w:t>---</w:t>
      </w:r>
    </w:p>
    <w:p>
      <w:pPr>
        <w:pStyle w:val="Heading2"/>
      </w:pPr>
      <w:r>
        <w:t>2. Niveaubepaling per Stof</w:t>
      </w:r>
    </w:p>
    <w:p>
      <w:pPr>
        <w:pStyle w:val="Heading3"/>
      </w:pPr>
      <w:r>
        <w:t>2.1 Sodium hydroxide 50% (ADR 8 VG II)</w:t>
      </w:r>
    </w:p>
    <w:p>
      <w:r>
        <w:t>**ADR-route**:</w:t>
      </w:r>
    </w:p>
    <w:p>
      <w:pPr>
        <w:pStyle w:val="ListBullet"/>
      </w:pPr>
      <w:r>
        <w:t>ADR 8 VG II, onbrandbaar → Tabel 6 rij "ADR 8 VG II+III onbrandbaar, geen acute tox" → **Geen specifiek veiligheidsniveau** (voetnoot c)</w:t>
      </w:r>
    </w:p>
    <w:p>
      <w:pPr>
        <w:pStyle w:val="ListBullet"/>
      </w:pPr>
      <w:r>
        <w:t>Hoeveelheid: ~120 kg (individueel)</w:t>
      </w:r>
    </w:p>
    <w:p>
      <w:r>
        <w:t>**CLP-route**:</w:t>
      </w:r>
    </w:p>
    <w:p>
      <w:pPr>
        <w:pStyle w:val="ListBullet"/>
      </w:pPr>
      <w:r>
        <w:t>Niet CMR, niet Acute Tox. cat. 1/2/3 → Geen CLP-route</w:t>
      </w:r>
    </w:p>
    <w:p>
      <w:r>
        <w:t>→ **Strengste niveau: Basisveiligheidsniveau**</w:t>
      </w:r>
    </w:p>
    <w:p>
      <w:pPr>
        <w:pStyle w:val="Heading3"/>
      </w:pPr>
      <w:r>
        <w:t>2.2 Sulfuric acid 75% (ADR 8 VG II)</w:t>
      </w:r>
    </w:p>
    <w:p>
      <w:r>
        <w:t>**ADR-route**: ADR 8 VG II, onbrandbaar → **Basisveiligheidsniveau**</w:t>
      </w:r>
    </w:p>
    <w:p>
      <w:r>
        <w:t>**CLP-route**: Niet CMR, niet Acute Tox. → Geen CLP-route</w:t>
      </w:r>
    </w:p>
    <w:p>
      <w:r>
        <w:t>→ **Strengste niveau: Basisveiligheidsniveau**</w:t>
      </w:r>
    </w:p>
    <w:p>
      <w:pPr>
        <w:pStyle w:val="Heading3"/>
      </w:pPr>
      <w:r>
        <w:t>2.3 Sulfuric acid 50% (ADR 8 VG II)</w:t>
      </w:r>
    </w:p>
    <w:p>
      <w:r>
        <w:t>**ADR-route**: ADR 8 VG II, onbrandbaar → **Basisveiligheidsniveau**</w:t>
      </w:r>
    </w:p>
    <w:p>
      <w:r>
        <w:t>**CLP-route**: Niet CMR, niet Acute Tox. → Geen CLP-route</w:t>
      </w:r>
    </w:p>
    <w:p>
      <w:r>
        <w:t>→ **Strengste niveau: Basisveiligheidsniveau**</w:t>
      </w:r>
    </w:p>
    <w:p>
      <w:pPr>
        <w:pStyle w:val="Heading3"/>
      </w:pPr>
      <w:r>
        <w:t>2.4 Sulfuric acid 25% (ADR 8 VG II)</w:t>
      </w:r>
    </w:p>
    <w:p>
      <w:r>
        <w:t>**ADR-route**: ADR 8 VG II, onbrandbaar → **Basisveiligheidsniveau**</w:t>
      </w:r>
    </w:p>
    <w:p>
      <w:r>
        <w:t>**CLP-route**: Niet CMR, niet Acute Tox. → Geen CLP-route</w:t>
      </w:r>
    </w:p>
    <w:p>
      <w:r>
        <w:t>→ **Strengste niveau: Basisveiligheidsniveau**</w:t>
      </w:r>
    </w:p>
    <w:p>
      <w:pPr>
        <w:pStyle w:val="Heading3"/>
      </w:pPr>
      <w:r>
        <w:t>2.5 ⚠️ Vanadium(V) oxide — V₂O₅ (ADR 6.1 VG II)</w:t>
      </w:r>
    </w:p>
    <w:p>
      <w:r>
        <w:t>**ADR-route**:</w:t>
      </w:r>
    </w:p>
    <w:p>
      <w:pPr>
        <w:pStyle w:val="ListBullet"/>
      </w:pPr>
      <w:r>
        <w:t>ADR 6.1 VG II → Tabel 6: ondergrens 25 kg (Tabel 2)</w:t>
      </w:r>
    </w:p>
    <w:p>
      <w:pPr>
        <w:pStyle w:val="ListBullet"/>
      </w:pPr>
      <w:r>
        <w:t>&lt;10 ton → **C-niveau** (Wbdbo 60 min)</w:t>
      </w:r>
    </w:p>
    <w:p>
      <w:pPr>
        <w:pStyle w:val="ListBullet"/>
      </w:pPr>
      <w:r>
        <w:t>&lt;20 ton → C-niveau (Wbdbo 90 min)</w:t>
      </w:r>
    </w:p>
    <w:p>
      <w:pPr>
        <w:pStyle w:val="ListBullet"/>
      </w:pPr>
      <w:r>
        <w:t>&gt;10 ton → A-niveau</w:t>
      </w:r>
    </w:p>
    <w:p>
      <w:r>
        <w:t>**CLP-route**:</w:t>
      </w:r>
    </w:p>
    <w:p>
      <w:pPr>
        <w:pStyle w:val="ListBullet"/>
      </w:pPr>
      <w:r>
        <w:t>**Acute Tox. Cat. 2 (H330)**: Ondergrens 1 kg (Tabel 2) → &lt;1 ton → **C-niveau** (Wbdbo 60 min); &gt;1 ton → A-niveau</w:t>
      </w:r>
    </w:p>
    <w:p>
      <w:pPr>
        <w:pStyle w:val="ListBullet"/>
      </w:pPr>
      <w:r>
        <w:t>**Carc. 1B (H350i)**: CMR Cat. 1B vast/poeder → Ondergrens **25 kg** → CMR-route toepasselijk</w:t>
      </w:r>
    </w:p>
    <w:p>
      <w:pPr>
        <w:pStyle w:val="ListBullet"/>
      </w:pPr>
      <w:r>
        <w:t>**Repr. 2 (H361fd)**: CMR Cat. 2 — lagere prioriteit dan Cat. 1B</w:t>
      </w:r>
    </w:p>
    <w:p>
      <w:r>
        <w:t>**CMR-route (Tabel 6)**:</w:t>
      </w:r>
    </w:p>
    <w:p>
      <w:pPr>
        <w:pStyle w:val="ListBullet"/>
      </w:pPr>
      <w:r>
        <w:t>V₂O₅ heeft een ADR-classificatie (6.1 VG II) → de ADR-route prevaleert boven de CMR-only route</w:t>
      </w:r>
    </w:p>
    <w:p>
      <w:pPr>
        <w:pStyle w:val="ListBullet"/>
      </w:pPr>
      <w:r>
        <w:t>Echter: de CLP Acute Tox. route is een **extra** route die onafhankelijk wordt beoordeeld</w:t>
      </w:r>
    </w:p>
    <w:p>
      <w:r>
        <w:t>→ **Strengste niveau: C-NIVEAU** (vanaf 1 kg V₂O₅ in opslag)</w:t>
      </w:r>
    </w:p>
    <w:p>
      <w:pPr>
        <w:pStyle w:val="Heading3"/>
      </w:pPr>
      <w:r>
        <w:t>2.6 Calcium oxide (ADR 8 VG III)</w:t>
      </w:r>
    </w:p>
    <w:p>
      <w:r>
        <w:t>**ADR-route**: ADR 8 VG III, onbrandbaar → **Basisveiligheidsniveau** (voetnoot c)</w:t>
      </w:r>
    </w:p>
    <w:p>
      <w:r>
        <w:t>**CLP-route**: Niet CMR, niet Acute Tox. → Geen CLP-route</w:t>
      </w:r>
    </w:p>
    <w:p>
      <w:r>
        <w:t>→ **Strengste niveau: Basisveiligheidsniveau**</w:t>
      </w:r>
    </w:p>
    <w:p>
      <w:pPr>
        <w:pStyle w:val="Heading3"/>
      </w:pPr>
      <w:r>
        <w:t>2.7 Vanadium(IV) sulfaat oplossing — TE BEVESTIGEN</w:t>
      </w:r>
    </w:p>
    <w:p>
      <w:r>
        <w:t>**Verwachte classificatie**: Waarschijnlijk Acute Tox. (cat. 3 of 4), mogelijk Skin Corr.</w:t>
      </w:r>
    </w:p>
    <w:p>
      <w:r>
        <w:t>**ADR-route**: Mogelijk ADR 6.1 — **TE BEVESTIGEN via SDS**</w:t>
      </w:r>
    </w:p>
    <w:p>
      <w:r>
        <w:t>**CLP-route**: Afhankelijk van exacte classificatie</w:t>
      </w:r>
    </w:p>
    <w:p>
      <w:r>
        <w:t>→ **Niveau: TE BEVESTIGEN** — impact kan oplopen tot C-niveau bij Acute Tox. cat. 2/3</w:t>
      </w:r>
    </w:p>
    <w:p>
      <w:pPr>
        <w:pStyle w:val="Heading3"/>
      </w:pPr>
      <w:r>
        <w:t>2.8 Vanadium elektrolyt (V³·⁵⁺) — TE BEVESTIGEN</w:t>
      </w:r>
    </w:p>
    <w:p>
      <w:r>
        <w:t>**Verwachte classificatie**: Waarschijnlijk Acute Tox. (vanadiumverbindingen)</w:t>
      </w:r>
    </w:p>
    <w:p>
      <w:r>
        <w:t>**ADR-route**: Mogelijk ADR 6.1 — **TE BEVESTIGEN via SDS**</w:t>
      </w:r>
    </w:p>
    <w:p>
      <w:r>
        <w:t>→ **Niveau: TE BEVESTIGEN** — zelfde caveats als 2.7</w:t>
      </w:r>
    </w:p>
    <w:p>
      <w:r>
        <w:t>---</w:t>
      </w:r>
    </w:p>
    <w:p>
      <w:pPr>
        <w:pStyle w:val="Heading2"/>
      </w:pPr>
      <w:r>
        <w:t>3. Aggregatie per ADR-klasse</w:t>
      </w:r>
    </w:p>
    <w:p>
      <w:pPr>
        <w:pStyle w:val="Heading3"/>
      </w:pPr>
      <w:r>
        <w:t>3.1 ADR-klasse 8 — Bijtende stoffen</w:t>
      </w:r>
    </w:p>
    <w:p>
      <w:r>
        <w:t>| Stof | VG | Hoeveelheid | Gewicht (kg) | Onbrandbaar |</w:t>
      </w:r>
    </w:p>
    <w:p>
      <w:r>
        <w:t>|------|-----|-------------|-------------|-------------|</w:t>
      </w:r>
    </w:p>
    <w:p>
      <w:r>
        <w:t>| Sodium hydroxide 50% | II | 100 L | ~120 kg | Ja |</w:t>
      </w:r>
    </w:p>
    <w:p>
      <w:r>
        <w:t>| Sulfuric acid 75% | II | 30 L | ~50 kg | Ja |</w:t>
      </w:r>
    </w:p>
    <w:p>
      <w:r>
        <w:t>| Sulfuric acid 50% | II | 70 L | ~110 kg | Ja |</w:t>
      </w:r>
    </w:p>
    <w:p>
      <w:r>
        <w:t>| Sulfuric acid 25% | II | 100 L | ~120 kg | Ja |</w:t>
      </w:r>
    </w:p>
    <w:p>
      <w:r>
        <w:t>| Calcium oxide | III | 10 kg | 10 kg | Ja |</w:t>
      </w:r>
    </w:p>
    <w:p>
      <w:r>
        <w:t>| **TOTAAL ADR 8** | | | **~410 kg** | |</w:t>
      </w:r>
    </w:p>
    <w:p>
      <w:r>
        <w:t>**Toetsing Tabel 6**:</w:t>
      </w:r>
    </w:p>
    <w:p>
      <w:pPr>
        <w:pStyle w:val="ListBullet"/>
      </w:pPr>
      <w:r>
        <w:t>ADR 8 VG II+III, onbrandbaar, géén Acute Tox. → **Geen specifiek veiligheidsniveau** (voetnoot c)</w:t>
      </w:r>
    </w:p>
    <w:p>
      <w:pPr>
        <w:pStyle w:val="ListBullet"/>
      </w:pPr>
      <w:r>
        <w:t>Totaal ~410 kg → ver onder 2.500 kg (Tabel 7)</w:t>
      </w:r>
    </w:p>
    <w:p>
      <w:r>
        <w:t>→ **ADR 8 aggregaat: Basisveiligheidsniveau**</w:t>
      </w:r>
    </w:p>
    <w:p>
      <w:pPr>
        <w:pStyle w:val="Heading3"/>
      </w:pPr>
      <w:r>
        <w:t>3.2 ADR-klasse 6.1 — Giftige stoffen</w:t>
      </w:r>
    </w:p>
    <w:p>
      <w:r>
        <w:t>| Stof | VG | Hoeveelheid | Gewicht (kg) |</w:t>
      </w:r>
    </w:p>
    <w:p>
      <w:r>
        <w:t>|------|-----|-------------|-------------|</w:t>
      </w:r>
    </w:p>
    <w:p>
      <w:r>
        <w:t>| Vanadium(V) oxide (V₂O₅) | II | **TE BEVESTIGEN** | TBV |</w:t>
      </w:r>
    </w:p>
    <w:p>
      <w:r>
        <w:t>**Toetsing Tabel 6**:</w:t>
      </w:r>
    </w:p>
    <w:p>
      <w:pPr>
        <w:pStyle w:val="ListBullet"/>
      </w:pPr>
      <w:r>
        <w:t>ADR 6.1 VG II → &lt;1 ton → **C-niveau** (Wbdbo 60 min)</w:t>
      </w:r>
    </w:p>
    <w:p>
      <w:pPr>
        <w:pStyle w:val="ListBullet"/>
      </w:pPr>
      <w:r>
        <w:t>Ondergrens Tabel 2: VG I = 1 kg, maar V₂O₅ is VG II → ondergrens 50 kg</w:t>
      </w:r>
    </w:p>
    <w:p>
      <w:r>
        <w:t>**⚠️ AANNAME**: Phoenix Metals slaat V₂O₅ op als eindproduct. Hoeveelheid onbekend.</w:t>
      </w:r>
    </w:p>
    <w:p>
      <w:pPr>
        <w:pStyle w:val="ListBullet"/>
      </w:pPr>
      <w:r>
        <w:t>Bij ≥50 kg (ADR 6.1 VG II ondergrens): PGS 15 van toepassing → **C-niveau**</w:t>
      </w:r>
    </w:p>
    <w:p>
      <w:pPr>
        <w:pStyle w:val="ListBullet"/>
      </w:pPr>
      <w:r>
        <w:t>Bij ≥25 kg (CMR 1B poeder ondergrens): C-niveau via CMR-route</w:t>
      </w:r>
    </w:p>
    <w:p>
      <w:pPr>
        <w:pStyle w:val="ListBullet"/>
      </w:pPr>
      <w:r>
        <w:t>Bij ≥1 kg (Acute Tox. 2 ondergrens): C-niveau via CLP-route</w:t>
      </w:r>
    </w:p>
    <w:p>
      <w:pPr>
        <w:pStyle w:val="ListBullet"/>
      </w:pPr>
      <w:r>
        <w:t>**Zelfs bij geringe hoeveelheden (&lt;50 kg maar &gt;1 kg)**: C-niveau via CLP Acute Tox. 2</w:t>
      </w:r>
    </w:p>
    <w:p>
      <w:r>
        <w:t>→ **ADR 6.1 aggregaat: C-NIVEAU** (vanaf 1 kg V₂O₅)</w:t>
      </w:r>
    </w:p>
    <w:p>
      <w:pPr>
        <w:pStyle w:val="Heading3"/>
      </w:pPr>
      <w:r>
        <w:t>3.3 CLP-routes — Aggregatie</w:t>
      </w:r>
    </w:p>
    <w:p>
      <w:r>
        <w:t>#### CMR Cat. 1B — Vast/Poeder</w:t>
      </w:r>
    </w:p>
    <w:p>
      <w:r>
        <w:t>| Stof | CMR categorie | Vorm | Ondergrens (Tabel 2) | Hoeveelheid |</w:t>
      </w:r>
    </w:p>
    <w:p>
      <w:r>
        <w:t>|------|--------------|------|----------------------|-------------|</w:t>
      </w:r>
    </w:p>
    <w:p>
      <w:r>
        <w:t>| V₂O₅ | Carc. 1B (H350i) | Poeder | 25 kg | TBV |</w:t>
      </w:r>
    </w:p>
    <w:p>
      <w:pPr>
        <w:pStyle w:val="ListBullet"/>
      </w:pPr>
      <w:r>
        <w:t>V₂O₅ heeft ook ADR 6.1 → ADR-route prevaleert voor Tabel 6-niveau</w:t>
      </w:r>
    </w:p>
    <w:p>
      <w:pPr>
        <w:pStyle w:val="ListBullet"/>
      </w:pPr>
      <w:r>
        <w:t>CMR-classificatie triggert wel aanvullende arbo-maatregelen (AI-06, werkplekinventarisatie)</w:t>
      </w:r>
    </w:p>
    <w:p>
      <w:r>
        <w:t>#### Acute Toxiciteit Cat. 2 (CLP)</w:t>
      </w:r>
    </w:p>
    <w:p>
      <w:r>
        <w:t>| Stof | Acute Tox. categorie | Route | Ondergrens (Tabel 2) | Tabel 6 drempel |</w:t>
      </w:r>
    </w:p>
    <w:p>
      <w:r>
        <w:t>|------|---------------------|-------|----------------------|-----------------|</w:t>
      </w:r>
    </w:p>
    <w:p>
      <w:r>
        <w:t>| V₂O₅ | Cat. 2 (H330) | Inhalatie | 1 kg | &lt;1 ton → C; &gt;1 ton → A |</w:t>
      </w:r>
    </w:p>
    <w:p>
      <w:pPr>
        <w:pStyle w:val="ListBullet"/>
      </w:pPr>
      <w:r>
        <w:t>**Vanaf 1 kg V₂O₅ in opslag → C-niveau verplicht**</w:t>
      </w:r>
    </w:p>
    <w:p>
      <w:r>
        <w:t>#### Acute Toxiciteit Cat. 3 (CLP)</w:t>
      </w:r>
    </w:p>
    <w:p>
      <w:r>
        <w:t>Geen stoffen geïdentificeerd (V₂O₅ is Cat. 2, niet Cat. 3).</w:t>
      </w:r>
    </w:p>
    <w:p>
      <w:r>
        <w:t>---</w:t>
      </w:r>
    </w:p>
    <w:p>
      <w:pPr>
        <w:pStyle w:val="Heading2"/>
      </w:pPr>
      <w:r>
        <w:t>4. Catch-all Toetsing</w:t>
      </w:r>
    </w:p>
    <w:p>
      <w:r>
        <w:t>| Categorie | Gewicht |</w:t>
      </w:r>
    </w:p>
    <w:p>
      <w:r>
        <w:t>|-----------|---------|</w:t>
      </w:r>
    </w:p>
    <w:p>
      <w:r>
        <w:t>| ADR 8 stoffen | ~410 kg |</w:t>
      </w:r>
    </w:p>
    <w:p>
      <w:r>
        <w:t>| V₂O₅ (ADR 6.1) | TBV |</w:t>
      </w:r>
    </w:p>
    <w:p>
      <w:r>
        <w:t>| Overige stoffen (niet-ADR) | 5 kg |</w:t>
      </w:r>
    </w:p>
    <w:p>
      <w:r>
        <w:t>| **Totaal bekende gevaarlijke stoffen** | **~415 kg + V₂O₅ (TBV)** |</w:t>
      </w:r>
    </w:p>
    <w:p>
      <w:r>
        <w:t xml:space="preserve">**Conclusie**: Zonder V₂O₅: ~415 kg &lt; 1.000 kg → catch-all niet van toepassing.  </w:t>
      </w:r>
    </w:p>
    <w:p>
      <w:r>
        <w:t>Met V₂O₅: afhankelijk van opslaghoeveelheid. Bij &gt;585 kg V₂O₅ → catch-all van toepassing (maar dan is al C-niveau vereist via CLP/AOA 6.1).</w:t>
      </w:r>
    </w:p>
    <w:p>
      <w:r>
        <w:t>---</w:t>
      </w:r>
    </w:p>
    <w:p>
      <w:pPr>
        <w:pStyle w:val="Heading2"/>
      </w:pPr>
      <w:r>
        <w:t>5. Ondergrenzen Controle (Tabel 2)</w:t>
      </w:r>
    </w:p>
    <w:p>
      <w:r>
        <w:t>| Stof/Stofgroep | ADR/VG | Ondergrens Tabel 2 | Hoeveelheid | Boven ondergrens? |</w:t>
      </w:r>
    </w:p>
    <w:p>
      <w:r>
        <w:t>|----------------|--------|--------------------|-------------|--------------------|</w:t>
      </w:r>
    </w:p>
    <w:p>
      <w:r>
        <w:t>| NaOH 50% (individueel) | 8 / II | 250 kg | ~120 kg | Nee |</w:t>
      </w:r>
    </w:p>
    <w:p>
      <w:r>
        <w:t>| H₂SO₄ 25-75% (individueel) | 8 / II | 250 kg | ~280 kg | Nee (individueel) |</w:t>
      </w:r>
    </w:p>
    <w:p>
      <w:r>
        <w:t>| **ADR 8 VG II geaggregeerd** | 8 / II | 250 kg | **~400 kg** | **JA** |</w:t>
      </w:r>
    </w:p>
    <w:p>
      <w:r>
        <w:t>| Calcium oxide | 8 / III | 250 kg | 10 kg | Nee |</w:t>
      </w:r>
    </w:p>
    <w:p>
      <w:r>
        <w:t>| V₂O₅ | 6.1 / II | 50 kg | TBV | **Waarschijnlijk JA** |</w:t>
      </w:r>
    </w:p>
    <w:p>
      <w:r>
        <w:t>| **V₂O₅ (CLP Acute Tox. 2)** | CLP | 1 kg | TBV | **Zeer waarschijnlijk JA** |</w:t>
      </w:r>
    </w:p>
    <w:p>
      <w:r>
        <w:t>| **V₂O₅ (CLP CMR 1B poeder)** | CMR | 25 kg | TBV | **Waarschijnlijk JA** |</w:t>
      </w:r>
    </w:p>
    <w:p>
      <w:r>
        <w:t>---</w:t>
      </w:r>
    </w:p>
    <w:p>
      <w:pPr>
        <w:pStyle w:val="Heading2"/>
      </w:pPr>
      <w:r>
        <w:t>6. 🔴 VERPLICHT OPSLAGNIVEAU — Resultaat</w:t>
      </w:r>
    </w:p>
    <w:p>
      <w:pPr>
        <w:pStyle w:val="Heading3"/>
      </w:pPr>
      <w:r>
        <w:t>Bepaald niveau: **C-NIVEAU**</w:t>
      </w:r>
    </w:p>
    <w:p>
      <w:r>
        <w:t>| Factor | Resultaat | Niveau |</w:t>
      </w:r>
    </w:p>
    <w:p>
      <w:r>
        <w:t>|--------|-----------|--------|</w:t>
      </w:r>
    </w:p>
    <w:p>
      <w:r>
        <w:t>| ADR 8 geaggregeerd | ~410 kg, onbrandbaar | Basis |</w:t>
      </w:r>
    </w:p>
    <w:p>
      <w:r>
        <w:t>| ADR 6.1 (V₂O₅) | &gt;1 kg verwacht | **C** |</w:t>
      </w:r>
    </w:p>
    <w:p>
      <w:r>
        <w:t>| CLP Acute Tox. 2 (V₂O₅) | &gt;1 kg verwacht | **C** |</w:t>
      </w:r>
    </w:p>
    <w:p>
      <w:r>
        <w:t>| CLP CMR 1B (V₂O₅) | &gt;25 kg verwacht | C (via ADR) |</w:t>
      </w:r>
    </w:p>
    <w:p>
      <w:r>
        <w:t>| Catch-all | ~415 kg + TBV | Basis (onvoldoende) |</w:t>
      </w:r>
    </w:p>
    <w:p>
      <w:r>
        <w:t>| **Strengste niveau** | | **C-NIVEAU** |</w:t>
      </w:r>
    </w:p>
    <w:p>
      <w:pPr>
        <w:pStyle w:val="Heading3"/>
      </w:pPr>
      <w:r>
        <w:t>Onderbouwing</w:t>
      </w:r>
    </w:p>
    <w:p>
      <w:r>
        <w:t>**V₂O₅ is de dominante factor.** Zodra Phoenix Metals meer dan 1 kg vanadium(V) oxide opslaat (als poeder), triggert de CLP Acute Tox. Cat. 2 route en wordt C-niveau verplicht.</w:t>
      </w:r>
    </w:p>
    <w:p>
      <w:pPr>
        <w:pStyle w:val="ListBullet"/>
      </w:pPr>
      <w:r>
        <w:t>**ADR-route**: ADR 6.1 VG II → &lt;10 ton → C (Wbdbo 60 min)</w:t>
      </w:r>
    </w:p>
    <w:p>
      <w:pPr>
        <w:pStyle w:val="ListBullet"/>
      </w:pPr>
      <w:r>
        <w:t>**CLP-route**: Acute Tox. Cat. 2 → &lt;1 ton → C (Wbdbo 60 min)</w:t>
      </w:r>
    </w:p>
    <w:p>
      <w:pPr>
        <w:pStyle w:val="ListBullet"/>
      </w:pPr>
      <w:r>
        <w:t>**Beide routes leiden onafhankelijk tot C-niveau**</w:t>
      </w:r>
    </w:p>
    <w:p>
      <w:pPr>
        <w:pStyle w:val="Heading3"/>
      </w:pPr>
      <w:r>
        <w:t>Verplichte constructieve eisen C-niveau</w:t>
      </w:r>
    </w:p>
    <w:p>
      <w:r>
        <w:t>| Eis | Vereiste | PGS 15 referentie |</w:t>
      </w:r>
    </w:p>
    <w:p>
      <w:r>
        <w:t>|-----|----------|-------------------|</w:t>
      </w:r>
    </w:p>
    <w:p>
      <w:r>
        <w:t>| Wbdbo | 60 minuten (tot 10 ton V₂O₅) | Tabel 6 |</w:t>
      </w:r>
    </w:p>
    <w:p>
      <w:r>
        <w:t>| Branddetectie | Ja (NEN 2535) | M103 |</w:t>
      </w:r>
    </w:p>
    <w:p>
      <w:r>
        <w:t>| Brandwerende constructie | Wanden en constructie ≥60 min Wbdbo | Doel D7 |</w:t>
      </w:r>
    </w:p>
    <w:p>
      <w:r>
        <w:t>| Productopvang | Grootste individuele vak | Tabel 8 |</w:t>
      </w:r>
    </w:p>
    <w:p>
      <w:r>
        <w:t>| Basisveiligheidsniveau | Volledig van toepassing | §7 |</w:t>
      </w:r>
    </w:p>
    <w:p>
      <w:pPr>
        <w:pStyle w:val="Heading3"/>
      </w:pPr>
      <w:r>
        <w:t>Schaalniveaus (wanneer A-niveau?)</w:t>
      </w:r>
    </w:p>
    <w:p>
      <w:r>
        <w:t>| V₂O₅ hoeveelheid | Niveau (ADR 6.1 VG II) | Niveau (CLP Acute Tox. 2) | Resultaat |</w:t>
      </w:r>
    </w:p>
    <w:p>
      <w:r>
        <w:t>|-------------------|------------------------|---------------------------|-----------|</w:t>
      </w:r>
    </w:p>
    <w:p>
      <w:r>
        <w:t>| 1 kg – 10 kg | C (Wbdbo 60 min) | C (Wbdbo 60 min) | **C** |</w:t>
      </w:r>
    </w:p>
    <w:p>
      <w:r>
        <w:t>| 10 kg – 1.000 kg | C (Wbdbo 60 min) | C (Wbdbo 60 min) | **C** |</w:t>
      </w:r>
    </w:p>
    <w:p>
      <w:r>
        <w:t>| 1.000 kg – 10.000 kg | C (Wbdbo 60 min) | **A** (automatische blussing) | **A** |</w:t>
      </w:r>
    </w:p>
    <w:p>
      <w:r>
        <w:t>| &gt;10.000 kg | A (automatische blussing) | A | **A** |</w:t>
      </w:r>
    </w:p>
    <w:p>
      <w:r>
        <w:t>**Drempel A-niveau**: Als Phoenix Metals meer dan **1 ton (1.000 kg) V₂O₅** opslaat, schaalt het verplichte niveau naar **A-niveau** (automatische blussing verplicht).</w:t>
      </w:r>
    </w:p>
    <w:p>
      <w:r>
        <w:t>---</w:t>
      </w:r>
    </w:p>
    <w:p>
      <w:pPr>
        <w:pStyle w:val="Heading2"/>
      </w:pPr>
      <w:r>
        <w:t>7. ⚠️ Aannames en Onzekerheden</w:t>
      </w:r>
    </w:p>
    <w:p>
      <w:r>
        <w:t>| # | Aanname/Onzekerheid | Impact | Actie |</w:t>
      </w:r>
    </w:p>
    <w:p>
      <w:r>
        <w:t>|---|---------------------|--------|-------|</w:t>
      </w:r>
    </w:p>
    <w:p>
      <w:r>
        <w:t>| 1 | V₂O₅ wordt opgeslagen op de locatie | HOOG — bepaalt verschil tussen Basis en C/A | Bevestig max. opslaghoeveelheid |</w:t>
      </w:r>
    </w:p>
    <w:p>
      <w:r>
        <w:t>| 2 | V₂O₅ hoeveelheid &lt;1 ton | HOOG — bepaalt C vs A-niveau | Bevestig max. opslaghoeveelheid |</w:t>
      </w:r>
    </w:p>
    <w:p>
      <w:r>
        <w:t>| 3 | Calcium oxide = ADR 8 VG III | LAAG — 10 kg, geen impact op niveau | Verifieer SDS |</w:t>
      </w:r>
    </w:p>
    <w:p>
      <w:r>
        <w:t>| 4 | Vanadium(IV) sulfaat = geen/geen significante ADR-classificatie | MIDDEN — bij ADR 6.1 versterkt C-niveau | Verkrijg SDS |</w:t>
      </w:r>
    </w:p>
    <w:p>
      <w:r>
        <w:t>| 5 | Vanadium elektrolyt = geen/geen significante ADR-classificatie | MIDDEN — zelfde als boven | Verkrijg SDS |</w:t>
      </w:r>
    </w:p>
    <w:p>
      <w:r>
        <w:t>| 6 | Geen brandstoffen/smeermiddelen op locatie | HOOG — ADR 3 verandert niveau | Bevestig met Phoenix Metals |</w:t>
      </w:r>
    </w:p>
    <w:p>
      <w:r>
        <w:t>| 7 | Liter→kg conversie (NaOH ~1,2; H₂SO₄ ~1,2-1,7) | LAAG — ruim onder drempels | Meet werkelijke gewichten |</w:t>
      </w:r>
    </w:p>
    <w:p>
      <w:r>
        <w:t>---</w:t>
      </w:r>
    </w:p>
    <w:p>
      <w:r>
        <w:t xml:space="preserve">*Niveaubepaling v2.0 — Phoenix Metals — 27 april 2026*  </w:t>
      </w:r>
    </w:p>
    <w:p>
      <w:r>
        <w:t xml:space="preserve">*Herzien: Inclusief V₂O₅ en CLP-routes*  </w:t>
      </w:r>
    </w:p>
    <w:p>
      <w:r>
        <w:t>*Status: CONCEPT — vereist bevestiging hoeveelheden*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© 2026 JvG Consultancy | HSEQ | 28 April 2026 | Vertrouwelijk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t>JvG Consultancy | PGS 15:2025 Phoenix Metals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