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/>
          <w:b/>
          <w:color w:val="003366"/>
          <w:sz w:val="32"/>
        </w:rPr>
        <w:t>Kennisdossier Pgs15 2025 V1.0</w:t>
      </w:r>
    </w:p>
    <w:p/>
    <w:p>
      <w:r>
        <w:rPr>
          <w:rFonts w:ascii="Calibri" w:hAnsi="Calibri"/>
          <w:color w:val="000000"/>
          <w:sz w:val="22"/>
        </w:rPr>
        <w:t>Kennisdossier PGS 15:2025 — Phoenix Metals</w:t>
      </w:r>
    </w:p>
    <w:p>
      <w:r>
        <w:rPr>
          <w:rFonts w:ascii="Calibri" w:hAnsi="Calibri"/>
          <w:color w:val="000000"/>
          <w:sz w:val="22"/>
        </w:rPr>
        <w:t xml:space="preserve">Versie: 1.0  </w:t>
        <w:br/>
        <w:t xml:space="preserve">Datum: 27 april 2026  </w:t>
        <w:br/>
        <w:t xml:space="preserve">Doelgroep: HSE professionals, management, operators  </w:t>
        <w:br/>
        <w:t>Doel: Kennisoverdracht PGS 15:2025 systeem met Phoenix Metals als werkvoorbeeld</w:t>
      </w:r>
    </w:p>
    <w:p>
      <w:r>
        <w:rPr>
          <w:rFonts w:ascii="Calibri" w:hAnsi="Calibri"/>
          <w:color w:val="000000"/>
          <w:sz w:val="22"/>
        </w:rPr>
        <w:t>--</w:t>
      </w:r>
    </w:p>
    <w:p>
      <w:r>
        <w:rPr>
          <w:rFonts w:ascii="Calibri" w:hAnsi="Calibri"/>
          <w:color w:val="000000"/>
          <w:sz w:val="22"/>
        </w:rPr>
        <w:t>Achtergrond PGS 15:2025</w:t>
      </w:r>
    </w:p>
    <w:p>
      <w:r>
        <w:rPr>
          <w:rFonts w:ascii="Calibri" w:hAnsi="Calibri"/>
          <w:color w:val="000000"/>
          <w:sz w:val="22"/>
        </w:rPr>
        <w:t>1 Wat is PGS 15?</w:t>
        <w:br/>
        <w:t>PGS 15 (Publicatie 565) is de Nederlandse richtlijn voor de veilige opslag van verpakte gevaarlijke stoffen. Versie 1.0 is gepubliceerd in januari 2025 en vervangt de eerdere versie (PGS 15:2019).</w:t>
      </w:r>
    </w:p>
    <w:p>
      <w:r>
        <w:rPr>
          <w:rFonts w:ascii="Calibri" w:hAnsi="Calibri"/>
          <w:color w:val="000000"/>
          <w:sz w:val="22"/>
        </w:rPr>
        <w:t>2 Wettelijk kader</w:t>
        <w:br/>
        <w:t>Basis: Arbowet art. 4.1c (preventiemaatregelen gevaarlijke stoffen) en art. 4.1d (register gevaarlijke stoffen)</w:t>
        <w:br/>
        <w:t>Omgevingswet: Art. 4.1012 Bal — opslag gevaarlijke stoffen</w:t>
        <w:br/>
        <w:t>Status: PGS 15 is een richtlijn (niet wettelijk bindend), maar wordt gehanteerd als stand van techniek door toezichthouders (Inspectie SZW, omgevingsdiensten)</w:t>
      </w:r>
    </w:p>
    <w:p>
      <w:r>
        <w:rPr>
          <w:rFonts w:ascii="Calibri" w:hAnsi="Calibri"/>
          <w:color w:val="000000"/>
          <w:sz w:val="22"/>
        </w:rPr>
        <w:t>3 Toepassingsgebied</w:t>
        <w:br/>
        <w:t>PGS 15 is van toepassing op opslag van verpakte gevaarlijke stoffen die vallen onder:</w:t>
        <w:br/>
        <w:t>ADR-klassen 2, 3, 4.1, 4.2, 4.3, 5.1, 5.2, 6.1, 6.2, 8, 9 (met uitzonderingen, zie Tabel 1)</w:t>
        <w:br/>
        <w:t>CMR-stoffen (behalve metalen in vaste vorm)</w:t>
        <w:br/>
        <w:t>CLP-stoffen met Acute Toxiciteit cat. 1/2/3</w:t>
        <w:br/>
        <w:t>Gewasbeschermingsmiddelen en biociden ≥400 kg</w:t>
      </w:r>
    </w:p>
    <w:p>
      <w:r>
        <w:rPr>
          <w:rFonts w:ascii="Calibri" w:hAnsi="Calibri"/>
          <w:color w:val="000000"/>
          <w:sz w:val="22"/>
        </w:rPr>
        <w:t>--</w:t>
      </w:r>
    </w:p>
    <w:p>
      <w:r>
        <w:rPr>
          <w:rFonts w:ascii="Calibri" w:hAnsi="Calibri"/>
          <w:color w:val="000000"/>
          <w:sz w:val="22"/>
        </w:rPr>
        <w:t>Niveaubepaling Systeem</w:t>
      </w:r>
    </w:p>
    <w:p>
      <w:r>
        <w:rPr>
          <w:rFonts w:ascii="Calibri" w:hAnsi="Calibri"/>
          <w:color w:val="000000"/>
          <w:sz w:val="22"/>
        </w:rPr>
        <w:t>1 Twee routes</w:t>
        <w:br/>
        <w:t>PGS 15:2025 kent twee onafhankelijke classificatieroutes:</w:t>
      </w:r>
    </w:p>
    <w:p>
      <w:r>
        <w:rPr>
          <w:rFonts w:ascii="Calibri" w:hAnsi="Calibri"/>
          <w:color w:val="000000"/>
          <w:sz w:val="22"/>
        </w:rPr>
        <w:t>ADR-route: Bepaald op basis van ADR-klasse en Verpakkingsgroep (VG).</w:t>
        <w:br/>
        <w:t>VG I: hoogste gevaar → laagste ondergrens (1 kg)</w:t>
        <w:br/>
        <w:t>VG II: middelhoge gevaar</w:t>
        <w:br/>
        <w:t>VG III: lagere gevaar</w:t>
      </w:r>
    </w:p>
    <w:p>
      <w:r>
        <w:rPr>
          <w:rFonts w:ascii="Calibri" w:hAnsi="Calibri"/>
          <w:color w:val="000000"/>
          <w:sz w:val="22"/>
        </w:rPr>
        <w:t>CLP-route: Bepaald op basis van CLP-classificatie (H-zinnen).</w:t>
        <w:br/>
        <w:t>Acute Tox. Cat. 1: ondergrens 1 kg</w:t>
        <w:br/>
        <w:t>Acute Tox. Cat. 2/3: ondergrens 1 kg</w:t>
        <w:br/>
        <w:t>CMR Cat. 1A/1B: ondergrens 25 kg (poeder/vloeistof)</w:t>
      </w:r>
    </w:p>
    <w:p>
      <w:r>
        <w:rPr>
          <w:rFonts w:ascii="Calibri" w:hAnsi="Calibri"/>
          <w:color w:val="000000"/>
          <w:sz w:val="22"/>
        </w:rPr>
        <w:t>2 Strengste route prevaleert</w:t>
        <w:br/>
        <w:t>Voor elke stof worden beide routes berekend. Het hoogste (strengste) veiligheidsniveau geldt.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</w:tblGrid>
      <w:tr>
  </w:tr>
      <w:tr>
  </w:tr>
      <w:tr>
  </w:tr>
      <w:tr>
  </w:tr>
      <w:tr>
  </w:tr>
      <w:tr>
  </w:tr>
      <w:tr>
  </w:tr>
    </w:tbl>
    <w:p/>
    <w:p>
      <w:r>
        <w:rPr>
          <w:rFonts w:ascii="Calibri" w:hAnsi="Calibri"/>
          <w:color w:val="000000"/>
          <w:sz w:val="22"/>
        </w:rPr>
        <w:t>--</w:t>
      </w:r>
    </w:p>
    <w:p>
      <w:r>
        <w:rPr>
          <w:rFonts w:ascii="Calibri" w:hAnsi="Calibri"/>
          <w:color w:val="000000"/>
          <w:sz w:val="22"/>
        </w:rPr>
        <w:t>Tabel 6 — Drempelwaarden (Uitleg)</w:t>
      </w:r>
    </w:p>
    <w:p>
      <w:r>
        <w:rPr>
          <w:rFonts w:ascii="Calibri" w:hAnsi="Calibri"/>
          <w:color w:val="000000"/>
          <w:sz w:val="22"/>
        </w:rPr>
        <w:t>1 Structuur</w:t>
        <w:br/>
        <w:t>Tabel 6 in PGS 15:2025 geeft per stofklasse en hoeveelheid het vereiste veiligheidsniveau: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Stofklasse</w:t>
            </w:r>
          </w:p>
        </w:tc>
        <w:tc>
          <w:tcPr>
            <w:tcW w:type="dxa" w:w="1440"/>
          </w:tcPr>
          <w:p>
            <w:r>
              <w:t>VG</w:t>
            </w:r>
          </w:p>
        </w:tc>
        <w:tc>
          <w:tcPr>
            <w:tcW w:type="dxa" w:w="1440"/>
          </w:tcPr>
          <w:p>
            <w:r>
              <w:t>Hoeveelheid</w:t>
            </w:r>
          </w:p>
        </w:tc>
        <w:tc>
          <w:tcPr>
            <w:tcW w:type="dxa" w:w="1440"/>
          </w:tcPr>
          <w:p>
            <w:r>
              <w:t>Niveau</w:t>
            </w:r>
          </w:p>
        </w:tc>
        <w:tc>
          <w:tcPr>
            <w:tcW w:type="dxa" w:w="1440"/>
          </w:tcPr>
          <w:p>
            <w:r>
              <w:t>Wbdbo</w:t>
            </w:r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-----------</w:t>
            </w:r>
          </w:p>
        </w:tc>
        <w:tc>
          <w:tcPr>
            <w:tcW w:type="dxa" w:w="1440"/>
          </w:tcPr>
          <w:p>
            <w:r>
              <w:t>-----</w:t>
            </w:r>
          </w:p>
        </w:tc>
        <w:tc>
          <w:tcPr>
            <w:tcW w:type="dxa" w:w="1440"/>
          </w:tcPr>
          <w:p>
            <w:r>
              <w:t>------------</w:t>
            </w:r>
          </w:p>
        </w:tc>
        <w:tc>
          <w:tcPr>
            <w:tcW w:type="dxa" w:w="1440"/>
          </w:tcPr>
          <w:p>
            <w:r>
              <w:t>--------</w:t>
            </w:r>
          </w:p>
        </w:tc>
        <w:tc>
          <w:tcPr>
            <w:tcW w:type="dxa" w:w="1440"/>
          </w:tcPr>
          <w:p>
            <w:r>
              <w:t>-------</w:t>
            </w:r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ADR 6.1</w:t>
            </w:r>
          </w:p>
        </w:tc>
        <w:tc>
          <w:tcPr>
            <w:tcW w:type="dxa" w:w="1440"/>
          </w:tcPr>
          <w:p>
            <w:r>
              <w:t>I</w:t>
            </w:r>
          </w:p>
        </w:tc>
        <w:tc>
          <w:tcPr>
            <w:tcW w:type="dxa" w:w="1440"/>
          </w:tcPr>
          <w:p>
            <w:r>
              <w:t>&lt;1 ton</w:t>
            </w:r>
          </w:p>
        </w:tc>
        <w:tc>
          <w:tcPr>
            <w:tcW w:type="dxa" w:w="1440"/>
          </w:tcPr>
          <w:p>
            <w:r>
              <w:t>C</w:t>
            </w:r>
          </w:p>
        </w:tc>
        <w:tc>
          <w:tcPr>
            <w:tcW w:type="dxa" w:w="1440"/>
          </w:tcPr>
          <w:p>
            <w:r>
              <w:t>60 min</w:t>
            </w:r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ADR 6.1</w:t>
            </w:r>
          </w:p>
        </w:tc>
        <w:tc>
          <w:tcPr>
            <w:tcW w:type="dxa" w:w="1440"/>
          </w:tcPr>
          <w:p>
            <w:r>
              <w:t>I</w:t>
            </w:r>
          </w:p>
        </w:tc>
        <w:tc>
          <w:tcPr>
            <w:tcW w:type="dxa" w:w="1440"/>
          </w:tcPr>
          <w:p>
            <w:r>
              <w:t>&gt;1 ton</w:t>
            </w:r>
          </w:p>
        </w:tc>
        <w:tc>
          <w:tcPr>
            <w:tcW w:type="dxa" w:w="1440"/>
          </w:tcPr>
          <w:p>
            <w:r>
              <w:t>A</w:t>
            </w:r>
          </w:p>
        </w:tc>
        <w:tc>
          <w:tcPr>
            <w:tcW w:type="dxa" w:w="1440"/>
          </w:tcPr>
          <w:p>
            <w:r>
              <w:t>—</w:t>
            </w:r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ADR 6.1</w:t>
            </w:r>
          </w:p>
        </w:tc>
        <w:tc>
          <w:tcPr>
            <w:tcW w:type="dxa" w:w="1440"/>
          </w:tcPr>
          <w:p>
            <w:r>
              <w:t>II</w:t>
            </w:r>
          </w:p>
        </w:tc>
        <w:tc>
          <w:tcPr>
            <w:tcW w:type="dxa" w:w="1440"/>
          </w:tcPr>
          <w:p>
            <w:r>
              <w:t>&lt;10 ton</w:t>
            </w:r>
          </w:p>
        </w:tc>
        <w:tc>
          <w:tcPr>
            <w:tcW w:type="dxa" w:w="1440"/>
          </w:tcPr>
          <w:p>
            <w:r>
              <w:t>C</w:t>
            </w:r>
          </w:p>
        </w:tc>
        <w:tc>
          <w:tcPr>
            <w:tcW w:type="dxa" w:w="1440"/>
          </w:tcPr>
          <w:p>
            <w:r>
              <w:t>60 min</w:t>
            </w:r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ADR 6.1</w:t>
            </w:r>
          </w:p>
        </w:tc>
        <w:tc>
          <w:tcPr>
            <w:tcW w:type="dxa" w:w="1440"/>
          </w:tcPr>
          <w:p>
            <w:r>
              <w:t>II</w:t>
            </w:r>
          </w:p>
        </w:tc>
        <w:tc>
          <w:tcPr>
            <w:tcW w:type="dxa" w:w="1440"/>
          </w:tcPr>
          <w:p>
            <w:r>
              <w:t>&lt;20 ton</w:t>
            </w:r>
          </w:p>
        </w:tc>
        <w:tc>
          <w:tcPr>
            <w:tcW w:type="dxa" w:w="1440"/>
          </w:tcPr>
          <w:p>
            <w:r>
              <w:t>C</w:t>
            </w:r>
          </w:p>
        </w:tc>
        <w:tc>
          <w:tcPr>
            <w:tcW w:type="dxa" w:w="1440"/>
          </w:tcPr>
          <w:p>
            <w:r>
              <w:t>90 min</w:t>
            </w:r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ADR 6.1</w:t>
            </w:r>
          </w:p>
        </w:tc>
        <w:tc>
          <w:tcPr>
            <w:tcW w:type="dxa" w:w="1440"/>
          </w:tcPr>
          <w:p>
            <w:r>
              <w:t>II</w:t>
            </w:r>
          </w:p>
        </w:tc>
        <w:tc>
          <w:tcPr>
            <w:tcW w:type="dxa" w:w="1440"/>
          </w:tcPr>
          <w:p>
            <w:r>
              <w:t>&gt;20 ton</w:t>
            </w:r>
          </w:p>
        </w:tc>
        <w:tc>
          <w:tcPr>
            <w:tcW w:type="dxa" w:w="1440"/>
          </w:tcPr>
          <w:p>
            <w:r>
              <w:t>A</w:t>
            </w:r>
          </w:p>
        </w:tc>
        <w:tc>
          <w:tcPr>
            <w:tcW w:type="dxa" w:w="1440"/>
          </w:tcPr>
          <w:p>
            <w:r>
              <w:t>—</w:t>
            </w:r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ADR 8 VG II+III onbrandbaar</w:t>
            </w:r>
          </w:p>
        </w:tc>
        <w:tc>
          <w:tcPr>
            <w:tcW w:type="dxa" w:w="1440"/>
          </w:tcPr>
          <w:p>
            <w:r>
              <w:t>—</w:t>
            </w:r>
          </w:p>
        </w:tc>
        <w:tc>
          <w:tcPr>
            <w:tcW w:type="dxa" w:w="1440"/>
          </w:tcPr>
          <w:p>
            <w:r>
              <w:t>Elke hoeveelheid</w:t>
            </w:r>
          </w:p>
        </w:tc>
        <w:tc>
          <w:tcPr>
            <w:tcW w:type="dxa" w:w="1440"/>
          </w:tcPr>
          <w:p>
            <w:r>
              <w:t>Basis (voetnoot c)</w:t>
            </w:r>
          </w:p>
        </w:tc>
        <w:tc>
          <w:tcPr>
            <w:tcW w:type="dxa" w:w="1440"/>
          </w:tcPr>
          <w:p>
            <w:r>
              <w:t>—</w:t>
            </w:r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CLP Acute Tox. 1</w:t>
            </w:r>
          </w:p>
        </w:tc>
        <w:tc>
          <w:tcPr>
            <w:tcW w:type="dxa" w:w="1440"/>
          </w:tcPr>
          <w:p>
            <w:r>
              <w:t>&lt;1 ton</w:t>
            </w:r>
          </w:p>
        </w:tc>
        <w:tc>
          <w:tcPr>
            <w:tcW w:type="dxa" w:w="1440"/>
          </w:tcPr>
          <w:p>
            <w:r>
              <w:t>C</w:t>
            </w:r>
          </w:p>
        </w:tc>
        <w:tc>
          <w:tcPr>
            <w:tcW w:type="dxa" w:w="1440"/>
          </w:tcPr>
          <w:p>
            <w:r>
              <w:t>60 min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CLP Acute Tox. 1</w:t>
            </w:r>
          </w:p>
        </w:tc>
        <w:tc>
          <w:tcPr>
            <w:tcW w:type="dxa" w:w="1440"/>
          </w:tcPr>
          <w:p>
            <w:r>
              <w:t>&gt;1 ton</w:t>
            </w:r>
          </w:p>
        </w:tc>
        <w:tc>
          <w:tcPr>
            <w:tcW w:type="dxa" w:w="1440"/>
          </w:tcPr>
          <w:p>
            <w:r>
              <w:t>A</w:t>
            </w:r>
          </w:p>
        </w:tc>
        <w:tc>
          <w:tcPr>
            <w:tcW w:type="dxa" w:w="1440"/>
          </w:tcPr>
          <w:p>
            <w:r>
              <w:t>—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CLP Acute Tox. 2/3</w:t>
            </w:r>
          </w:p>
        </w:tc>
        <w:tc>
          <w:tcPr>
            <w:tcW w:type="dxa" w:w="1440"/>
          </w:tcPr>
          <w:p>
            <w:r>
              <w:t>&lt;10 ton</w:t>
            </w:r>
          </w:p>
        </w:tc>
        <w:tc>
          <w:tcPr>
            <w:tcW w:type="dxa" w:w="1440"/>
          </w:tcPr>
          <w:p>
            <w:r>
              <w:t>C</w:t>
            </w:r>
          </w:p>
        </w:tc>
        <w:tc>
          <w:tcPr>
            <w:tcW w:type="dxa" w:w="1440"/>
          </w:tcPr>
          <w:p>
            <w:r>
              <w:t>60 min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CLP Acute Tox. 2/3</w:t>
            </w:r>
          </w:p>
        </w:tc>
        <w:tc>
          <w:tcPr>
            <w:tcW w:type="dxa" w:w="1440"/>
          </w:tcPr>
          <w:p>
            <w:r>
              <w:t>&gt;10 ton</w:t>
            </w:r>
          </w:p>
        </w:tc>
        <w:tc>
          <w:tcPr>
            <w:tcW w:type="dxa" w:w="1440"/>
          </w:tcPr>
          <w:p>
            <w:r>
              <w:t>A</w:t>
            </w:r>
          </w:p>
        </w:tc>
        <w:tc>
          <w:tcPr>
            <w:tcW w:type="dxa" w:w="1440"/>
          </w:tcPr>
          <w:p>
            <w:r>
              <w:t>—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</w:tbl>
    <w:p/>
    <w:p>
      <w:r>
        <w:rPr>
          <w:rFonts w:ascii="Calibri" w:hAnsi="Calibri"/>
          <w:color w:val="000000"/>
          <w:sz w:val="22"/>
        </w:rPr>
        <w:t>2 Belangrijke voetnoten</w:t>
        <w:br/>
        <w:t>Voetnoot a: Zowel hoofd- als bijkomstig gevaar wordt meegenomen. Bij meerdere klassen: totaal + zwaarste categorie.</w:t>
        <w:br/>
        <w:t>Voetnoot b: Maximale hoeveelheid 2.500 kg als opslag NIET bereikbaar is voor hulpdiensten.</w:t>
        <w:br/>
        <w:t>Voetnoot c: Onbrandbaar/niet brandonderhoudend in dedicated opslag → alleen basisveiligheidsniveau.</w:t>
      </w:r>
    </w:p>
    <w:p>
      <w:r>
        <w:rPr>
          <w:rFonts w:ascii="Calibri" w:hAnsi="Calibri"/>
          <w:color w:val="000000"/>
          <w:sz w:val="22"/>
        </w:rPr>
        <w:t>--</w:t>
      </w:r>
    </w:p>
    <w:p>
      <w:r>
        <w:rPr>
          <w:rFonts w:ascii="Calibri" w:hAnsi="Calibri"/>
          <w:color w:val="000000"/>
          <w:sz w:val="22"/>
        </w:rPr>
        <w:t>Tabel 8 — Scheidingstabel (Uitleg)</w:t>
      </w:r>
    </w:p>
    <w:p>
      <w:r>
        <w:rPr>
          <w:rFonts w:ascii="Calibri" w:hAnsi="Calibri"/>
          <w:color w:val="000000"/>
          <w:sz w:val="22"/>
        </w:rPr>
        <w:t>1 Doel</w:t>
        <w:br/>
        <w:t>Tabel 8 / Bijlage E voorkomt dat onverenigbare stoffen samen worden opgeslagen, wat kan leiden tot ongecontroleerde reacties.</w:t>
      </w:r>
    </w:p>
    <w:p>
      <w:r>
        <w:rPr>
          <w:rFonts w:ascii="Calibri" w:hAnsi="Calibri"/>
          <w:color w:val="000000"/>
          <w:sz w:val="22"/>
        </w:rPr>
        <w:t>2 Scheidingmethoden</w:t>
        <w:br/>
        <w:t>Afstand: Minimaal 2,4 meter tussen onverenigbare stoffen</w:t>
        <w:br/>
        <w:t>Constructieve scheiding: Wand of schot met brandwerendheid ≥30 minuten</w:t>
        <w:br/>
        <w:t>Aparte opslagvoorziening: Verschillende ruimtes of gebouwen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</w:tblGrid>
      <w:tr>
  </w:tr>
      <w:tr>
  </w:tr>
      <w:tr>
  </w:tr>
      <w:tr>
  </w:tr>
      <w:tr>
  </w:tr>
    </w:tbl>
    <w:p/>
    <w:p>
      <w:r>
        <w:rPr>
          <w:rFonts w:ascii="Calibri" w:hAnsi="Calibri"/>
          <w:color w:val="000000"/>
          <w:sz w:val="22"/>
        </w:rPr>
        <w:t>--</w:t>
      </w:r>
    </w:p>
    <w:p>
      <w:r>
        <w:rPr>
          <w:rFonts w:ascii="Calibri" w:hAnsi="Calibri"/>
          <w:color w:val="000000"/>
          <w:sz w:val="22"/>
        </w:rPr>
        <w:t>CMR-stoffen en Opslag</w:t>
      </w:r>
    </w:p>
    <w:p>
      <w:r>
        <w:rPr>
          <w:rFonts w:ascii="Calibri" w:hAnsi="Calibri"/>
          <w:color w:val="000000"/>
          <w:sz w:val="22"/>
        </w:rPr>
        <w:t>1 Definitie</w:t>
        <w:br/>
        <w:t>CMR-stoffen zijn stoffen die:</w:t>
        <w:br/>
        <w:t>Carcinogeen (kankerverwekkend) — Cat. 1A, 1B, 2</w:t>
        <w:br/>
        <w:t>Mutageen (erfelijk materiaal beschadigend) — Cat. 1A, 1B, 2</w:t>
        <w:br/>
        <w:t>Reprotoxisch (schadelijk voor voortplanting) — Cat. 1A, 1B, 2</w:t>
      </w:r>
    </w:p>
    <w:p>
      <w:r>
        <w:rPr>
          <w:rFonts w:ascii="Calibri" w:hAnsi="Calibri"/>
          <w:color w:val="000000"/>
          <w:sz w:val="22"/>
        </w:rPr>
        <w:t>2 PGS 15:2025 behandeling</w:t>
        <w:br/>
        <w:t>CMR-stoffen met ADR-classificatie → via ADR-route in Tabel 6</w:t>
        <w:br/>
        <w:t>CMR-stoffen zonder ADR-classificatie → basisveiligheidsniveau + zorgplicht (Arbowet)</w:t>
        <w:br/>
        <w:t>Ondergrens: 25 kg (poeder/vloeistof), metalen vaste vorm uitgezonderd</w:t>
      </w:r>
    </w:p>
    <w:p>
      <w:r>
        <w:rPr>
          <w:rFonts w:ascii="Calibri" w:hAnsi="Calibri"/>
          <w:color w:val="000000"/>
          <w:sz w:val="22"/>
        </w:rPr>
        <w:t>3 Aanvullende arbo-eisen</w:t>
        <w:br/>
        <w:t>Naast PGS 15 gelden voor CMR-stoffen:</w:t>
        <w:br/>
        <w:t>Werkplekinventarisatie (Arbobesluit art. 4.1c)</w:t>
        <w:br/>
        <w:t>Blootstellingsregister (Arbobesluit art. 4.1d)</w:t>
        <w:br/>
        <w:t>Arbeidsgezondheidskundig onderzoek (AGO)</w:t>
        <w:br/>
        <w:t>Vervangingsplicht: vervang waar mogelijk door minder gevaarlijk alternatief</w:t>
      </w:r>
    </w:p>
    <w:p>
      <w:r>
        <w:rPr>
          <w:rFonts w:ascii="Calibri" w:hAnsi="Calibri"/>
          <w:color w:val="000000"/>
          <w:sz w:val="22"/>
        </w:rPr>
        <w:t>--</w:t>
      </w:r>
    </w:p>
    <w:p>
      <w:r>
        <w:rPr>
          <w:rFonts w:ascii="Calibri" w:hAnsi="Calibri"/>
          <w:color w:val="000000"/>
          <w:sz w:val="22"/>
        </w:rPr>
        <w:t>Specifieke Aandacht voor V₂O₅</w:t>
      </w:r>
    </w:p>
    <w:p>
      <w:r>
        <w:rPr>
          <w:rFonts w:ascii="Calibri" w:hAnsi="Calibri"/>
          <w:color w:val="000000"/>
          <w:sz w:val="22"/>
        </w:rPr>
        <w:t>1 Waarom V₂O₅ kritiek is</w:t>
        <w:br/>
        <w:t>Vanadium(V) oxide combineert de volgende gevaren in één stof:</w:t>
        <w:br/>
        <w:t>Carc. 1B (H350i) — kankerverwekkend bij inademing</w:t>
        <w:br/>
        <w:t>Acute Tox. 2 (H330) — dodelijk bij inademing</w:t>
        <w:br/>
        <w:t>Repr. 2 (H361fd) — vermoedelijk schadelijk voor voortplanting</w:t>
        <w:br/>
        <w:t>ADR 6.1 VG II — giftig transportgevaar</w:t>
      </w:r>
    </w:p>
    <w:p>
      <w:r>
        <w:rPr>
          <w:rFonts w:ascii="Calibri" w:hAnsi="Calibri"/>
          <w:color w:val="000000"/>
          <w:sz w:val="22"/>
        </w:rPr>
        <w:t>2 Impact op Phoenix Metals</w:t>
        <w:br/>
        <w:t>V₂O₅ als eindproduct is de bepalende factor voor het opslagniveau:</w:t>
        <w:br/>
        <w:t>Vanaf 1 kg → C-niveau verplicht (via CLP Acute Tox. 2)</w:t>
        <w:br/>
        <w:t>Vanaf 10.000 kg → A-niveau verplicht (automatische blussing)</w:t>
        <w:br/>
        <w:t>Vanaf 50.000 kg → Seveso lagedrempel (H2) bereikt</w:t>
      </w:r>
    </w:p>
    <w:p>
      <w:r>
        <w:rPr>
          <w:rFonts w:ascii="Calibri" w:hAnsi="Calibri"/>
          <w:color w:val="000000"/>
          <w:sz w:val="22"/>
        </w:rPr>
        <w:t>3 Beheersmaatregelen</w:t>
        <w:br/>
        <w:t>Stofvrije, gesloten opslag</w:t>
        <w:br/>
        <w:t>P3-ademhalingsbescherming bij handling</w:t>
        <w:br/>
        <w:t>Lokale afzuiging bij overslag</w:t>
        <w:br/>
        <w:t>Afzonderlijk opslagvak, gescheiden van ADR 8 stoffen</w:t>
        <w:br/>
        <w:t>Blootstellingsregister en AGO</w:t>
      </w:r>
    </w:p>
    <w:p>
      <w:r>
        <w:rPr>
          <w:rFonts w:ascii="Calibri" w:hAnsi="Calibri"/>
          <w:color w:val="000000"/>
          <w:sz w:val="22"/>
        </w:rPr>
        <w:t>--</w:t>
      </w:r>
    </w:p>
    <w:p>
      <w:r>
        <w:rPr>
          <w:rFonts w:ascii="Calibri" w:hAnsi="Calibri"/>
          <w:color w:val="000000"/>
          <w:sz w:val="22"/>
        </w:rPr>
        <w:t>Casus Phoenix Metals — Werkvoorbeeld</w:t>
      </w:r>
    </w:p>
    <w:p>
      <w:r>
        <w:rPr>
          <w:rFonts w:ascii="Calibri" w:hAnsi="Calibri"/>
          <w:color w:val="000000"/>
          <w:sz w:val="22"/>
        </w:rPr>
        <w:t>1 Situatie</w:t>
        <w:br/>
        <w:t>Phoenix Metals is een startup die vanadium oxide (V₂O₅) produceert uit staalslakken via een hydrometallurgisch proces. De locatie bevindt zich op het Tata Steel terrein in IJmuiden.</w:t>
      </w:r>
    </w:p>
    <w:p>
      <w:r>
        <w:rPr>
          <w:rFonts w:ascii="Calibri" w:hAnsi="Calibri"/>
          <w:color w:val="000000"/>
          <w:sz w:val="22"/>
        </w:rPr>
        <w:t>2 Stap 1: Stoffeninventarisatie</w:t>
        <w:br/>
        <w:t>Gevaarlijke stoffen op de locatie:</w:t>
        <w:br/>
        <w:t>Sodium hydroxide 50% (100 L) — ADR 8 VG II</w:t>
        <w:br/>
        <w:t>Zwavelzuur 25/50/75% (200 L totaal) — ADR 8 VG II</w:t>
        <w:br/>
        <w:t>Calcium oxide (10 kg) — ADR 8 VG III</w:t>
        <w:br/>
        <w:t>Vanadium(V) oxide (hoeveelheid TBV) — ADR 6.1 VG II, CMR 1B, Acute Tox. 2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</w:tblGrid>
      <w:tr>
  </w:tr>
      <w:tr>
  </w:tr>
      <w:tr>
  </w:tr>
      <w:tr>
  </w:tr>
      <w:tr>
  </w:tr>
      <w:tr>
  </w:tr>
      <w:tr>
  </w:tr>
    </w:tbl>
    <w:p/>
    <w:p>
      <w:r>
        <w:rPr>
          <w:rFonts w:ascii="Calibri" w:hAnsi="Calibri"/>
          <w:color w:val="000000"/>
          <w:sz w:val="22"/>
        </w:rPr>
        <w:t>4 Stap 3: Niveaubepaling</w:t>
        <w:br/>
        <w:t>ADR 8 onbrandbaar → Basisveiligheidsniveau (voetnoot c)</w:t>
        <w:br/>
        <w:t>V₂O₅ via ADR 6.1 VG II → C-niveau (&lt;10 ton)</w:t>
        <w:br/>
        <w:t>V₂O₅ via CLP Acute Tox. 2 → C-niveau (&lt;10 ton)</w:t>
        <w:br/>
        <w:t>Strengste: C-niveau</w:t>
      </w:r>
    </w:p>
    <w:p>
      <w:r>
        <w:rPr>
          <w:rFonts w:ascii="Calibri" w:hAnsi="Calibri"/>
          <w:color w:val="000000"/>
          <w:sz w:val="22"/>
        </w:rPr>
        <w:t>5 Stap 4: Maatregelen C-niveau</w:t>
        <w:br/>
        <w:t>Wbdbo 60 min voor opslagconstructie</w:t>
        <w:br/>
        <w:t>Branddetectiesysteem (NEN 2535)</w:t>
        <w:br/>
        <w:t>Productopvang (grootste individuele vak)</w:t>
        <w:br/>
        <w:t>Scheiding: zuur/base, giftig/bijtend</w:t>
        <w:br/>
        <w:t>CMR-maatregelen voor V₂O₅</w:t>
      </w:r>
    </w:p>
    <w:p>
      <w:r>
        <w:rPr>
          <w:rFonts w:ascii="Calibri" w:hAnsi="Calibri"/>
          <w:color w:val="000000"/>
          <w:sz w:val="22"/>
        </w:rPr>
        <w:t>6 Stap 5: Compliance beoordeling</w:t>
        <w:br/>
        <w:t>Zie Compliance Toets v1.0 — 18% voldoet, 31% gedeeltelijk, 51% niet te toetsen.</w:t>
      </w:r>
    </w:p>
    <w:p>
      <w:r>
        <w:rPr>
          <w:rFonts w:ascii="Calibri" w:hAnsi="Calibri"/>
          <w:color w:val="000000"/>
          <w:sz w:val="22"/>
        </w:rPr>
        <w:t>--</w:t>
      </w:r>
    </w:p>
    <w:p>
      <w:r>
        <w:rPr>
          <w:rFonts w:ascii="Calibri" w:hAnsi="Calibri"/>
          <w:color w:val="000000"/>
          <w:sz w:val="22"/>
        </w:rPr>
        <w:t>Begrippenlijst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Begrip</w:t>
            </w:r>
          </w:p>
        </w:tc>
        <w:tc>
          <w:tcPr>
            <w:tcW w:type="dxa" w:w="2880"/>
          </w:tcPr>
          <w:p>
            <w:r>
              <w:t>Uitleg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--------</w:t>
            </w:r>
          </w:p>
        </w:tc>
        <w:tc>
          <w:tcPr>
            <w:tcW w:type="dxa" w:w="2880"/>
          </w:tcPr>
          <w:p>
            <w:r>
              <w:t>--------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ADR</w:t>
            </w:r>
          </w:p>
        </w:tc>
        <w:tc>
          <w:tcPr>
            <w:tcW w:type="dxa" w:w="2880"/>
          </w:tcPr>
          <w:p>
            <w:r>
              <w:t>Accord européen relatif au transport international des marchandises Dangereuses par Route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CLP</w:t>
            </w:r>
          </w:p>
        </w:tc>
        <w:tc>
          <w:tcPr>
            <w:tcW w:type="dxa" w:w="2880"/>
          </w:tcPr>
          <w:p>
            <w:r>
              <w:t>Classification, Labelling and Packaging (EG 1272/2008)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CMR</w:t>
            </w:r>
          </w:p>
        </w:tc>
        <w:tc>
          <w:tcPr>
            <w:tcW w:type="dxa" w:w="2880"/>
          </w:tcPr>
          <w:p>
            <w:r>
              <w:t>Carcinogeen, Mutageen, Reprotoxisch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SDS</w:t>
            </w:r>
          </w:p>
        </w:tc>
        <w:tc>
          <w:tcPr>
            <w:tcW w:type="dxa" w:w="2880"/>
          </w:tcPr>
          <w:p>
            <w:r>
              <w:t>Safety Data Sheet (veiligheidsinformatieblad)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VG</w:t>
            </w:r>
          </w:p>
        </w:tc>
        <w:tc>
          <w:tcPr>
            <w:tcW w:type="dxa" w:w="2880"/>
          </w:tcPr>
          <w:p>
            <w:r>
              <w:t>Verpakkingsgroep (I, II, III) — mate van gevaar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Wbdbo</w:t>
            </w:r>
          </w:p>
        </w:tc>
        <w:tc>
          <w:tcPr>
            <w:tcW w:type="dxa" w:w="2880"/>
          </w:tcPr>
          <w:p>
            <w:r>
              <w:t>Weerstand tegen branddoorgang en brandoverslag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PBM</w:t>
            </w:r>
          </w:p>
        </w:tc>
        <w:tc>
          <w:tcPr>
            <w:tcW w:type="dxa" w:w="2880"/>
          </w:tcPr>
          <w:p>
            <w:r>
              <w:t>Persoonlijk Beschermingsmiddel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RI&amp;E</w:t>
            </w:r>
          </w:p>
        </w:tc>
        <w:tc>
          <w:tcPr>
            <w:tcW w:type="dxa" w:w="2880"/>
          </w:tcPr>
          <w:p>
            <w:r>
              <w:t>Risico-Inventarisatie en -Evaluatie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NEN 2535</w:t>
            </w:r>
          </w:p>
        </w:tc>
        <w:tc>
          <w:tcPr>
            <w:tcW w:type="dxa" w:w="2880"/>
          </w:tcPr>
          <w:p>
            <w:r>
              <w:t>Nederlandse norm voor branddetectie</w:t>
            </w:r>
          </w:p>
        </w:tc>
        <w:tc>
          <w:tcPr>
            <w:tcW w:type="dxa" w:w="2880"/>
          </w:tcPr>
          <w:p/>
        </w:tc>
      </w:tr>
    </w:tbl>
    <w:p/>
    <w:p>
      <w:r>
        <w:rPr>
          <w:rFonts w:ascii="Calibri" w:hAnsi="Calibri"/>
          <w:color w:val="000000"/>
          <w:sz w:val="22"/>
        </w:rPr>
        <w:t>--</w:t>
      </w:r>
    </w:p>
    <w:p>
      <w:r>
        <w:rPr>
          <w:rFonts w:ascii="Calibri" w:hAnsi="Calibri"/>
          <w:color w:val="000000"/>
          <w:sz w:val="22"/>
        </w:rPr>
        <w:t>Kennisdossier PGS 15:2025 v1.0 — Phoenix Metals — 27 april 2026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646464"/>
        <w:sz w:val="16"/>
      </w:rPr>
      <w:t>© 2026 JvG Consultancy | HSEQ | 28 april 2026 | Vertrouwelijk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Calibri" w:hAnsi="Calibri"/>
        <w:color w:val="FFFFFF"/>
        <w:sz w:val="20"/>
      </w:rPr>
      <w:t>JvG Consultancy | PGS 15:2025 Phoenix Metals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