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Beleidsdocument Opslagveiligheid V1.0</w:t>
      </w:r>
    </w:p>
    <w:p/>
    <w:p>
      <w:r>
        <w:rPr>
          <w:rFonts w:ascii="Calibri" w:hAnsi="Calibri"/>
          <w:color w:val="000000"/>
          <w:sz w:val="22"/>
        </w:rPr>
        <w:t>Beleidsdocument Opslagveiligheid — Phoenix Metals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Classificatie: Intern / Vertrouwelijk  </w:t>
        <w:br/>
        <w:t xml:space="preserve">Eigenaar: Directie Phoenix Metals  </w:t>
        <w:br/>
        <w:t xml:space="preserve">Goedkeuring: [Naam], [Functie]  </w:t>
        <w:br/>
        <w:t xml:space="preserve">PGS 15:2025 referentie: Hoofdstuk 6 (Doelen), Hoofdstuk 7 (Maatregelen)  </w:t>
        <w:br/>
        <w:t>Opslagniveau: C-niveau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Visie en Missie</w:t>
      </w:r>
    </w:p>
    <w:p>
      <w:r>
        <w:rPr>
          <w:rFonts w:ascii="Calibri" w:hAnsi="Calibri"/>
          <w:color w:val="000000"/>
          <w:sz w:val="22"/>
        </w:rPr>
        <w:t>1 Visie</w:t>
        <w:br/>
        <w:t>Phoenix Metals streeft naar een opslagomgeving waarin gevaarlijke stoffen verantwoord, veilig en conform de geldende wet- en regelgeving worden opgeslagen en beheerd. Elke medewerker keert gezond huis.</w:t>
      </w:r>
    </w:p>
    <w:p>
      <w:r>
        <w:rPr>
          <w:rFonts w:ascii="Calibri" w:hAnsi="Calibri"/>
          <w:color w:val="000000"/>
          <w:sz w:val="22"/>
        </w:rPr>
        <w:t>2 Missie</w:t>
        <w:br/>
        <w:t>Het beheersen van risico's verbonden aan de opslag van gevaarlijke stoffen door systeemmatige toepassing van PGS 15:2025, met specifieke aandacht voor CMR-stoffen en acuut toxische stoffen in het productieproces.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Beleidsuitgangspunten</w:t>
      </w:r>
    </w:p>
    <w:p>
      <w:r>
        <w:rPr>
          <w:rFonts w:ascii="Calibri" w:hAnsi="Calibri"/>
          <w:color w:val="000000"/>
          <w:sz w:val="22"/>
        </w:rPr>
        <w:t>1 Wettelijk kader</w:t>
        <w:br/>
        <w:t>Phoenix Metals voldoet aan:</w:t>
        <w:br/>
        <w:t>PGS 15:2025 (Publicatie 565, versie 1.0, januari 2025)</w:t>
        <w:br/>
        <w:t>Arbowet / Arbobesluit (artikel 4.1c, 4.1d — gevaarlijke stoffen)</w:t>
        <w:br/>
        <w:t>Omgevingswet / Bal (artikel 4.1012 — opslag gevaarlijke stoffen)</w:t>
        <w:br/>
        <w:t>ADR (vervoer — basis voor classificatie opslag)</w:t>
        <w:br/>
        <w:t>CLP-verordening (EC 1272/2008 — classificatie, etikettering, verpakking)</w:t>
      </w:r>
    </w:p>
    <w:p>
      <w:r>
        <w:rPr>
          <w:rFonts w:ascii="Calibri" w:hAnsi="Calibri"/>
          <w:color w:val="000000"/>
          <w:sz w:val="22"/>
        </w:rPr>
        <w:t>2 Opslagniveau</w:t>
        <w:br/>
        <w:t>Het bepaalde opslagniveau is C-niveau op basis van de aanwezigheid van vanadium(V) oxide (V₂O₅) als beoogd eindproduct.</w:t>
      </w:r>
    </w:p>
    <w:p>
      <w:r>
        <w:rPr>
          <w:rFonts w:ascii="Calibri" w:hAnsi="Calibri"/>
          <w:color w:val="000000"/>
          <w:sz w:val="22"/>
        </w:rPr>
        <w:t>Onderbouwing (ref. niveaubepaling v2.0):</w:t>
        <w:br/>
        <w:t>V₂O₅ is geclassificeerd als Acute Tox. Cat. 2 (H330) → CLP-route triggert C-niveau vanaf 1 kg</w:t>
        <w:br/>
        <w:t>V₂O₅ is geclassificeerd als ADR 6.1 VG II → C-niveau tot 10 ton</w:t>
        <w:br/>
        <w:t>C-niveau vereist: Wbdbo 60 min, branddetectie (NEN 2535), productopvang</w:t>
      </w:r>
    </w:p>
    <w:p>
      <w:r>
        <w:rPr>
          <w:rFonts w:ascii="Calibri" w:hAnsi="Calibri"/>
          <w:color w:val="000000"/>
          <w:sz w:val="22"/>
        </w:rPr>
        <w:t>3 Continu verbeteren</w:t>
        <w:br/>
        <w:t>Phoenix Metals hanteert de Plan-Do-Check-Act (PDCA) cyclus voor opslagveiligheid:</w:t>
        <w:br/>
        <w:t>Plan: Risico-inventarisatie, niveaubepaling, maatregelenplan</w:t>
        <w:br/>
        <w:t>Do: Implementatie maatregelen, training, procedures</w:t>
        <w:br/>
        <w:t>Check: Periodieke inspecties, audits, compliantiemonitoring</w:t>
        <w:br/>
        <w:t>Act: Bijsturing op basis van bevindingen en incidenten</w:t>
      </w:r>
    </w:p>
    <w:p>
      <w:r>
        <w:rPr>
          <w:rFonts w:ascii="Calibri" w:hAnsi="Calibri"/>
          <w:color w:val="000000"/>
          <w:sz w:val="22"/>
        </w:rPr>
        <w:t>4 Hiërarchie van beheersmaatregelen</w:t>
        <w:br/>
        <w:t>Eliminatie (stof vervangen door minder gevaarlijk alternatief)</w:t>
        <w:br/>
        <w:t>Technische maatregelen (constructieve eisen, ventilatie, afvang)</w:t>
        <w:br/>
        <w:t>Organisatorische maatregelen (procedures, scheiding, registratie)</w:t>
        <w:br/>
        <w:t>Persoonlijke beschermingsmiddelen (laatste middel)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Verantwoordelijkheden en Rollen</w:t>
      </w:r>
    </w:p>
    <w:p>
      <w:r>
        <w:rPr>
          <w:rFonts w:ascii="Calibri" w:hAnsi="Calibri"/>
          <w:color w:val="000000"/>
          <w:sz w:val="22"/>
        </w:rPr>
        <w:t>1 Directie</w:t>
        <w:br/>
        <w:t>Eindverantwoordelijkheid voor opslagveiligheid</w:t>
        <w:br/>
        <w:t>Goedkeuring beleid en budget</w:t>
        <w:br/>
        <w:t>Borging voldoening aan wettelijke eisen</w:t>
      </w:r>
    </w:p>
    <w:p>
      <w:r>
        <w:rPr>
          <w:rFonts w:ascii="Calibri" w:hAnsi="Calibri"/>
          <w:color w:val="000000"/>
          <w:sz w:val="22"/>
        </w:rPr>
        <w:t>2 HSE Manager / Preventiemedewerker</w:t>
        <w:br/>
        <w:t>Uitvoering en onderhoud opslagveiligheidsbeleid</w:t>
        <w:br/>
        <w:t>Niveaubepaling en compliantiemonitoring</w:t>
        <w:br/>
        <w:t>Advisering bij nieuwe stoffen en proceswijzigingen</w:t>
        <w:br/>
        <w:t>Periodieke inspecties en audits</w:t>
        <w:br/>
        <w:t>Contact met toezichthouders</w:t>
      </w:r>
    </w:p>
    <w:p>
      <w:r>
        <w:rPr>
          <w:rFonts w:ascii="Calibri" w:hAnsi="Calibri"/>
          <w:color w:val="000000"/>
          <w:sz w:val="22"/>
        </w:rPr>
        <w:t>3 Procesoperator / Magazijnmedewerker</w:t>
        <w:br/>
        <w:t>Opvolging procedures en werkinstructies</w:t>
        <w:br/>
        <w:t>Melden van afwijkingen en incidenten</w:t>
        <w:br/>
        <w:t>Correct gebruik PBM's</w:t>
        <w:br/>
        <w:t>Huisregels opslagruimte naleven</w:t>
      </w:r>
    </w:p>
    <w:p>
      <w:r>
        <w:rPr>
          <w:rFonts w:ascii="Calibri" w:hAnsi="Calibri"/>
          <w:color w:val="000000"/>
          <w:sz w:val="22"/>
        </w:rPr>
        <w:t>4 Inkoper / Logistiek</w:t>
        <w:br/>
        <w:t>Aanvragen SDS bij leveranciers vóór eerste levering</w:t>
        <w:br/>
        <w:t>Stoffenregistratie bijwerken bij nieuwe leveringen</w:t>
        <w:br/>
        <w:t>Transportveiligheid (ADR) borgen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CMR-Beleid</w:t>
      </w:r>
    </w:p>
    <w:p>
      <w:r>
        <w:rPr>
          <w:rFonts w:ascii="Calibri" w:hAnsi="Calibri"/>
          <w:color w:val="000000"/>
          <w:sz w:val="22"/>
        </w:rPr>
        <w:t>1 Uitgangspunt</w:t>
        <w:br/>
        <w:t>Phoenix Metals minimaliseert blootstelling aan CMR-stoffen (Carcinogeen, Mutageen, Reprotoxisch) tot het laagst mogelijke niveau (ALARA-principe).</w:t>
      </w:r>
    </w:p>
    <w:p>
      <w:r>
        <w:rPr>
          <w:rFonts w:ascii="Calibri" w:hAnsi="Calibri"/>
          <w:color w:val="000000"/>
          <w:sz w:val="22"/>
        </w:rPr>
        <w:t>2 Specifiek: Vanadium(V) oxide (V₂O₅)</w:t>
        <w:br/>
        <w:t>V₂O₅ is geclassificeerd als:</w:t>
        <w:br/>
        <w:t>Carc. 1B (H350i — kan kanker veroorzaken bij inademing)</w:t>
        <w:br/>
        <w:t>Repr. 2 (H361fd — vermoedelijk schadelijk voor de vruchtbaarheid)</w:t>
        <w:br/>
        <w:t>Acute Tox. 2 (H330 — dodelijk bij inademing)</w:t>
      </w:r>
    </w:p>
    <w:p>
      <w:r>
        <w:rPr>
          <w:rFonts w:ascii="Calibri" w:hAnsi="Calibri"/>
          <w:color w:val="000000"/>
          <w:sz w:val="22"/>
        </w:rPr>
        <w:t>Maatregelen:</w:t>
        <w:br/>
        <w:t>V₂O₅ wordt opgeslagen in gesloten, stofvrije verpakkingen</w:t>
        <w:br/>
        <w:t>Afzonderlijke opslagruimte of gescheiden vak binnen C-niveau opslag</w:t>
        <w:br/>
        <w:t>Specifieke PBM's bij handling: P3-ademhalingsbescherming, nitrilen handschoenen, beschermende kleding</w:t>
        <w:br/>
        <w:t>Arbeidsgezondheidskundig onderzoek (AGO) voor alle medewerkers met potentiële blootstelling</w:t>
        <w:br/>
        <w:t>Blootstellingsregistratie conform Arbobesluit artikel 4.1d</w:t>
        <w:br/>
        <w:t>Procedure conform AI-06 (Kankerverwekkende, mutagene en reprotoxische stoffen)</w:t>
      </w:r>
    </w:p>
    <w:p>
      <w:r>
        <w:rPr>
          <w:rFonts w:ascii="Calibri" w:hAnsi="Calibri"/>
          <w:color w:val="000000"/>
          <w:sz w:val="22"/>
        </w:rPr>
        <w:t>3 CMR-register</w:t>
        <w:br/>
        <w:t>Phoenix Metals voert een CMR-register waarin alle CMR-stoffen op de locatie zijn opgenomen, inclusief blootstellingsgegevens en getroffen maatregelen.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Stoffenscheiding</w:t>
      </w:r>
    </w:p>
    <w:p>
      <w:r>
        <w:rPr>
          <w:rFonts w:ascii="Calibri" w:hAnsi="Calibri"/>
          <w:color w:val="000000"/>
          <w:sz w:val="22"/>
        </w:rPr>
        <w:t>1 Scheidingstabellen (PGS 15:2025 Bijlage E)</w:t>
        <w:br/>
        <w:t>Phoenix Metals past de scheidingseisen uit Bijlage E van PGS 15:2025 toe: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Combinatie</w:t>
            </w:r>
          </w:p>
        </w:tc>
        <w:tc>
          <w:tcPr>
            <w:tcW w:type="dxa" w:w="2160"/>
          </w:tcPr>
          <w:p>
            <w:r>
              <w:t>Eis</w:t>
            </w:r>
          </w:p>
        </w:tc>
        <w:tc>
          <w:tcPr>
            <w:tcW w:type="dxa" w:w="2160"/>
          </w:tcPr>
          <w:p>
            <w:r>
              <w:t>Phoenix Metals situatie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>
            <w:r>
              <w:t>-----</w:t>
            </w:r>
          </w:p>
        </w:tc>
        <w:tc>
          <w:tcPr>
            <w:tcW w:type="dxa" w:w="2160"/>
          </w:tcPr>
          <w:p>
            <w:r>
              <w:t>------------------------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Zuur (H₂SO₄) ↔ Base (NaOH)</w:t>
            </w:r>
          </w:p>
        </w:tc>
        <w:tc>
          <w:tcPr>
            <w:tcW w:type="dxa" w:w="2160"/>
          </w:tcPr>
          <w:p>
            <w:r>
              <w:t>Min. 2,4 m afstand of ≥30 min Wbdbo constructie</w:t>
            </w:r>
          </w:p>
        </w:tc>
        <w:tc>
          <w:tcPr>
            <w:tcW w:type="dxa" w:w="2160"/>
          </w:tcPr>
          <w:p>
            <w:r>
              <w:t>Gescheiden opslag in stelling vereist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Giftig (V₂O₅, ADR 6.1) ↔ Bijtend (ADR 8)</w:t>
            </w:r>
          </w:p>
        </w:tc>
        <w:tc>
          <w:tcPr>
            <w:tcW w:type="dxa" w:w="2160"/>
          </w:tcPr>
          <w:p>
            <w:r>
              <w:t>Min. 2,4 m of constructieve scheiding</w:t>
            </w:r>
          </w:p>
        </w:tc>
        <w:tc>
          <w:tcPr>
            <w:tcW w:type="dxa" w:w="2160"/>
          </w:tcPr>
          <w:p>
            <w:r>
              <w:t>Apart vak of gescheiden zone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Giftig (V₂O₅) ↔ Overig</w:t>
            </w:r>
          </w:p>
        </w:tc>
        <w:tc>
          <w:tcPr>
            <w:tcW w:type="dxa" w:w="2160"/>
          </w:tcPr>
          <w:p>
            <w:r>
              <w:t>Afzonderlijke opslag aanbevolen</w:t>
            </w:r>
          </w:p>
        </w:tc>
        <w:tc>
          <w:tcPr>
            <w:tcW w:type="dxa" w:w="2160"/>
          </w:tcPr>
          <w:p>
            <w:r>
              <w:t>Afhankelijk van hoeveelheid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2 Opslagvakindeling</w:t>
        <w:br/>
        <w:t>De opslagruimte wordt ingedeeld in vakken met duidelijke zone-indeling:</w:t>
        <w:br/>
        <w:t>Zone A: ADR 8 stoffen (bijtend) — H₂SO₄, NaOH, CaO</w:t>
        <w:br/>
        <w:t>Zone B: ADR 6.1 stoffen (giftig) — V₂O₅</w:t>
        <w:br/>
        <w:t>Zone C: Niet-geclassificeerde stoffen — aluminiumsulfaat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Revisie- en Beheersplan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2 Triggers voor tussentijdse revisie</w:t>
        <w:br/>
        <w:t>Toevoeging of verwijdering van gevaarlijke stoffen</w:t>
        <w:br/>
        <w:t>Wijziging in opslaghoeveelheden (met name V₂O₅)</w:t>
        <w:br/>
        <w:t>Proceswijzigingen</w:t>
        <w:br/>
        <w:t>Incidenten of bijna-ongelvallen</w:t>
        <w:br/>
        <w:t>Wijziging in wet- en regelgeving</w:t>
        <w:br/>
        <w:t>Bevindingen uit audits of inspecties</w:t>
      </w:r>
    </w:p>
    <w:p>
      <w:r>
        <w:rPr>
          <w:rFonts w:ascii="Calibri" w:hAnsi="Calibri"/>
          <w:color w:val="000000"/>
          <w:sz w:val="22"/>
        </w:rPr>
        <w:t>3 Documentbeheer</w:t>
        <w:br/>
        <w:t>Alle documenten worden opgeslagen in het documentbeheersysteem met versienummering. Vorige versies worden gearchiveerd. Wijzigingen worden gelogd in het changelog.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Implementatie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2 Communicatie</w:t>
        <w:br/>
        <w:t>Dit beleid wordt bekendgemaakt aan alle medewerkers via:</w:t>
        <w:br/>
        <w:t>Teamvergadering</w:t>
        <w:br/>
        <w:t>Intranet / documentbeheersysteem</w:t>
        <w:br/>
        <w:t>Waarschuwingssignalering in opslagruimte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Bijlage A: Referenties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Document</w:t>
            </w:r>
          </w:p>
        </w:tc>
        <w:tc>
          <w:tcPr>
            <w:tcW w:type="dxa" w:w="2880"/>
          </w:tcPr>
          <w:p>
            <w:r>
              <w:t>Referentie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----------</w:t>
            </w:r>
          </w:p>
        </w:tc>
        <w:tc>
          <w:tcPr>
            <w:tcW w:type="dxa" w:w="2880"/>
          </w:tcPr>
          <w:p>
            <w:r>
              <w:t>-----------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PGS 15:2025</w:t>
            </w:r>
          </w:p>
        </w:tc>
        <w:tc>
          <w:tcPr>
            <w:tcW w:type="dxa" w:w="2880"/>
          </w:tcPr>
          <w:p>
            <w:r>
              <w:t>Publicatie 565, v1.0, januari 2025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Niveaubepaling v2.0</w:t>
            </w:r>
          </w:p>
        </w:tc>
        <w:tc>
          <w:tcPr>
            <w:tcW w:type="dxa" w:w="2880"/>
          </w:tcPr>
          <w:p>
            <w:r>
              <w:t>Phoenix Metals, 27 april 2026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Compliance Toetsing v1.0</w:t>
            </w:r>
          </w:p>
        </w:tc>
        <w:tc>
          <w:tcPr>
            <w:tcW w:type="dxa" w:w="2880"/>
          </w:tcPr>
          <w:p>
            <w:r>
              <w:t>Phoenix Metals, 27 april 2026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Stoffenlijst Phoenix Metals</w:t>
            </w:r>
          </w:p>
        </w:tc>
        <w:tc>
          <w:tcPr>
            <w:tcW w:type="dxa" w:w="2880"/>
          </w:tcPr>
          <w:p>
            <w:r>
              <w:t>Registration Chemicals MASTER v2.1.0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Haalbaarheidsstudie</w:t>
            </w:r>
          </w:p>
        </w:tc>
        <w:tc>
          <w:tcPr>
            <w:tcW w:type="dxa" w:w="2880"/>
          </w:tcPr>
          <w:p>
            <w:r>
              <w:t>Arcadis, september 2025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 xml:space="preserve">Beleidsdocument Opslagveiligheid v1.0 — Phoenix Metals — 27 april 2026  </w:t>
        <w:br/>
        <w:t>Volgende geplande revisie: april 2027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