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color w:val="003366"/>
          <w:sz w:val="56"/>
        </w:rPr>
        <w:t>NIVEAUBEPALING RAPPORT</w:t>
      </w:r>
    </w:p>
    <w:p>
      <w:pPr>
        <w:jc w:val="center"/>
      </w:pPr>
      <w:r>
        <w:rPr>
          <w:color w:val="374151"/>
          <w:sz w:val="36"/>
        </w:rPr>
        <w:t>PGS 15:2025 — Tabel 6 Toetsing</w:t>
      </w:r>
    </w:p>
    <w:p/>
    <w:p>
      <w:pPr>
        <w:jc w:val="center"/>
      </w:pPr>
      <w:r>
        <w:rPr>
          <w:color w:val="3B82F6"/>
          <w:sz w:val="28"/>
        </w:rPr>
        <w:t>Phoenix Metals B.V. — Tata Steel IJmuiden</w:t>
      </w:r>
    </w:p>
    <w:p/>
    <w:p/>
    <w:p/>
    <w:p/>
    <w:p>
      <w:pPr>
        <w:jc w:val="center"/>
      </w:pPr>
      <w:r>
        <w:rPr>
          <w:color w:val="374151"/>
          <w:sz w:val="22"/>
        </w:rPr>
        <w:t>Project: PGS15-PM-NB</w:t>
      </w:r>
    </w:p>
    <w:p>
      <w:pPr>
        <w:jc w:val="center"/>
      </w:pPr>
      <w:r>
        <w:rPr>
          <w:color w:val="374151"/>
          <w:sz w:val="22"/>
        </w:rPr>
        <w:t>Versie: 1.0</w:t>
      </w:r>
    </w:p>
    <w:p>
      <w:pPr>
        <w:jc w:val="center"/>
      </w:pPr>
      <w:r>
        <w:rPr>
          <w:color w:val="374151"/>
          <w:sz w:val="22"/>
        </w:rPr>
        <w:t>Datum: 27 april 2026</w:t>
      </w:r>
    </w:p>
    <w:p>
      <w:pPr>
        <w:jc w:val="center"/>
      </w:pPr>
      <w:r>
        <w:rPr>
          <w:color w:val="374151"/>
          <w:sz w:val="22"/>
        </w:rPr>
        <w:t>Gebaseerd op: Niveaubepaling v2.0</w:t>
      </w:r>
    </w:p>
    <w:p>
      <w:pPr>
        <w:jc w:val="center"/>
      </w:pPr>
      <w:r>
        <w:rPr>
          <w:color w:val="374151"/>
          <w:sz w:val="22"/>
        </w:rPr>
        <w:t>Status: CONCEPT — vereist bevestiging hoeveelheden door Phoenix Metals</w:t>
      </w:r>
    </w:p>
    <w:p>
      <w:r>
        <w:br w:type="page"/>
      </w:r>
    </w:p>
    <w:p>
      <w:pPr>
        <w:pStyle w:val="Heading1"/>
      </w:pPr>
      <w:r>
        <w:t>1. Inleiding</w:t>
      </w:r>
    </w:p>
    <w:p>
      <w:pPr>
        <w:pStyle w:val="Heading2"/>
      </w:pPr>
      <w:r>
        <w:t>1.1 Doel</w:t>
      </w:r>
    </w:p>
    <w:p>
      <w:r>
        <w:t>Dit rapport documenteert de niveaubepaling conform PGS 15:2025 Tabel 6 voor de opslag van gevaarlijke stoffen bij Phoenix Metals, locatie Tata Steel terrein, IJmuiden.</w:t>
      </w:r>
    </w:p>
    <w:p>
      <w:pPr>
        <w:pStyle w:val="Heading2"/>
      </w:pPr>
      <w:r>
        <w:t>1.2 Methodiek</w:t>
      </w:r>
    </w:p>
    <w:p>
      <w:pPr>
        <w:pStyle w:val="ListBullet"/>
      </w:pPr>
      <w:r>
        <w:t>Per stof: ADR-route en CLP-route onafhankelijk bepalen</w:t>
      </w:r>
    </w:p>
    <w:p>
      <w:pPr>
        <w:pStyle w:val="ListBullet"/>
      </w:pPr>
      <w:r>
        <w:t>Per ADR-klasse: aggregatie van hoeveelheden</w:t>
      </w:r>
    </w:p>
    <w:p>
      <w:pPr>
        <w:pStyle w:val="ListBullet"/>
      </w:pPr>
      <w:r>
        <w:t>Strengste niveau over alle routes is het bepaalde opslagniveau</w:t>
      </w:r>
    </w:p>
    <w:p>
      <w:r>
        <w:br w:type="page"/>
      </w:r>
    </w:p>
    <w:p>
      <w:pPr>
        <w:pStyle w:val="Heading1"/>
      </w:pPr>
      <w:r>
        <w:t>2. Stoffenlijst met Classificatie</w:t>
      </w:r>
    </w:p>
    <w:p>
      <w:pPr>
        <w:pStyle w:val="Heading2"/>
      </w:pPr>
      <w:r>
        <w:t>2.1 ADR-geclassificeerde stoffen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/>
            <w:r>
              <w:rPr>
                <w:b/>
                <w:color w:val="003366"/>
                <w:sz w:val="20"/>
              </w:rPr>
              <w:t>#</w:t>
            </w:r>
          </w:p>
        </w:tc>
        <w:tc>
          <w:tcPr>
            <w:tcW w:type="dxa" w:w="960"/>
          </w:tcPr>
          <w:p>
            <w:r/>
            <w:r>
              <w:rPr>
                <w:b/>
                <w:color w:val="003366"/>
                <w:sz w:val="20"/>
              </w:rPr>
              <w:t>Stof</w:t>
            </w:r>
          </w:p>
        </w:tc>
        <w:tc>
          <w:tcPr>
            <w:tcW w:type="dxa" w:w="960"/>
          </w:tcPr>
          <w:p>
            <w:r/>
            <w:r>
              <w:rPr>
                <w:b/>
                <w:color w:val="003366"/>
                <w:sz w:val="20"/>
              </w:rPr>
              <w:t>CAS</w:t>
            </w:r>
          </w:p>
        </w:tc>
        <w:tc>
          <w:tcPr>
            <w:tcW w:type="dxa" w:w="960"/>
          </w:tcPr>
          <w:p>
            <w:r/>
            <w:r>
              <w:rPr>
                <w:b/>
                <w:color w:val="003366"/>
                <w:sz w:val="20"/>
              </w:rPr>
              <w:t>ADR</w:t>
            </w:r>
          </w:p>
        </w:tc>
        <w:tc>
          <w:tcPr>
            <w:tcW w:type="dxa" w:w="960"/>
          </w:tcPr>
          <w:p>
            <w:r/>
            <w:r>
              <w:rPr>
                <w:b/>
                <w:color w:val="003366"/>
                <w:sz w:val="20"/>
              </w:rPr>
              <w:t>VG</w:t>
            </w:r>
          </w:p>
        </w:tc>
        <w:tc>
          <w:tcPr>
            <w:tcW w:type="dxa" w:w="960"/>
          </w:tcPr>
          <w:p>
            <w:r/>
            <w:r>
              <w:rPr>
                <w:b/>
                <w:color w:val="003366"/>
                <w:sz w:val="20"/>
              </w:rPr>
              <w:t>Vorm</w:t>
            </w:r>
          </w:p>
        </w:tc>
        <w:tc>
          <w:tcPr>
            <w:tcW w:type="dxa" w:w="960"/>
          </w:tcPr>
          <w:p>
            <w:r/>
            <w:r>
              <w:rPr>
                <w:b/>
                <w:color w:val="003366"/>
                <w:sz w:val="20"/>
              </w:rPr>
              <w:t>Hoeveelheid</w:t>
            </w:r>
          </w:p>
        </w:tc>
        <w:tc>
          <w:tcPr>
            <w:tcW w:type="dxa" w:w="960"/>
          </w:tcPr>
          <w:p>
            <w:r/>
            <w:r>
              <w:rPr>
                <w:b/>
                <w:color w:val="003366"/>
                <w:sz w:val="20"/>
              </w:rPr>
              <w:t>Gewicht</w:t>
            </w:r>
          </w:p>
        </w:tc>
        <w:tc>
          <w:tcPr>
            <w:tcW w:type="dxa" w:w="960"/>
          </w:tcPr>
          <w:p>
            <w:r/>
            <w:r>
              <w:rPr>
                <w:b/>
                <w:color w:val="003366"/>
                <w:sz w:val="20"/>
              </w:rPr>
              <w:t>CLP extra</w:t>
            </w:r>
          </w:p>
        </w:tc>
      </w:tr>
      <w:tr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1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Sodium hydroxide 50%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1310-73-2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8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Vloeistof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100 L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~120 kg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Skin Corr. 1A</w:t>
            </w:r>
          </w:p>
        </w:tc>
      </w:tr>
      <w:tr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2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Sulfuric acid 75%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7664-93-9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8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Vloeistof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30 L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~50 kg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Skin Corr. 1A</w:t>
            </w:r>
          </w:p>
        </w:tc>
      </w:tr>
      <w:tr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3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Sulfuric acid 50%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7664-93-9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8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Vloeistof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70 L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~110 kg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Skin Corr. 1A</w:t>
            </w:r>
          </w:p>
        </w:tc>
      </w:tr>
      <w:tr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4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Sulfuric acid 25%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7664-93-9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8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Vloeistof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100 L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~120 kg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Skin Corr. 1A</w:t>
            </w:r>
          </w:p>
        </w:tc>
      </w:tr>
      <w:tr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5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Calcium oxide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1305-78-8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8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III¹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Vast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10 kg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10 kg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Skin Corr. 1B</w:t>
            </w:r>
          </w:p>
        </w:tc>
      </w:tr>
      <w:tr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6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Vanadium(V) oxide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1314-62-1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6.1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Vast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TBV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TBV</w:t>
            </w:r>
          </w:p>
        </w:tc>
        <w:tc>
          <w:tcPr>
            <w:tcW w:type="dxa" w:w="960"/>
          </w:tcPr>
          <w:p>
            <w:r/>
            <w:r>
              <w:rPr>
                <w:color w:val="1F2937"/>
                <w:sz w:val="20"/>
              </w:rPr>
              <w:t>Carc. 1B, Acute Tox. 2, Repr. 2</w:t>
            </w:r>
          </w:p>
        </w:tc>
      </w:tr>
    </w:tbl>
    <w:p/>
    <w:p>
      <w:r>
        <w:rPr>
          <w:i/>
          <w:color w:val="374151"/>
          <w:sz w:val="18"/>
        </w:rPr>
        <w:t>¹ CaO: in registratie als N/A, aangenomen ADR 8 VG III (UN 1910).</w:t>
      </w:r>
    </w:p>
    <w:p>
      <w:pPr>
        <w:pStyle w:val="Heading2"/>
      </w:pPr>
      <w:r>
        <w:t>2.2 Niet-ADR-geclassificeerde stoffen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  <w:color w:val="003366"/>
                <w:sz w:val="20"/>
              </w:rPr>
              <w:t>#</w:t>
            </w:r>
          </w:p>
        </w:tc>
        <w:tc>
          <w:tcPr>
            <w:tcW w:type="dxa" w:w="1728"/>
          </w:tcPr>
          <w:p>
            <w:r/>
            <w:r>
              <w:rPr>
                <w:b/>
                <w:color w:val="003366"/>
                <w:sz w:val="20"/>
              </w:rPr>
              <w:t>Stof</w:t>
            </w:r>
          </w:p>
        </w:tc>
        <w:tc>
          <w:tcPr>
            <w:tcW w:type="dxa" w:w="1728"/>
          </w:tcPr>
          <w:p>
            <w:r/>
            <w:r>
              <w:rPr>
                <w:b/>
                <w:color w:val="003366"/>
                <w:sz w:val="20"/>
              </w:rPr>
              <w:t>CAS</w:t>
            </w:r>
          </w:p>
        </w:tc>
        <w:tc>
          <w:tcPr>
            <w:tcW w:type="dxa" w:w="1728"/>
          </w:tcPr>
          <w:p>
            <w:r/>
            <w:r>
              <w:rPr>
                <w:b/>
                <w:color w:val="003366"/>
                <w:sz w:val="20"/>
              </w:rPr>
              <w:t>CLP</w:t>
            </w:r>
          </w:p>
        </w:tc>
        <w:tc>
          <w:tcPr>
            <w:tcW w:type="dxa" w:w="1728"/>
          </w:tcPr>
          <w:p>
            <w:r/>
            <w:r>
              <w:rPr>
                <w:b/>
                <w:color w:val="003366"/>
                <w:sz w:val="20"/>
              </w:rPr>
              <w:t>PGS 15 relevantie</w:t>
            </w:r>
          </w:p>
        </w:tc>
      </w:tr>
      <w:tr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7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Aluminiumsulfaat octadecahydraat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7784-31-8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H319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Geen</w:t>
            </w:r>
          </w:p>
        </w:tc>
      </w:tr>
      <w:tr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8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Vanadium(IV) sulfaat oplossing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N/A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TBV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TBV — mogelijk ADR 6.1</w:t>
            </w:r>
          </w:p>
        </w:tc>
      </w:tr>
      <w:tr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9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Vanadium elektrolyt (V³·⁵⁺)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N/A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TBV</w:t>
            </w:r>
          </w:p>
        </w:tc>
        <w:tc>
          <w:tcPr>
            <w:tcW w:type="dxa" w:w="1728"/>
          </w:tcPr>
          <w:p>
            <w:r/>
            <w:r>
              <w:rPr>
                <w:color w:val="1F2937"/>
                <w:sz w:val="20"/>
              </w:rPr>
              <w:t>TBV — mogelijk ADR 6.1</w:t>
            </w:r>
          </w:p>
        </w:tc>
      </w:tr>
    </w:tbl>
    <w:p>
      <w:r>
        <w:br w:type="page"/>
      </w:r>
    </w:p>
    <w:p>
      <w:pPr>
        <w:pStyle w:val="Heading1"/>
      </w:pPr>
      <w:r>
        <w:t>3. ADR-route Berekeningen</w:t>
      </w:r>
    </w:p>
    <w:p>
      <w:pPr>
        <w:pStyle w:val="Heading2"/>
      </w:pPr>
      <w:r>
        <w:t>3.1 ADR-klasse 8 — Bijtende stoffen</w:t>
      </w:r>
    </w:p>
    <w:p>
      <w:r>
        <w:t>Stoffen: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Stof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VG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Gewicht (kg)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Onbrandbaar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NaOH 50%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120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Ja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H₂SO₄ 75%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50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Ja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H₂SO₄ 50%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110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Ja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H₂SO₄ 25%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120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Ja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CaO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III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10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Ja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Totaal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410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</w:r>
          </w:p>
        </w:tc>
      </w:tr>
    </w:tbl>
    <w:p/>
    <w:p>
      <w:r>
        <w:t>Toetsing Tabel 6: ADR 8 VG II+III, onbrandbaar, geen Acute Tox. → Basisveiligheidsniveau (voetnoot c).</w:t>
      </w:r>
    </w:p>
    <w:p>
      <w:r>
        <w:t>Ondergrens Tabel 2: ADR 8 VG II/III → 250 kg. Geaggregeerd 410 kg &gt; 250 kg → boven ondergrens, maar voetnoot c blijft van toepassing (onbrandbaar).</w:t>
      </w:r>
    </w:p>
    <w:p>
      <w:r>
        <w:rPr>
          <w:b/>
          <w:color w:val="00A859"/>
        </w:rPr>
        <w:t>Conclusie ADR 8: Basisveiligheidsniveau</w:t>
      </w:r>
    </w:p>
    <w:p>
      <w:pPr>
        <w:pStyle w:val="Heading2"/>
      </w:pPr>
      <w:r>
        <w:t>3.2 ADR-klasse 6.1 — Giftige stoffen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color w:val="003366"/>
                <w:sz w:val="20"/>
              </w:rPr>
              <w:t>Stof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003366"/>
                <w:sz w:val="20"/>
              </w:rPr>
              <w:t>VG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003366"/>
                <w:sz w:val="20"/>
              </w:rPr>
              <w:t>Gewicht (kg)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V₂O₅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II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TBV (verwacht: &gt;1 kg)</w:t>
            </w:r>
          </w:p>
        </w:tc>
      </w:tr>
    </w:tbl>
    <w:p/>
    <w:p>
      <w:r>
        <w:t>Toetsing Tabel 6:</w:t>
      </w:r>
    </w:p>
    <w:p>
      <w:pPr>
        <w:pStyle w:val="ListBullet"/>
      </w:pPr>
      <w:r>
        <w:t>ADR 6.1 VG II, &lt;10 ton → C-niveau (Wbdbo 60 min)</w:t>
      </w:r>
    </w:p>
    <w:p>
      <w:pPr>
        <w:pStyle w:val="ListBullet"/>
      </w:pPr>
      <w:r>
        <w:t>ADR 6.1 VG II, &lt;20 ton → C-niveau (Wbdbo 90 min)</w:t>
      </w:r>
    </w:p>
    <w:p>
      <w:pPr>
        <w:pStyle w:val="ListBullet"/>
      </w:pPr>
      <w:r>
        <w:t>ADR 6.1 VG II, &gt;20 ton → A-niveau</w:t>
      </w:r>
    </w:p>
    <w:p>
      <w:r>
        <w:t>Ondergrens Tabel 2: ADR 6.1 VG II → 50 kg</w:t>
      </w:r>
    </w:p>
    <w:p>
      <w:r>
        <w:rPr>
          <w:b/>
          <w:color w:val="F59E0B"/>
        </w:rPr>
        <w:t>Conclusie ADR 6.1: C-niveau (bij &lt;10 ton V₂O₅)</w:t>
      </w:r>
    </w:p>
    <w:p>
      <w:r>
        <w:br w:type="page"/>
      </w:r>
    </w:p>
    <w:p>
      <w:pPr>
        <w:pStyle w:val="Heading1"/>
      </w:pPr>
      <w:r>
        <w:t>4. CLP-route Berekeningen</w:t>
      </w:r>
    </w:p>
    <w:p>
      <w:pPr>
        <w:pStyle w:val="Heading2"/>
      </w:pPr>
      <w:r>
        <w:t>4.1 Acute Toxiciteit Cat. 2 — V₂O₅ (H330)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color w:val="003366"/>
                <w:sz w:val="20"/>
              </w:rPr>
              <w:t>Parameter</w:t>
            </w:r>
          </w:p>
        </w:tc>
        <w:tc>
          <w:tcPr>
            <w:tcW w:type="dxa" w:w="4320"/>
          </w:tcPr>
          <w:p>
            <w:r/>
            <w:r>
              <w:rPr>
                <w:b/>
                <w:color w:val="003366"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Stof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Vanadium(V) oxide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H-zin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H330 — Dodelijk bij inademing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Categorie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Acute Tox. Cat. 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Ondergrens Tabel 2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1 kg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Verwachte opslag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&gt;1 kg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Tabel 6 CLP Acute Tox. 2, &lt;10 ton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C-niveau (Wbdbo 60 min)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Tabel 6 CLP Acute Tox. 2, &gt;10 ton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A-niveau</w:t>
            </w:r>
          </w:p>
        </w:tc>
      </w:tr>
    </w:tbl>
    <w:p/>
    <w:p>
      <w:r>
        <w:rPr>
          <w:b/>
          <w:color w:val="F59E0B"/>
        </w:rPr>
        <w:t>Conclusie CLP Acute Tox. 2: C-niveau (bij &lt;10 ton V₂O₅). Drempel A-niveau bij 10 ton.</w:t>
      </w:r>
    </w:p>
    <w:p>
      <w:pPr>
        <w:pStyle w:val="Heading2"/>
      </w:pPr>
      <w:r>
        <w:t>4.2 CMR Cat. 1B — V₂O₅ (H350i)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color w:val="003366"/>
                <w:sz w:val="20"/>
              </w:rPr>
              <w:t>Parameter</w:t>
            </w:r>
          </w:p>
        </w:tc>
        <w:tc>
          <w:tcPr>
            <w:tcW w:type="dxa" w:w="4320"/>
          </w:tcPr>
          <w:p>
            <w:r/>
            <w:r>
              <w:rPr>
                <w:b/>
                <w:color w:val="003366"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Stof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Vanadium(V) oxide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H-zin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H350i — Kan kanker veroorzaken bij inademing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Categorie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Carc. 1B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Ondergrens Tabel 2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25 kg (poeder)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Heeft ADR-classificatie?</w:t>
            </w:r>
          </w:p>
        </w:tc>
        <w:tc>
          <w:tcPr>
            <w:tcW w:type="dxa" w:w="4320"/>
          </w:tcPr>
          <w:p>
            <w:r/>
            <w:r>
              <w:rPr>
                <w:color w:val="1F2937"/>
                <w:sz w:val="20"/>
              </w:rPr>
              <w:t>Ja (6.1 VG II) → ADR-route prevaleert</w:t>
            </w:r>
          </w:p>
        </w:tc>
      </w:tr>
    </w:tbl>
    <w:p/>
    <w:p>
      <w:r>
        <w:t>Conclusie CMR: V₂O₅ wordt via de ADR-route beoordeeld (Tabel 6). Aanvullende arbo-maatregelen (AI-06) verplicht.</w:t>
      </w:r>
    </w:p>
    <w:p>
      <w:pPr>
        <w:pStyle w:val="Heading2"/>
      </w:pPr>
      <w:r>
        <w:t>4.3 Acute Toxiciteit Cat. 4 — V₂O₅ (H302+H312)</w:t>
      </w:r>
    </w:p>
    <w:p>
      <w:r>
        <w:t>Niet van toepassing — Cat. 4 valt buiten PGS 15 Tabel 2 ondergrenzen.</w:t>
      </w:r>
    </w:p>
    <w:p>
      <w:r>
        <w:br w:type="page"/>
      </w:r>
    </w:p>
    <w:p>
      <w:pPr>
        <w:pStyle w:val="Heading1"/>
      </w:pPr>
      <w:r>
        <w:t>5. Aggregatie per Klasse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color w:val="003366"/>
                <w:sz w:val="20"/>
              </w:rPr>
              <w:t>Route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003366"/>
                <w:sz w:val="20"/>
              </w:rPr>
              <w:t>Stofklasse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003366"/>
                <w:sz w:val="20"/>
              </w:rPr>
              <w:t>Resultaat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ADR 8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Bijtend, onbrandbaar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Basisveiligheidsniveau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ADR 6.1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Giftig (V₂O₅)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C-niveau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CLP Acute Tox. 2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V₂O₅ (H330)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C-niveau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CLP CMR 1B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V₂O₅ (H350i)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Via ADR 6.1 route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Catch-all (~415 kg)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&lt;1.000 kg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Niet van toepassing</w:t>
            </w:r>
          </w:p>
        </w:tc>
      </w:tr>
    </w:tbl>
    <w:p/>
    <w:p>
      <w:pPr>
        <w:pStyle w:val="Heading2"/>
      </w:pPr>
      <w:r>
        <w:t>5.1 Catch-all controle</w:t>
      </w:r>
    </w:p>
    <w:p>
      <w:r>
        <w:t>Totaal bekende gevaarlijke stoffen: ~415 kg (+ V₂O₅ TBV). Catch-all drempel: 1.000 kg. Bij &lt;585 kg V₂O₅: catch-all niet van toepassing (maar C-niveau al vereist via CLP/AOA 6.1).</w:t>
      </w:r>
    </w:p>
    <w:p>
      <w:r>
        <w:br w:type="page"/>
      </w:r>
    </w:p>
    <w:p>
      <w:pPr>
        <w:pStyle w:val="Heading1"/>
      </w:pPr>
      <w:r>
        <w:t>6. Conclusie: C-niveau</w:t>
      </w:r>
    </w:p>
    <w:p>
      <w:pPr>
        <w:pStyle w:val="Heading2"/>
      </w:pPr>
      <w:r>
        <w:t>6.1 Bepaald Opslagniveau</w:t>
      </w:r>
    </w:p>
    <w:p>
      <w:pPr>
        <w:jc w:val="center"/>
      </w:pPr>
      <w:r>
        <w:rPr>
          <w:b/>
          <w:color w:val="003366"/>
          <w:sz w:val="40"/>
        </w:rPr>
        <w:t>C-NIVEAU (Wbdbo 60 minuten)</w:t>
      </w:r>
    </w:p>
    <w:p>
      <w:pPr>
        <w:pStyle w:val="Heading2"/>
      </w:pPr>
      <w:r>
        <w:t>6.2 Argumentatie</w:t>
      </w:r>
    </w:p>
    <w:p>
      <w:r>
        <w:t>V₂O₅ is de dominante factor. Onafhankelijke routes leiden beiden tot C-niveau:</w:t>
      </w:r>
    </w:p>
    <w:p>
      <w:r>
        <w:t>1. ADR-route: ADR 6.1 VG II → C-niveau bij &lt;10 ton</w:t>
      </w:r>
    </w:p>
    <w:p>
      <w:r>
        <w:t>2. CLP-route: Acute Tox. Cat. 2 (H330) → C-niveau bij &lt;10 ton</w:t>
      </w:r>
    </w:p>
    <w:p>
      <w:r>
        <w:t>Beide routes zijn onafhankelijk en beiden resulteren in C-niveau. Het strengste niveau (C) is het bepaalde opslagniveau.</w:t>
      </w:r>
    </w:p>
    <w:p>
      <w:pPr>
        <w:pStyle w:val="Heading2"/>
      </w:pPr>
      <w:r>
        <w:t>6.3 Verplichte constructieve eisen C-niveau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color w:val="003366"/>
                <w:sz w:val="20"/>
              </w:rPr>
              <w:t>Eis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003366"/>
                <w:sz w:val="20"/>
              </w:rPr>
              <w:t>Vereiste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003366"/>
                <w:sz w:val="20"/>
              </w:rPr>
              <w:t>PGS 15 referentie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Weerstand branddoorgang/overslag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60 minuten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Tabel 6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Branddetectiesysteem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NEN 2535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M103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Brandwerende constructie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Wanden ≥60 min Wbdbo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Doel D7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Productopvang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Grootste individuele vak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Tabel 8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Basisveiligheidsniveau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Volledig van toepassing</w:t>
            </w:r>
          </w:p>
        </w:tc>
        <w:tc>
          <w:tcPr>
            <w:tcW w:type="dxa" w:w="2880"/>
          </w:tcPr>
          <w:p>
            <w:r/>
            <w:r>
              <w:rPr>
                <w:color w:val="1F2937"/>
                <w:sz w:val="20"/>
              </w:rPr>
              <w:t>§7</w:t>
            </w:r>
          </w:p>
        </w:tc>
      </w:tr>
    </w:tbl>
    <w:p>
      <w:r>
        <w:br w:type="page"/>
      </w:r>
    </w:p>
    <w:p>
      <w:pPr>
        <w:pStyle w:val="Heading1"/>
      </w:pPr>
      <w:r>
        <w:t>7. Schaalniveaus</w:t>
      </w:r>
    </w:p>
    <w:p>
      <w:pPr>
        <w:pStyle w:val="Heading2"/>
      </w:pPr>
      <w:r>
        <w:t>7.1 Wanneer naar A-niveau?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V₂O₅ opslag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ADR 6.1 VG II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CLP Acute Tox. 2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Resultaat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0 kg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N.v.t.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N.v.t.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Basis¹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1 – 1.000 kg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C (60 min)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C (60 min)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C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1.000 – 10.000 kg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C (60 min)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C (60 min)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C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10.000 – 20.000 kg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C (90 min)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A (aut. blussing)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A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&gt;20.000 kg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A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A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A</w:t>
            </w:r>
          </w:p>
        </w:tc>
      </w:tr>
    </w:tbl>
    <w:p/>
    <w:p>
      <w:r>
        <w:rPr>
          <w:i/>
          <w:color w:val="374151"/>
          <w:sz w:val="18"/>
        </w:rPr>
        <w:t>¹ Alleen als V₂O₅ NIET op locatie wordt opgeslagen.</w:t>
      </w:r>
    </w:p>
    <w:p>
      <w:pPr>
        <w:pStyle w:val="Heading2"/>
      </w:pPr>
      <w:r>
        <w:t>7.2 Monitoring</w:t>
      </w:r>
    </w:p>
    <w:p>
      <w:r>
        <w:t>Phoenix Metals dient de V₂O₅ opslaghoeveelheid structureel te monitoren. Bij overschrijding van 10.000 kg moet worden opgeschaald naar A-niveau (automatische blussing).</w:t>
      </w:r>
    </w:p>
    <w:p>
      <w:pPr>
        <w:ind w:left="283"/>
      </w:pPr>
      <w:r>
        <w:rPr>
          <w:b/>
          <w:color w:val="EF4444"/>
        </w:rPr>
        <w:t>⚠️ Monitoring van V₂O₅ opslaghoeveelheid is KRITIEK. Bij &gt;10 ton onmiddellijke opschaling naar A-niveau vereist.</w:t>
      </w:r>
    </w:p>
    <w:p>
      <w:r>
        <w:br w:type="page"/>
      </w:r>
    </w:p>
    <w:p>
      <w:pPr>
        <w:pStyle w:val="Heading1"/>
      </w:pPr>
      <w:r>
        <w:t>8. Aannames en Onzekerheden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#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Aanname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Impact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003366"/>
                <w:sz w:val="20"/>
              </w:rPr>
              <w:t>Actie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1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V₂O₅ wordt opgeslagen op locatie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HOOG — bepaalt C vs Basis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Bevestig opslag ja/nee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V₂O₅ hoeveelheid &lt;10 ton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HOOG — bepaalt C vs A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Bevestig maximale hoeveelheid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Geen brandstoffen op locatie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HOOG — ADR 3 verandert niveau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Inventariseer brandstoffen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CaO = ADR 8 VG III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LAAG — 10 kg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Verifieer SDS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V(IV) sulfaat = geen significant ADR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MIDDEN — bij ADR 6.1 versterkt C</w:t>
            </w:r>
          </w:p>
        </w:tc>
        <w:tc>
          <w:tcPr>
            <w:tcW w:type="dxa" w:w="2160"/>
          </w:tcPr>
          <w:p>
            <w:r/>
            <w:r>
              <w:rPr>
                <w:color w:val="1F2937"/>
                <w:sz w:val="20"/>
              </w:rPr>
              <w:t>Verkrijg SDS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74151"/>
        <w:sz w:val="16"/>
      </w:rPr>
      <w:t xml:space="preserve">PGS15-PM-NB | v1.0 | 27 april 2026  —  Pagina </w:t>
    </w:r>
    <w:r>
      <w:rPr>
        <w:color w:val="374151"/>
        <w:sz w:val="16"/>
      </w:rPr>
      <w:fldChar w:fldCharType="begin"/>
    </w:r>
    <w:r>
      <w:rPr>
        <w:color w:val="374151"/>
        <w:sz w:val="16"/>
      </w:rPr>
      <w:instrText xml:space="preserve"> PAGE </w:instrText>
    </w:r>
    <w:r>
      <w:rPr>
        <w:color w:val="374151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Rule="auto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3B82F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PGS15-PM Niveaubepaling Rapport v1.0</dc:title>
  <dc:subject/>
  <dc:creator>HQ_04 Technical Writer via Kas</dc:creator>
  <cp:keywords>PGS 15; niveaubepaling; Phoenix Metals; V₂O₅; ADR; CLP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>HSEQ Intelligence</cp:category>
</cp:coreProperties>
</file>