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b/>
          <w:color w:val="003366"/>
          <w:sz w:val="56"/>
        </w:rPr>
        <w:t>KENNISDOSSIER</w:t>
      </w:r>
    </w:p>
    <w:p>
      <w:pPr>
        <w:jc w:val="center"/>
      </w:pPr>
      <w:r>
        <w:rPr>
          <w:color w:val="374151"/>
          <w:sz w:val="36"/>
        </w:rPr>
        <w:t>PGS 15:2025 — Opslag Gevaarlijke Stoffen</w:t>
      </w:r>
    </w:p>
    <w:p/>
    <w:p>
      <w:pPr>
        <w:jc w:val="center"/>
      </w:pPr>
      <w:r>
        <w:rPr>
          <w:color w:val="3B82F6"/>
          <w:sz w:val="28"/>
        </w:rPr>
        <w:t>Werkvoorbeeld: Phoenix Metals B.V.</w:t>
      </w:r>
    </w:p>
    <w:p/>
    <w:p/>
    <w:p/>
    <w:p/>
    <w:p>
      <w:pPr>
        <w:jc w:val="center"/>
      </w:pPr>
      <w:r>
        <w:rPr>
          <w:color w:val="374151"/>
          <w:sz w:val="22"/>
        </w:rPr>
        <w:t>Project: PGS15-PM</w:t>
      </w:r>
    </w:p>
    <w:p>
      <w:pPr>
        <w:jc w:val="center"/>
      </w:pPr>
      <w:r>
        <w:rPr>
          <w:color w:val="374151"/>
          <w:sz w:val="22"/>
        </w:rPr>
        <w:t>Versie: 1.0</w:t>
      </w:r>
    </w:p>
    <w:p>
      <w:pPr>
        <w:jc w:val="center"/>
      </w:pPr>
      <w:r>
        <w:rPr>
          <w:color w:val="374151"/>
          <w:sz w:val="22"/>
        </w:rPr>
        <w:t>Datum: 27 april 2026</w:t>
      </w:r>
    </w:p>
    <w:p>
      <w:pPr>
        <w:jc w:val="center"/>
      </w:pPr>
      <w:r>
        <w:rPr>
          <w:color w:val="374151"/>
          <w:sz w:val="22"/>
        </w:rPr>
        <w:t>Locatie: Tata Steel terrein, IJmuiden</w:t>
      </w:r>
    </w:p>
    <w:p>
      <w:pPr>
        <w:jc w:val="center"/>
      </w:pPr>
      <w:r>
        <w:rPr>
          <w:color w:val="374151"/>
          <w:sz w:val="22"/>
        </w:rPr>
        <w:t>Doelgroep: HSE professionals, management, operators</w:t>
      </w:r>
    </w:p>
    <w:p>
      <w:r>
        <w:br w:type="page"/>
      </w:r>
    </w:p>
    <w:p>
      <w:pPr>
        <w:pStyle w:val="Heading1"/>
      </w:pPr>
      <w:r>
        <w:t>1. Management Samenvatting</w:t>
      </w:r>
    </w:p>
    <w:p>
      <w:r>
        <w:t>Dit kennisdossier biedt een uitgebreide uitleg van het PGS 15:2025 systeem voor de veilige opslag van verpakte gevaarlijke stoffen, met Phoenix Metals B.V. als werkvoorbeeld. Phoenix Metals produceert vanadium(V)oxide (V₂O₅) uit staalslakken via een hydrometallurgisch proces op het Tata Steel terrein in IJmuiden.</w:t>
      </w:r>
    </w:p>
    <w:p>
      <w:r>
        <w:rPr>
          <w:b/>
          <w:color w:val="003366"/>
        </w:rPr>
        <w:t>► Bepaald opslagniveau: C-NIVEAU (Wbdbo 60 minuten)</w:t>
      </w:r>
    </w:p>
    <w:p>
      <w:r>
        <w:rPr>
          <w:b/>
          <w:color w:val="003366"/>
        </w:rPr>
        <w:t>► Bepalende factor: V₂O₅ — Carc. 1B (H350i), Acute Tox. 2 (H330), ADR 6.1 VG II</w:t>
      </w:r>
    </w:p>
    <w:p>
      <w:r>
        <w:rPr>
          <w:b/>
          <w:color w:val="003366"/>
        </w:rPr>
        <w:t>► Drempel A-niveau: &gt;10.000 kg V₂O₅ (via CLP Acute Tox. 2)</w:t>
      </w:r>
    </w:p>
    <w:p>
      <w:r>
        <w:rPr>
          <w:b/>
          <w:color w:val="003366"/>
        </w:rPr>
        <w:t>► ADR 8 bijtende stoffen (~410 kg): Basisveiligheidsniveau (onbrandbaar, voetnoot c)</w:t>
      </w:r>
    </w:p>
    <w:p/>
    <w:p>
      <w:pPr>
        <w:ind w:left="283"/>
      </w:pPr>
      <w:r>
        <w:rPr>
          <w:b/>
          <w:color w:val="EF4444"/>
        </w:rPr>
        <w:t>⚠️ V₂O₅ hoeveelheid moet structureel worden gemonitord. Bij &gt;10 ton opschaling naar A-niveau (automatische blussing) verplicht.</w:t>
      </w:r>
    </w:p>
    <w:p>
      <w:r>
        <w:t>Het dossier behandelt: (1) het wettelijk kader van PGS 15:2025, (2) het niveaubepalingssysteem met ADR- en CLP-routes, (3) de scheidingstabel, (4) CMR-stoffen, (5) V₂O₅ specifieke aandachtspunten, en (6) de casus Phoenix Metals als praktijkvoorbeeld.</w:t>
      </w:r>
    </w:p>
    <w:p>
      <w:r>
        <w:br w:type="page"/>
      </w:r>
    </w:p>
    <w:p>
      <w:pPr>
        <w:pStyle w:val="Heading1"/>
      </w:pPr>
      <w:r>
        <w:t>2. Achtergrond PGS 15:2025</w:t>
      </w:r>
    </w:p>
    <w:p>
      <w:pPr>
        <w:pStyle w:val="Heading2"/>
      </w:pPr>
      <w:r>
        <w:t>2.1 Wat is PGS 15?</w:t>
      </w:r>
    </w:p>
    <w:p>
      <w:r>
        <w:t>PGS 15 (Publicatie 565) is de Nederlandse richtlijn voor de veilige opslag van verpakte gevaarlijke stoffen. Versie 1.0 is gepubliceerd in januari 2025 en vervangt de eerdere versie (PGS 15:2019). De richtlijn wordt gehanteerd als stand van techniek door toezichthouders (Inspectie SZW, omgevingsdiensten).</w:t>
      </w:r>
    </w:p>
    <w:p>
      <w:pPr>
        <w:pStyle w:val="Heading2"/>
      </w:pPr>
      <w:r>
        <w:t>2.2 Wettelijk kader</w:t>
      </w:r>
    </w:p>
    <w:p>
      <w:r>
        <w:t>De belangrijkste wettelijke grondslagen:</w:t>
      </w:r>
    </w:p>
    <w:tbl>
      <w:tblPr>
        <w:tblStyle w:val="LightGrid-Accent1"/>
        <w:tblW w:type="auto" w:w="0"/>
        <w:jc w:val="left"/>
        <w:tblLook w:firstColumn="1" w:firstRow="1" w:lastColumn="0" w:lastRow="0" w:noHBand="0" w:noVBand="1" w:val="04A0"/>
      </w:tblPr>
      <w:tblGrid>
        <w:gridCol w:w="2880"/>
        <w:gridCol w:w="2880"/>
        <w:gridCol w:w="2880"/>
      </w:tblGrid>
      <w:tr>
        <w:tc>
          <w:tcPr>
            <w:tcW w:type="dxa" w:w="2880"/>
          </w:tcPr>
          <w:p>
            <w:r/>
            <w:r>
              <w:rPr>
                <w:b/>
                <w:color w:val="003366"/>
                <w:sz w:val="20"/>
              </w:rPr>
              <w:t>Wetgeving</w:t>
            </w:r>
          </w:p>
        </w:tc>
        <w:tc>
          <w:tcPr>
            <w:tcW w:type="dxa" w:w="2880"/>
          </w:tcPr>
          <w:p>
            <w:r/>
            <w:r>
              <w:rPr>
                <w:b/>
                <w:color w:val="003366"/>
                <w:sz w:val="20"/>
              </w:rPr>
              <w:t>Artikel</w:t>
            </w:r>
          </w:p>
        </w:tc>
        <w:tc>
          <w:tcPr>
            <w:tcW w:type="dxa" w:w="2880"/>
          </w:tcPr>
          <w:p>
            <w:r/>
            <w:r>
              <w:rPr>
                <w:b/>
                <w:color w:val="003366"/>
                <w:sz w:val="20"/>
              </w:rPr>
              <w:t>Relevantie</w:t>
            </w:r>
          </w:p>
        </w:tc>
      </w:tr>
      <w:tr>
        <w:tc>
          <w:tcPr>
            <w:tcW w:type="dxa" w:w="2880"/>
          </w:tcPr>
          <w:p>
            <w:r/>
            <w:r>
              <w:rPr>
                <w:color w:val="1F2937"/>
                <w:sz w:val="20"/>
              </w:rPr>
              <w:t>Arbowet</w:t>
            </w:r>
          </w:p>
        </w:tc>
        <w:tc>
          <w:tcPr>
            <w:tcW w:type="dxa" w:w="2880"/>
          </w:tcPr>
          <w:p>
            <w:r/>
            <w:r>
              <w:rPr>
                <w:color w:val="1F2937"/>
                <w:sz w:val="20"/>
              </w:rPr>
              <w:t>Art. 4.1c</w:t>
            </w:r>
          </w:p>
        </w:tc>
        <w:tc>
          <w:tcPr>
            <w:tcW w:type="dxa" w:w="2880"/>
          </w:tcPr>
          <w:p>
            <w:r/>
            <w:r>
              <w:rPr>
                <w:color w:val="1F2937"/>
                <w:sz w:val="20"/>
              </w:rPr>
              <w:t>Preventiemaatregelen gevaarlijke stoffen</w:t>
            </w:r>
          </w:p>
        </w:tc>
      </w:tr>
      <w:tr>
        <w:tc>
          <w:tcPr>
            <w:tcW w:type="dxa" w:w="2880"/>
          </w:tcPr>
          <w:p>
            <w:r/>
            <w:r>
              <w:rPr>
                <w:color w:val="1F2937"/>
                <w:sz w:val="20"/>
              </w:rPr>
              <w:t>Arbowet</w:t>
            </w:r>
          </w:p>
        </w:tc>
        <w:tc>
          <w:tcPr>
            <w:tcW w:type="dxa" w:w="2880"/>
          </w:tcPr>
          <w:p>
            <w:r/>
            <w:r>
              <w:rPr>
                <w:color w:val="1F2937"/>
                <w:sz w:val="20"/>
              </w:rPr>
              <w:t>Art. 4.1d</w:t>
            </w:r>
          </w:p>
        </w:tc>
        <w:tc>
          <w:tcPr>
            <w:tcW w:type="dxa" w:w="2880"/>
          </w:tcPr>
          <w:p>
            <w:r/>
            <w:r>
              <w:rPr>
                <w:color w:val="1F2937"/>
                <w:sz w:val="20"/>
              </w:rPr>
              <w:t>Register gevaarlijke stoffen</w:t>
            </w:r>
          </w:p>
        </w:tc>
      </w:tr>
      <w:tr>
        <w:tc>
          <w:tcPr>
            <w:tcW w:type="dxa" w:w="2880"/>
          </w:tcPr>
          <w:p>
            <w:r/>
            <w:r>
              <w:rPr>
                <w:color w:val="1F2937"/>
                <w:sz w:val="20"/>
              </w:rPr>
              <w:t>Omgevingswet</w:t>
            </w:r>
          </w:p>
        </w:tc>
        <w:tc>
          <w:tcPr>
            <w:tcW w:type="dxa" w:w="2880"/>
          </w:tcPr>
          <w:p>
            <w:r/>
            <w:r>
              <w:rPr>
                <w:color w:val="1F2937"/>
                <w:sz w:val="20"/>
              </w:rPr>
              <w:t>Art. 4.1012 Bal</w:t>
            </w:r>
          </w:p>
        </w:tc>
        <w:tc>
          <w:tcPr>
            <w:tcW w:type="dxa" w:w="2880"/>
          </w:tcPr>
          <w:p>
            <w:r/>
            <w:r>
              <w:rPr>
                <w:color w:val="1F2937"/>
                <w:sz w:val="20"/>
              </w:rPr>
              <w:t>Opslag gevaarlijke stoffen</w:t>
            </w:r>
          </w:p>
        </w:tc>
      </w:tr>
      <w:tr>
        <w:tc>
          <w:tcPr>
            <w:tcW w:type="dxa" w:w="2880"/>
          </w:tcPr>
          <w:p>
            <w:r/>
            <w:r>
              <w:rPr>
                <w:color w:val="1F2937"/>
                <w:sz w:val="20"/>
              </w:rPr>
              <w:t>CLP (EG 1272/2008)</w:t>
            </w:r>
          </w:p>
        </w:tc>
        <w:tc>
          <w:tcPr>
            <w:tcW w:type="dxa" w:w="2880"/>
          </w:tcPr>
          <w:p>
            <w:r/>
            <w:r>
              <w:rPr>
                <w:color w:val="1F2937"/>
                <w:sz w:val="20"/>
              </w:rPr>
              <w:t>Bijlage VI</w:t>
            </w:r>
          </w:p>
        </w:tc>
        <w:tc>
          <w:tcPr>
            <w:tcW w:type="dxa" w:w="2880"/>
          </w:tcPr>
          <w:p>
            <w:r/>
            <w:r>
              <w:rPr>
                <w:color w:val="1F2937"/>
                <w:sz w:val="20"/>
              </w:rPr>
              <w:t>Geharmoniseerde classificatie</w:t>
            </w:r>
          </w:p>
        </w:tc>
      </w:tr>
      <w:tr>
        <w:tc>
          <w:tcPr>
            <w:tcW w:type="dxa" w:w="2880"/>
          </w:tcPr>
          <w:p>
            <w:r/>
            <w:r>
              <w:rPr>
                <w:color w:val="1F2937"/>
                <w:sz w:val="20"/>
              </w:rPr>
              <w:t>ADR</w:t>
            </w:r>
          </w:p>
        </w:tc>
        <w:tc>
          <w:tcPr>
            <w:tcW w:type="dxa" w:w="2880"/>
          </w:tcPr>
          <w:p>
            <w:r/>
            <w:r>
              <w:rPr>
                <w:color w:val="1F2937"/>
                <w:sz w:val="20"/>
              </w:rPr>
              <w:t>Deel 2-4</w:t>
            </w:r>
          </w:p>
        </w:tc>
        <w:tc>
          <w:tcPr>
            <w:tcW w:type="dxa" w:w="2880"/>
          </w:tcPr>
          <w:p>
            <w:r/>
            <w:r>
              <w:rPr>
                <w:color w:val="1F2937"/>
                <w:sz w:val="20"/>
              </w:rPr>
              <w:t>Transportclassificatie</w:t>
            </w:r>
          </w:p>
        </w:tc>
      </w:tr>
    </w:tbl>
    <w:p/>
    <w:p>
      <w:r>
        <w:t>PGS 15 is een richtlijn (niet wettelijk bindend), maar wordt gehanteerd als stand van techniek. Het niet opvolgen van PGS 15 kan worden beschouwd als een overtreding van de zorgplicht uit de Arbowet.</w:t>
      </w:r>
    </w:p>
    <w:p>
      <w:pPr>
        <w:pStyle w:val="Heading2"/>
      </w:pPr>
      <w:r>
        <w:t>2.3 Toepassingsgebied</w:t>
      </w:r>
    </w:p>
    <w:p>
      <w:r>
        <w:t>PGS 15 is van toepassing op opslag van verpakte gevaarlijke stoffen die vallen onder:</w:t>
      </w:r>
    </w:p>
    <w:p>
      <w:pPr>
        <w:pStyle w:val="ListBullet"/>
      </w:pPr>
      <w:r>
        <w:t>ADR-klassen 2, 3, 4.1, 4.2, 4.3, 5.1, 5.2, 6.1, 6.2, 8, 9 (met uitzonderingen, zie Tabel 1)</w:t>
      </w:r>
    </w:p>
    <w:p>
      <w:pPr>
        <w:pStyle w:val="ListBullet"/>
      </w:pPr>
      <w:r>
        <w:t>CMR-stoffen (behalve metalen in vaste vorm)</w:t>
      </w:r>
    </w:p>
    <w:p>
      <w:pPr>
        <w:pStyle w:val="ListBullet"/>
      </w:pPr>
      <w:r>
        <w:t>CLP-stoffen met Acute Toxiciteit cat. 1/2/3</w:t>
      </w:r>
    </w:p>
    <w:p>
      <w:pPr>
        <w:pStyle w:val="ListBullet"/>
      </w:pPr>
      <w:r>
        <w:t>Gewasbeschermingsmiddelen en biociden ≥400 kg</w:t>
      </w:r>
    </w:p>
    <w:p>
      <w:r>
        <w:br w:type="page"/>
      </w:r>
    </w:p>
    <w:p>
      <w:pPr>
        <w:pStyle w:val="Heading1"/>
      </w:pPr>
      <w:r>
        <w:t>3. Niveaubepaling Systeem (ADR + CLP)</w:t>
      </w:r>
    </w:p>
    <w:p>
      <w:pPr>
        <w:pStyle w:val="Heading2"/>
      </w:pPr>
      <w:r>
        <w:t>3.1 Twee onafhankelijke routes</w:t>
      </w:r>
    </w:p>
    <w:p>
      <w:r>
        <w:t>PGS 15:2025 kent twee onafhankelijke classificatieroutes. Voor elke stof worden beide routes berekend. Het hoogste (strengste) veiligheidsniveau geldt.</w:t>
      </w:r>
    </w:p>
    <w:p>
      <w:pPr>
        <w:pStyle w:val="Heading3"/>
      </w:pPr>
      <w:r>
        <w:t>ADR-route</w:t>
      </w:r>
    </w:p>
    <w:p>
      <w:r>
        <w:t>Bepaald op basis van ADR-klasse en Verpakkingsgroep (VG). VG I: hoogste gevaar → laagste ondergrens (1 kg). VG II: middelhoge gevaar. VG III: lagere gevaar.</w:t>
      </w:r>
    </w:p>
    <w:p>
      <w:pPr>
        <w:pStyle w:val="Heading3"/>
      </w:pPr>
      <w:r>
        <w:t>CLP-route</w:t>
      </w:r>
    </w:p>
    <w:p>
      <w:r>
        <w:t>Bepaald op basis van CLP-classificatie (H-zinnen). Acute Tox. Cat. 1: ondergrens 1 kg. Acute Tox. Cat. 2/3: ondergrens 1 kg. CMR Cat. 1A/1B: ondergrens 25 kg (poeder/vloeistof).</w:t>
      </w:r>
    </w:p>
    <w:p>
      <w:pPr>
        <w:pStyle w:val="Heading2"/>
      </w:pPr>
      <w:r>
        <w:t>3.2 Niveaus</w:t>
      </w:r>
    </w:p>
    <w:tbl>
      <w:tblPr>
        <w:tblStyle w:val="LightGrid-Accent1"/>
        <w:tblW w:type="auto" w:w="0"/>
        <w:jc w:val="left"/>
        <w:tblLook w:firstColumn="1" w:firstRow="1" w:lastColumn="0" w:lastRow="0" w:noHBand="0" w:noVBand="1" w:val="04A0"/>
      </w:tblPr>
      <w:tblGrid>
        <w:gridCol w:w="2880"/>
        <w:gridCol w:w="2880"/>
        <w:gridCol w:w="2880"/>
      </w:tblGrid>
      <w:tr>
        <w:tc>
          <w:tcPr>
            <w:tcW w:type="dxa" w:w="2880"/>
          </w:tcPr>
          <w:p>
            <w:r/>
            <w:r>
              <w:rPr>
                <w:b/>
                <w:color w:val="003366"/>
                <w:sz w:val="20"/>
              </w:rPr>
              <w:t>Niveau</w:t>
            </w:r>
          </w:p>
        </w:tc>
        <w:tc>
          <w:tcPr>
            <w:tcW w:type="dxa" w:w="2880"/>
          </w:tcPr>
          <w:p>
            <w:r/>
            <w:r>
              <w:rPr>
                <w:b/>
                <w:color w:val="003366"/>
                <w:sz w:val="20"/>
              </w:rPr>
              <w:t>Betekenis</w:t>
            </w:r>
          </w:p>
        </w:tc>
        <w:tc>
          <w:tcPr>
            <w:tcW w:type="dxa" w:w="2880"/>
          </w:tcPr>
          <w:p>
            <w:r/>
            <w:r>
              <w:rPr>
                <w:b/>
                <w:color w:val="003366"/>
                <w:sz w:val="20"/>
              </w:rPr>
              <w:t>Constructieve eisen</w:t>
            </w:r>
          </w:p>
        </w:tc>
      </w:tr>
      <w:tr>
        <w:tc>
          <w:tcPr>
            <w:tcW w:type="dxa" w:w="2880"/>
          </w:tcPr>
          <w:p>
            <w:r/>
            <w:r>
              <w:rPr>
                <w:color w:val="1F2937"/>
                <w:sz w:val="20"/>
              </w:rPr>
              <w:t>Basisveiligheidsniveau</w:t>
            </w:r>
          </w:p>
        </w:tc>
        <w:tc>
          <w:tcPr>
            <w:tcW w:type="dxa" w:w="2880"/>
          </w:tcPr>
          <w:p>
            <w:r/>
            <w:r>
              <w:rPr>
                <w:color w:val="1F2937"/>
                <w:sz w:val="20"/>
              </w:rPr>
              <w:t>Minimale eisen, altijd van toepassing</w:t>
            </w:r>
          </w:p>
        </w:tc>
        <w:tc>
          <w:tcPr>
            <w:tcW w:type="dxa" w:w="2880"/>
          </w:tcPr>
          <w:p>
            <w:r/>
            <w:r>
              <w:rPr>
                <w:color w:val="1F2937"/>
                <w:sz w:val="20"/>
              </w:rPr>
              <w:t>Zorgplicht, stellingen, productopvang</w:t>
            </w:r>
          </w:p>
        </w:tc>
      </w:tr>
      <w:tr>
        <w:tc>
          <w:tcPr>
            <w:tcW w:type="dxa" w:w="2880"/>
          </w:tcPr>
          <w:p>
            <w:r/>
            <w:r>
              <w:rPr>
                <w:color w:val="1F2937"/>
                <w:sz w:val="20"/>
              </w:rPr>
              <w:t>C-niveau</w:t>
            </w:r>
          </w:p>
        </w:tc>
        <w:tc>
          <w:tcPr>
            <w:tcW w:type="dxa" w:w="2880"/>
          </w:tcPr>
          <w:p>
            <w:r/>
            <w:r>
              <w:rPr>
                <w:color w:val="1F2937"/>
                <w:sz w:val="20"/>
              </w:rPr>
              <w:t>Brandwerende constructie</w:t>
            </w:r>
          </w:p>
        </w:tc>
        <w:tc>
          <w:tcPr>
            <w:tcW w:type="dxa" w:w="2880"/>
          </w:tcPr>
          <w:p>
            <w:r/>
            <w:r>
              <w:rPr>
                <w:color w:val="1F2937"/>
                <w:sz w:val="20"/>
              </w:rPr>
              <w:t>Wbdbo 60/90 min, branddetectie</w:t>
            </w:r>
          </w:p>
        </w:tc>
      </w:tr>
      <w:tr>
        <w:tc>
          <w:tcPr>
            <w:tcW w:type="dxa" w:w="2880"/>
          </w:tcPr>
          <w:p>
            <w:r/>
            <w:r>
              <w:rPr>
                <w:color w:val="1F2937"/>
                <w:sz w:val="20"/>
              </w:rPr>
              <w:t>B-niveau</w:t>
            </w:r>
          </w:p>
        </w:tc>
        <w:tc>
          <w:tcPr>
            <w:tcW w:type="dxa" w:w="2880"/>
          </w:tcPr>
          <w:p>
            <w:r/>
            <w:r>
              <w:rPr>
                <w:color w:val="1F2937"/>
                <w:sz w:val="20"/>
              </w:rPr>
              <w:t>Compartimentering</w:t>
            </w:r>
          </w:p>
        </w:tc>
        <w:tc>
          <w:tcPr>
            <w:tcW w:type="dxa" w:w="2880"/>
          </w:tcPr>
          <w:p>
            <w:r/>
            <w:r>
              <w:rPr>
                <w:color w:val="1F2937"/>
                <w:sz w:val="20"/>
              </w:rPr>
              <w:t>+ detectie + doormelding</w:t>
            </w:r>
          </w:p>
        </w:tc>
      </w:tr>
      <w:tr>
        <w:tc>
          <w:tcPr>
            <w:tcW w:type="dxa" w:w="2880"/>
          </w:tcPr>
          <w:p>
            <w:r/>
            <w:r>
              <w:rPr>
                <w:color w:val="1F2937"/>
                <w:sz w:val="20"/>
              </w:rPr>
              <w:t>A-niveau</w:t>
            </w:r>
          </w:p>
        </w:tc>
        <w:tc>
          <w:tcPr>
            <w:tcW w:type="dxa" w:w="2880"/>
          </w:tcPr>
          <w:p>
            <w:r/>
            <w:r>
              <w:rPr>
                <w:color w:val="1F2937"/>
                <w:sz w:val="20"/>
              </w:rPr>
              <w:t>Automatische blussing</w:t>
            </w:r>
          </w:p>
        </w:tc>
        <w:tc>
          <w:tcPr>
            <w:tcW w:type="dxa" w:w="2880"/>
          </w:tcPr>
          <w:p>
            <w:r/>
            <w:r>
              <w:rPr>
                <w:color w:val="1F2937"/>
                <w:sz w:val="20"/>
              </w:rPr>
              <w:t>+ VBB-installatie</w:t>
            </w:r>
          </w:p>
        </w:tc>
      </w:tr>
    </w:tbl>
    <w:p/>
    <w:p>
      <w:r>
        <w:t>De strengste route prevaleert. Als de ADR-route C-niveau oplevert en de CLP-route eveneens C-niveau, dan is het bepaalde opslagniveau C.</w:t>
      </w:r>
    </w:p>
    <w:p>
      <w:pPr>
        <w:pStyle w:val="Heading2"/>
      </w:pPr>
      <w:r>
        <w:t>3.3 Tabel 6 — Drempelwaarden (uitleg)</w:t>
      </w:r>
    </w:p>
    <w:tbl>
      <w:tblPr>
        <w:tblStyle w:val="LightGrid-Accent1"/>
        <w:tblW w:type="auto" w:w="0"/>
        <w:jc w:val="left"/>
        <w:tblLook w:firstColumn="1" w:firstRow="1" w:lastColumn="0" w:lastRow="0" w:noHBand="0" w:noVBand="1" w:val="04A0"/>
      </w:tblPr>
      <w:tblGrid>
        <w:gridCol w:w="1728"/>
        <w:gridCol w:w="1728"/>
        <w:gridCol w:w="1728"/>
        <w:gridCol w:w="1728"/>
        <w:gridCol w:w="1728"/>
      </w:tblGrid>
      <w:tr>
        <w:tc>
          <w:tcPr>
            <w:tcW w:type="dxa" w:w="1728"/>
          </w:tcPr>
          <w:p>
            <w:r/>
            <w:r>
              <w:rPr>
                <w:b/>
                <w:color w:val="003366"/>
                <w:sz w:val="20"/>
              </w:rPr>
              <w:t>Stofklasse</w:t>
            </w:r>
          </w:p>
        </w:tc>
        <w:tc>
          <w:tcPr>
            <w:tcW w:type="dxa" w:w="1728"/>
          </w:tcPr>
          <w:p>
            <w:r/>
            <w:r>
              <w:rPr>
                <w:b/>
                <w:color w:val="003366"/>
                <w:sz w:val="20"/>
              </w:rPr>
              <w:t>VG</w:t>
            </w:r>
          </w:p>
        </w:tc>
        <w:tc>
          <w:tcPr>
            <w:tcW w:type="dxa" w:w="1728"/>
          </w:tcPr>
          <w:p>
            <w:r/>
            <w:r>
              <w:rPr>
                <w:b/>
                <w:color w:val="003366"/>
                <w:sz w:val="20"/>
              </w:rPr>
              <w:t>Hoeveelheid</w:t>
            </w:r>
          </w:p>
        </w:tc>
        <w:tc>
          <w:tcPr>
            <w:tcW w:type="dxa" w:w="1728"/>
          </w:tcPr>
          <w:p>
            <w:r/>
            <w:r>
              <w:rPr>
                <w:b/>
                <w:color w:val="003366"/>
                <w:sz w:val="20"/>
              </w:rPr>
              <w:t>Niveau</w:t>
            </w:r>
          </w:p>
        </w:tc>
        <w:tc>
          <w:tcPr>
            <w:tcW w:type="dxa" w:w="1728"/>
          </w:tcPr>
          <w:p>
            <w:r/>
            <w:r>
              <w:rPr>
                <w:b/>
                <w:color w:val="003366"/>
                <w:sz w:val="20"/>
              </w:rPr>
              <w:t>Wbdbo</w:t>
            </w:r>
          </w:p>
        </w:tc>
      </w:tr>
      <w:tr>
        <w:tc>
          <w:tcPr>
            <w:tcW w:type="dxa" w:w="1728"/>
          </w:tcPr>
          <w:p>
            <w:r/>
            <w:r>
              <w:rPr>
                <w:color w:val="1F2937"/>
                <w:sz w:val="20"/>
              </w:rPr>
              <w:t>ADR 6.1</w:t>
            </w:r>
          </w:p>
        </w:tc>
        <w:tc>
          <w:tcPr>
            <w:tcW w:type="dxa" w:w="1728"/>
          </w:tcPr>
          <w:p>
            <w:r/>
            <w:r>
              <w:rPr>
                <w:color w:val="1F2937"/>
                <w:sz w:val="20"/>
              </w:rPr>
              <w:t>I</w:t>
            </w:r>
          </w:p>
        </w:tc>
        <w:tc>
          <w:tcPr>
            <w:tcW w:type="dxa" w:w="1728"/>
          </w:tcPr>
          <w:p>
            <w:r/>
            <w:r>
              <w:rPr>
                <w:color w:val="1F2937"/>
                <w:sz w:val="20"/>
              </w:rPr>
              <w:t>&lt;1 ton</w:t>
            </w:r>
          </w:p>
        </w:tc>
        <w:tc>
          <w:tcPr>
            <w:tcW w:type="dxa" w:w="1728"/>
          </w:tcPr>
          <w:p>
            <w:r/>
            <w:r>
              <w:rPr>
                <w:color w:val="1F2937"/>
                <w:sz w:val="20"/>
              </w:rPr>
              <w:t>C</w:t>
            </w:r>
          </w:p>
        </w:tc>
        <w:tc>
          <w:tcPr>
            <w:tcW w:type="dxa" w:w="1728"/>
          </w:tcPr>
          <w:p>
            <w:r/>
            <w:r>
              <w:rPr>
                <w:color w:val="1F2937"/>
                <w:sz w:val="20"/>
              </w:rPr>
              <w:t>60 min</w:t>
            </w:r>
          </w:p>
        </w:tc>
      </w:tr>
      <w:tr>
        <w:tc>
          <w:tcPr>
            <w:tcW w:type="dxa" w:w="1728"/>
          </w:tcPr>
          <w:p>
            <w:r/>
            <w:r>
              <w:rPr>
                <w:color w:val="1F2937"/>
                <w:sz w:val="20"/>
              </w:rPr>
              <w:t>ADR 6.1</w:t>
            </w:r>
          </w:p>
        </w:tc>
        <w:tc>
          <w:tcPr>
            <w:tcW w:type="dxa" w:w="1728"/>
          </w:tcPr>
          <w:p>
            <w:r/>
            <w:r>
              <w:rPr>
                <w:color w:val="1F2937"/>
                <w:sz w:val="20"/>
              </w:rPr>
              <w:t>I</w:t>
            </w:r>
          </w:p>
        </w:tc>
        <w:tc>
          <w:tcPr>
            <w:tcW w:type="dxa" w:w="1728"/>
          </w:tcPr>
          <w:p>
            <w:r/>
            <w:r>
              <w:rPr>
                <w:color w:val="1F2937"/>
                <w:sz w:val="20"/>
              </w:rPr>
              <w:t>&gt;1 ton</w:t>
            </w:r>
          </w:p>
        </w:tc>
        <w:tc>
          <w:tcPr>
            <w:tcW w:type="dxa" w:w="1728"/>
          </w:tcPr>
          <w:p>
            <w:r/>
            <w:r>
              <w:rPr>
                <w:color w:val="1F2937"/>
                <w:sz w:val="20"/>
              </w:rPr>
              <w:t>A</w:t>
            </w:r>
          </w:p>
        </w:tc>
        <w:tc>
          <w:tcPr>
            <w:tcW w:type="dxa" w:w="1728"/>
          </w:tcPr>
          <w:p>
            <w:r/>
            <w:r>
              <w:rPr>
                <w:color w:val="1F2937"/>
                <w:sz w:val="20"/>
              </w:rPr>
              <w:t>—</w:t>
            </w:r>
          </w:p>
        </w:tc>
      </w:tr>
      <w:tr>
        <w:tc>
          <w:tcPr>
            <w:tcW w:type="dxa" w:w="1728"/>
          </w:tcPr>
          <w:p>
            <w:r/>
            <w:r>
              <w:rPr>
                <w:color w:val="1F2937"/>
                <w:sz w:val="20"/>
              </w:rPr>
              <w:t>ADR 6.1</w:t>
            </w:r>
          </w:p>
        </w:tc>
        <w:tc>
          <w:tcPr>
            <w:tcW w:type="dxa" w:w="1728"/>
          </w:tcPr>
          <w:p>
            <w:r/>
            <w:r>
              <w:rPr>
                <w:color w:val="1F2937"/>
                <w:sz w:val="20"/>
              </w:rPr>
              <w:t>II</w:t>
            </w:r>
          </w:p>
        </w:tc>
        <w:tc>
          <w:tcPr>
            <w:tcW w:type="dxa" w:w="1728"/>
          </w:tcPr>
          <w:p>
            <w:r/>
            <w:r>
              <w:rPr>
                <w:color w:val="1F2937"/>
                <w:sz w:val="20"/>
              </w:rPr>
              <w:t>&lt;10 ton</w:t>
            </w:r>
          </w:p>
        </w:tc>
        <w:tc>
          <w:tcPr>
            <w:tcW w:type="dxa" w:w="1728"/>
          </w:tcPr>
          <w:p>
            <w:r/>
            <w:r>
              <w:rPr>
                <w:color w:val="1F2937"/>
                <w:sz w:val="20"/>
              </w:rPr>
              <w:t>C</w:t>
            </w:r>
          </w:p>
        </w:tc>
        <w:tc>
          <w:tcPr>
            <w:tcW w:type="dxa" w:w="1728"/>
          </w:tcPr>
          <w:p>
            <w:r/>
            <w:r>
              <w:rPr>
                <w:color w:val="1F2937"/>
                <w:sz w:val="20"/>
              </w:rPr>
              <w:t>60 min</w:t>
            </w:r>
          </w:p>
        </w:tc>
      </w:tr>
      <w:tr>
        <w:tc>
          <w:tcPr>
            <w:tcW w:type="dxa" w:w="1728"/>
          </w:tcPr>
          <w:p>
            <w:r/>
            <w:r>
              <w:rPr>
                <w:color w:val="1F2937"/>
                <w:sz w:val="20"/>
              </w:rPr>
              <w:t>ADR 6.1</w:t>
            </w:r>
          </w:p>
        </w:tc>
        <w:tc>
          <w:tcPr>
            <w:tcW w:type="dxa" w:w="1728"/>
          </w:tcPr>
          <w:p>
            <w:r/>
            <w:r>
              <w:rPr>
                <w:color w:val="1F2937"/>
                <w:sz w:val="20"/>
              </w:rPr>
              <w:t>II</w:t>
            </w:r>
          </w:p>
        </w:tc>
        <w:tc>
          <w:tcPr>
            <w:tcW w:type="dxa" w:w="1728"/>
          </w:tcPr>
          <w:p>
            <w:r/>
            <w:r>
              <w:rPr>
                <w:color w:val="1F2937"/>
                <w:sz w:val="20"/>
              </w:rPr>
              <w:t>&lt;20 ton</w:t>
            </w:r>
          </w:p>
        </w:tc>
        <w:tc>
          <w:tcPr>
            <w:tcW w:type="dxa" w:w="1728"/>
          </w:tcPr>
          <w:p>
            <w:r/>
            <w:r>
              <w:rPr>
                <w:color w:val="1F2937"/>
                <w:sz w:val="20"/>
              </w:rPr>
              <w:t>C</w:t>
            </w:r>
          </w:p>
        </w:tc>
        <w:tc>
          <w:tcPr>
            <w:tcW w:type="dxa" w:w="1728"/>
          </w:tcPr>
          <w:p>
            <w:r/>
            <w:r>
              <w:rPr>
                <w:color w:val="1F2937"/>
                <w:sz w:val="20"/>
              </w:rPr>
              <w:t>90 min</w:t>
            </w:r>
          </w:p>
        </w:tc>
      </w:tr>
      <w:tr>
        <w:tc>
          <w:tcPr>
            <w:tcW w:type="dxa" w:w="1728"/>
          </w:tcPr>
          <w:p>
            <w:r/>
            <w:r>
              <w:rPr>
                <w:color w:val="1F2937"/>
                <w:sz w:val="20"/>
              </w:rPr>
              <w:t>ADR 6.1</w:t>
            </w:r>
          </w:p>
        </w:tc>
        <w:tc>
          <w:tcPr>
            <w:tcW w:type="dxa" w:w="1728"/>
          </w:tcPr>
          <w:p>
            <w:r/>
            <w:r>
              <w:rPr>
                <w:color w:val="1F2937"/>
                <w:sz w:val="20"/>
              </w:rPr>
              <w:t>II</w:t>
            </w:r>
          </w:p>
        </w:tc>
        <w:tc>
          <w:tcPr>
            <w:tcW w:type="dxa" w:w="1728"/>
          </w:tcPr>
          <w:p>
            <w:r/>
            <w:r>
              <w:rPr>
                <w:color w:val="1F2937"/>
                <w:sz w:val="20"/>
              </w:rPr>
              <w:t>&gt;20 ton</w:t>
            </w:r>
          </w:p>
        </w:tc>
        <w:tc>
          <w:tcPr>
            <w:tcW w:type="dxa" w:w="1728"/>
          </w:tcPr>
          <w:p>
            <w:r/>
            <w:r>
              <w:rPr>
                <w:color w:val="1F2937"/>
                <w:sz w:val="20"/>
              </w:rPr>
              <w:t>A</w:t>
            </w:r>
          </w:p>
        </w:tc>
        <w:tc>
          <w:tcPr>
            <w:tcW w:type="dxa" w:w="1728"/>
          </w:tcPr>
          <w:p>
            <w:r/>
            <w:r>
              <w:rPr>
                <w:color w:val="1F2937"/>
                <w:sz w:val="20"/>
              </w:rPr>
              <w:t>—</w:t>
            </w:r>
          </w:p>
        </w:tc>
      </w:tr>
      <w:tr>
        <w:tc>
          <w:tcPr>
            <w:tcW w:type="dxa" w:w="1728"/>
          </w:tcPr>
          <w:p>
            <w:r/>
            <w:r>
              <w:rPr>
                <w:color w:val="1F2937"/>
                <w:sz w:val="20"/>
              </w:rPr>
              <w:t>ADR 8 VG II+III onbrandbaar</w:t>
            </w:r>
          </w:p>
        </w:tc>
        <w:tc>
          <w:tcPr>
            <w:tcW w:type="dxa" w:w="1728"/>
          </w:tcPr>
          <w:p>
            <w:r/>
            <w:r>
              <w:rPr>
                <w:color w:val="1F2937"/>
                <w:sz w:val="20"/>
              </w:rPr>
              <w:t>—</w:t>
            </w:r>
          </w:p>
        </w:tc>
        <w:tc>
          <w:tcPr>
            <w:tcW w:type="dxa" w:w="1728"/>
          </w:tcPr>
          <w:p>
            <w:r/>
            <w:r>
              <w:rPr>
                <w:color w:val="1F2937"/>
                <w:sz w:val="20"/>
              </w:rPr>
              <w:t>Elke hoeveelheid</w:t>
            </w:r>
          </w:p>
        </w:tc>
        <w:tc>
          <w:tcPr>
            <w:tcW w:type="dxa" w:w="1728"/>
          </w:tcPr>
          <w:p>
            <w:r/>
            <w:r>
              <w:rPr>
                <w:color w:val="1F2937"/>
                <w:sz w:val="20"/>
              </w:rPr>
              <w:t>Basis¹</w:t>
            </w:r>
          </w:p>
        </w:tc>
        <w:tc>
          <w:tcPr>
            <w:tcW w:type="dxa" w:w="1728"/>
          </w:tcPr>
          <w:p>
            <w:r/>
            <w:r>
              <w:rPr>
                <w:color w:val="1F2937"/>
                <w:sz w:val="20"/>
              </w:rPr>
              <w:t>—</w:t>
            </w:r>
          </w:p>
        </w:tc>
      </w:tr>
      <w:tr>
        <w:tc>
          <w:tcPr>
            <w:tcW w:type="dxa" w:w="1728"/>
          </w:tcPr>
          <w:p>
            <w:r/>
            <w:r>
              <w:rPr>
                <w:color w:val="1F2937"/>
                <w:sz w:val="20"/>
              </w:rPr>
              <w:t>CLP Acute Tox. 1</w:t>
            </w:r>
          </w:p>
        </w:tc>
        <w:tc>
          <w:tcPr>
            <w:tcW w:type="dxa" w:w="1728"/>
          </w:tcPr>
          <w:p>
            <w:r/>
            <w:r>
              <w:rPr>
                <w:color w:val="1F2937"/>
                <w:sz w:val="20"/>
              </w:rPr>
              <w:t>—</w:t>
            </w:r>
          </w:p>
        </w:tc>
        <w:tc>
          <w:tcPr>
            <w:tcW w:type="dxa" w:w="1728"/>
          </w:tcPr>
          <w:p>
            <w:r/>
            <w:r>
              <w:rPr>
                <w:color w:val="1F2937"/>
                <w:sz w:val="20"/>
              </w:rPr>
              <w:t>&lt;1 ton</w:t>
            </w:r>
          </w:p>
        </w:tc>
        <w:tc>
          <w:tcPr>
            <w:tcW w:type="dxa" w:w="1728"/>
          </w:tcPr>
          <w:p>
            <w:r/>
            <w:r>
              <w:rPr>
                <w:color w:val="1F2937"/>
                <w:sz w:val="20"/>
              </w:rPr>
              <w:t>C</w:t>
            </w:r>
          </w:p>
        </w:tc>
        <w:tc>
          <w:tcPr>
            <w:tcW w:type="dxa" w:w="1728"/>
          </w:tcPr>
          <w:p>
            <w:r/>
            <w:r>
              <w:rPr>
                <w:color w:val="1F2937"/>
                <w:sz w:val="20"/>
              </w:rPr>
              <w:t>60 min</w:t>
            </w:r>
          </w:p>
        </w:tc>
      </w:tr>
      <w:tr>
        <w:tc>
          <w:tcPr>
            <w:tcW w:type="dxa" w:w="1728"/>
          </w:tcPr>
          <w:p>
            <w:r/>
            <w:r>
              <w:rPr>
                <w:color w:val="1F2937"/>
                <w:sz w:val="20"/>
              </w:rPr>
              <w:t>CLP Acute Tox. 1</w:t>
            </w:r>
          </w:p>
        </w:tc>
        <w:tc>
          <w:tcPr>
            <w:tcW w:type="dxa" w:w="1728"/>
          </w:tcPr>
          <w:p>
            <w:r/>
            <w:r>
              <w:rPr>
                <w:color w:val="1F2937"/>
                <w:sz w:val="20"/>
              </w:rPr>
              <w:t>—</w:t>
            </w:r>
          </w:p>
        </w:tc>
        <w:tc>
          <w:tcPr>
            <w:tcW w:type="dxa" w:w="1728"/>
          </w:tcPr>
          <w:p>
            <w:r/>
            <w:r>
              <w:rPr>
                <w:color w:val="1F2937"/>
                <w:sz w:val="20"/>
              </w:rPr>
              <w:t>&gt;1 ton</w:t>
            </w:r>
          </w:p>
        </w:tc>
        <w:tc>
          <w:tcPr>
            <w:tcW w:type="dxa" w:w="1728"/>
          </w:tcPr>
          <w:p>
            <w:r/>
            <w:r>
              <w:rPr>
                <w:color w:val="1F2937"/>
                <w:sz w:val="20"/>
              </w:rPr>
              <w:t>A</w:t>
            </w:r>
          </w:p>
        </w:tc>
        <w:tc>
          <w:tcPr>
            <w:tcW w:type="dxa" w:w="1728"/>
          </w:tcPr>
          <w:p>
            <w:r/>
            <w:r>
              <w:rPr>
                <w:color w:val="1F2937"/>
                <w:sz w:val="20"/>
              </w:rPr>
              <w:t>—</w:t>
            </w:r>
          </w:p>
        </w:tc>
      </w:tr>
      <w:tr>
        <w:tc>
          <w:tcPr>
            <w:tcW w:type="dxa" w:w="1728"/>
          </w:tcPr>
          <w:p>
            <w:r/>
            <w:r>
              <w:rPr>
                <w:color w:val="1F2937"/>
                <w:sz w:val="20"/>
              </w:rPr>
              <w:t>CLP Acute Tox. 2/3</w:t>
            </w:r>
          </w:p>
        </w:tc>
        <w:tc>
          <w:tcPr>
            <w:tcW w:type="dxa" w:w="1728"/>
          </w:tcPr>
          <w:p>
            <w:r/>
            <w:r>
              <w:rPr>
                <w:color w:val="1F2937"/>
                <w:sz w:val="20"/>
              </w:rPr>
              <w:t>—</w:t>
            </w:r>
          </w:p>
        </w:tc>
        <w:tc>
          <w:tcPr>
            <w:tcW w:type="dxa" w:w="1728"/>
          </w:tcPr>
          <w:p>
            <w:r/>
            <w:r>
              <w:rPr>
                <w:color w:val="1F2937"/>
                <w:sz w:val="20"/>
              </w:rPr>
              <w:t>&lt;10 ton</w:t>
            </w:r>
          </w:p>
        </w:tc>
        <w:tc>
          <w:tcPr>
            <w:tcW w:type="dxa" w:w="1728"/>
          </w:tcPr>
          <w:p>
            <w:r/>
            <w:r>
              <w:rPr>
                <w:color w:val="1F2937"/>
                <w:sz w:val="20"/>
              </w:rPr>
              <w:t>C</w:t>
            </w:r>
          </w:p>
        </w:tc>
        <w:tc>
          <w:tcPr>
            <w:tcW w:type="dxa" w:w="1728"/>
          </w:tcPr>
          <w:p>
            <w:r/>
            <w:r>
              <w:rPr>
                <w:color w:val="1F2937"/>
                <w:sz w:val="20"/>
              </w:rPr>
              <w:t>60 min</w:t>
            </w:r>
          </w:p>
        </w:tc>
      </w:tr>
      <w:tr>
        <w:tc>
          <w:tcPr>
            <w:tcW w:type="dxa" w:w="1728"/>
          </w:tcPr>
          <w:p>
            <w:r/>
            <w:r>
              <w:rPr>
                <w:color w:val="1F2937"/>
                <w:sz w:val="20"/>
              </w:rPr>
              <w:t>CLP Acute Tox. 2/3</w:t>
            </w:r>
          </w:p>
        </w:tc>
        <w:tc>
          <w:tcPr>
            <w:tcW w:type="dxa" w:w="1728"/>
          </w:tcPr>
          <w:p>
            <w:r/>
            <w:r>
              <w:rPr>
                <w:color w:val="1F2937"/>
                <w:sz w:val="20"/>
              </w:rPr>
              <w:t>—</w:t>
            </w:r>
          </w:p>
        </w:tc>
        <w:tc>
          <w:tcPr>
            <w:tcW w:type="dxa" w:w="1728"/>
          </w:tcPr>
          <w:p>
            <w:r/>
            <w:r>
              <w:rPr>
                <w:color w:val="1F2937"/>
                <w:sz w:val="20"/>
              </w:rPr>
              <w:t>&gt;10 ton</w:t>
            </w:r>
          </w:p>
        </w:tc>
        <w:tc>
          <w:tcPr>
            <w:tcW w:type="dxa" w:w="1728"/>
          </w:tcPr>
          <w:p>
            <w:r/>
            <w:r>
              <w:rPr>
                <w:color w:val="1F2937"/>
                <w:sz w:val="20"/>
              </w:rPr>
              <w:t>A</w:t>
            </w:r>
          </w:p>
        </w:tc>
        <w:tc>
          <w:tcPr>
            <w:tcW w:type="dxa" w:w="1728"/>
          </w:tcPr>
          <w:p>
            <w:r/>
            <w:r>
              <w:rPr>
                <w:color w:val="1F2937"/>
                <w:sz w:val="20"/>
              </w:rPr>
              <w:t>—</w:t>
            </w:r>
          </w:p>
        </w:tc>
      </w:tr>
    </w:tbl>
    <w:p/>
    <w:p>
      <w:r>
        <w:rPr>
          <w:i/>
          <w:color w:val="374151"/>
          <w:sz w:val="18"/>
        </w:rPr>
        <w:t>¹ Voetnoot c: Onbrandbaar/niet brandonderhoudend in dedicated opslag → alleen basisveiligheidsniveau.</w:t>
      </w:r>
    </w:p>
    <w:p>
      <w:r>
        <w:br w:type="page"/>
      </w:r>
    </w:p>
    <w:p>
      <w:pPr>
        <w:pStyle w:val="Heading1"/>
      </w:pPr>
      <w:r>
        <w:t>4. Tabel 8 — Scheidingstabel</w:t>
      </w:r>
    </w:p>
    <w:p>
      <w:pPr>
        <w:pStyle w:val="Heading2"/>
      </w:pPr>
      <w:r>
        <w:t>4.1 Doel</w:t>
      </w:r>
    </w:p>
    <w:p>
      <w:r>
        <w:t>Tabel 8 / Bijlage E voorkomt dat onverenigbare stoffen samen worden opgeslagen, wat kan leiden tot ongecontroleerde reacties.</w:t>
      </w:r>
    </w:p>
    <w:p>
      <w:pPr>
        <w:pStyle w:val="Heading2"/>
      </w:pPr>
      <w:r>
        <w:t>4.2 Scheidingmethoden</w:t>
      </w:r>
    </w:p>
    <w:p>
      <w:r>
        <w:t>1. Afstand: Minimaal 2,4 meter tussen onverenigbare stoffen</w:t>
      </w:r>
    </w:p>
    <w:p>
      <w:r>
        <w:t>2. Constructieve scheiding: Wand of schot met brandwerendheid ≥30 minuten</w:t>
      </w:r>
    </w:p>
    <w:p>
      <w:r>
        <w:t>3. Aparte opslagvoorziening: Verschillende ruimtes of gebouwen</w:t>
      </w:r>
    </w:p>
    <w:p>
      <w:pPr>
        <w:pStyle w:val="Heading2"/>
      </w:pPr>
      <w:r>
        <w:t>4.3 Belangrijke combinaties voor Phoenix Metals</w:t>
      </w:r>
    </w:p>
    <w:tbl>
      <w:tblPr>
        <w:tblStyle w:val="LightGrid-Accent1"/>
        <w:tblW w:type="auto" w:w="0"/>
        <w:jc w:val="left"/>
        <w:tblLook w:firstColumn="1" w:firstRow="1" w:lastColumn="0" w:lastRow="0" w:noHBand="0" w:noVBand="1" w:val="04A0"/>
      </w:tblPr>
      <w:tblGrid>
        <w:gridCol w:w="2880"/>
        <w:gridCol w:w="2880"/>
        <w:gridCol w:w="2880"/>
      </w:tblGrid>
      <w:tr>
        <w:tc>
          <w:tcPr>
            <w:tcW w:type="dxa" w:w="2880"/>
          </w:tcPr>
          <w:p>
            <w:r/>
            <w:r>
              <w:rPr>
                <w:b/>
                <w:color w:val="003366"/>
                <w:sz w:val="20"/>
              </w:rPr>
              <w:t>Combinatie</w:t>
            </w:r>
          </w:p>
        </w:tc>
        <w:tc>
          <w:tcPr>
            <w:tcW w:type="dxa" w:w="2880"/>
          </w:tcPr>
          <w:p>
            <w:r/>
            <w:r>
              <w:rPr>
                <w:b/>
                <w:color w:val="003366"/>
                <w:sz w:val="20"/>
              </w:rPr>
              <w:t>Risico</w:t>
            </w:r>
          </w:p>
        </w:tc>
        <w:tc>
          <w:tcPr>
            <w:tcW w:type="dxa" w:w="2880"/>
          </w:tcPr>
          <w:p>
            <w:r/>
            <w:r>
              <w:rPr>
                <w:b/>
                <w:color w:val="003366"/>
                <w:sz w:val="20"/>
              </w:rPr>
              <w:t>Vereiste scheiding</w:t>
            </w:r>
          </w:p>
        </w:tc>
      </w:tr>
      <w:tr>
        <w:tc>
          <w:tcPr>
            <w:tcW w:type="dxa" w:w="2880"/>
          </w:tcPr>
          <w:p>
            <w:r/>
            <w:r>
              <w:rPr>
                <w:color w:val="1F2937"/>
                <w:sz w:val="20"/>
              </w:rPr>
              <w:t>Zuur ↔ Base (H₂SO₄ ↔ NaOH)</w:t>
            </w:r>
          </w:p>
        </w:tc>
        <w:tc>
          <w:tcPr>
            <w:tcW w:type="dxa" w:w="2880"/>
          </w:tcPr>
          <w:p>
            <w:r/>
            <w:r>
              <w:rPr>
                <w:color w:val="1F2937"/>
                <w:sz w:val="20"/>
              </w:rPr>
              <w:t>Heftige reactie, hitteontwikkeling</w:t>
            </w:r>
          </w:p>
        </w:tc>
        <w:tc>
          <w:tcPr>
            <w:tcW w:type="dxa" w:w="2880"/>
          </w:tcPr>
          <w:p>
            <w:r/>
            <w:r>
              <w:rPr>
                <w:color w:val="1F2937"/>
                <w:sz w:val="20"/>
              </w:rPr>
              <w:t>2,4 m of ≥30 min constructie</w:t>
            </w:r>
          </w:p>
        </w:tc>
      </w:tr>
      <w:tr>
        <w:tc>
          <w:tcPr>
            <w:tcW w:type="dxa" w:w="2880"/>
          </w:tcPr>
          <w:p>
            <w:r/>
            <w:r>
              <w:rPr>
                <w:color w:val="1F2937"/>
                <w:sz w:val="20"/>
              </w:rPr>
              <w:t>Giftig ↔ Bijtend (V₂O₅ ↔ ADR 8)</w:t>
            </w:r>
          </w:p>
        </w:tc>
        <w:tc>
          <w:tcPr>
            <w:tcW w:type="dxa" w:w="2880"/>
          </w:tcPr>
          <w:p>
            <w:r/>
            <w:r>
              <w:rPr>
                <w:color w:val="1F2937"/>
                <w:sz w:val="20"/>
              </w:rPr>
              <w:t>Onverenigbaar</w:t>
            </w:r>
          </w:p>
        </w:tc>
        <w:tc>
          <w:tcPr>
            <w:tcW w:type="dxa" w:w="2880"/>
          </w:tcPr>
          <w:p>
            <w:r/>
            <w:r>
              <w:rPr>
                <w:color w:val="1F2937"/>
                <w:sz w:val="20"/>
              </w:rPr>
              <w:t>2,4 m of constructieve scheiding</w:t>
            </w:r>
          </w:p>
        </w:tc>
      </w:tr>
    </w:tbl>
    <w:p>
      <w:r>
        <w:br w:type="page"/>
      </w:r>
    </w:p>
    <w:p>
      <w:pPr>
        <w:pStyle w:val="Heading1"/>
      </w:pPr>
      <w:r>
        <w:t>5. CMR-stoffen en Opslag</w:t>
      </w:r>
    </w:p>
    <w:p>
      <w:pPr>
        <w:pStyle w:val="Heading2"/>
      </w:pPr>
      <w:r>
        <w:t>5.1 Definitie</w:t>
      </w:r>
    </w:p>
    <w:p>
      <w:r>
        <w:t>CMR-stoffen zijn stoffen die:</w:t>
      </w:r>
    </w:p>
    <w:p>
      <w:pPr>
        <w:pStyle w:val="ListBullet"/>
      </w:pPr>
      <w:r>
        <w:t>Carcinogeen (kankerverwekkend) — Cat. 1A, 1B, 2</w:t>
      </w:r>
    </w:p>
    <w:p>
      <w:pPr>
        <w:pStyle w:val="ListBullet"/>
      </w:pPr>
      <w:r>
        <w:t>Mutageen (erfelijk materiaal beschadigend) — Cat. 1A, 1B, 2</w:t>
      </w:r>
    </w:p>
    <w:p>
      <w:pPr>
        <w:pStyle w:val="ListBullet"/>
      </w:pPr>
      <w:r>
        <w:t>Reprotoxisch (schadelijk voor voortplanting) — Cat. 1A, 1B, 2</w:t>
      </w:r>
    </w:p>
    <w:p>
      <w:pPr>
        <w:pStyle w:val="Heading2"/>
      </w:pPr>
      <w:r>
        <w:t>5.2 PGS 15:2025 behandeling</w:t>
      </w:r>
    </w:p>
    <w:p>
      <w:r>
        <w:t>CMR-stoffen met ADR-classificatie → via ADR-route in Tabel 6. CMR-stoffen zonder ADR-classificatie → basisveiligheidsniveau + zorgplicht (Arbowet). Ondergrens: 25 kg (poeder/vloeistof), metalen vaste vorm uitgezonderd.</w:t>
      </w:r>
    </w:p>
    <w:p>
      <w:pPr>
        <w:pStyle w:val="Heading2"/>
      </w:pPr>
      <w:r>
        <w:t>5.3 Aanvullende arbo-eisen</w:t>
      </w:r>
    </w:p>
    <w:p>
      <w:pPr>
        <w:pStyle w:val="ListBullet"/>
      </w:pPr>
      <w:r>
        <w:t>Werkplekinventarisatie (Arbobesluit art. 4.1c)</w:t>
      </w:r>
    </w:p>
    <w:p>
      <w:pPr>
        <w:pStyle w:val="ListBullet"/>
      </w:pPr>
      <w:r>
        <w:t>Blootstellingsregister (Arbobesluit art. 4.1d)</w:t>
      </w:r>
    </w:p>
    <w:p>
      <w:pPr>
        <w:pStyle w:val="ListBullet"/>
      </w:pPr>
      <w:r>
        <w:t>Arbeidsgezondheidskundig onderzoek (AGO)</w:t>
      </w:r>
    </w:p>
    <w:p>
      <w:pPr>
        <w:pStyle w:val="ListBullet"/>
      </w:pPr>
      <w:r>
        <w:t>Vervangingsplicht: vervang waar mogelijk door minder gevaarlijk alternatief</w:t>
      </w:r>
    </w:p>
    <w:p>
      <w:r>
        <w:br w:type="page"/>
      </w:r>
    </w:p>
    <w:p>
      <w:pPr>
        <w:pStyle w:val="Heading1"/>
      </w:pPr>
      <w:r>
        <w:t>6. Specifieke Aandacht voor V₂O₅</w:t>
      </w:r>
    </w:p>
    <w:p>
      <w:pPr>
        <w:pStyle w:val="Heading2"/>
      </w:pPr>
      <w:r>
        <w:t>6.1 Waarom V₂O₅ kritiek is</w:t>
      </w:r>
    </w:p>
    <w:p>
      <w:r>
        <w:t>Vanadium(V) oxide combineert de volgende gevaren in één stof:</w:t>
      </w:r>
    </w:p>
    <w:tbl>
      <w:tblPr>
        <w:tblStyle w:val="LightGrid-Accent1"/>
        <w:tblW w:type="auto" w:w="0"/>
        <w:jc w:val="left"/>
        <w:tblLook w:firstColumn="1" w:firstRow="1" w:lastColumn="0" w:lastRow="0" w:noHBand="0" w:noVBand="1" w:val="04A0"/>
      </w:tblPr>
      <w:tblGrid>
        <w:gridCol w:w="2880"/>
        <w:gridCol w:w="2880"/>
        <w:gridCol w:w="2880"/>
      </w:tblGrid>
      <w:tr>
        <w:tc>
          <w:tcPr>
            <w:tcW w:type="dxa" w:w="2880"/>
          </w:tcPr>
          <w:p>
            <w:r/>
            <w:r>
              <w:rPr>
                <w:b/>
                <w:color w:val="003366"/>
                <w:sz w:val="20"/>
              </w:rPr>
              <w:t>Gevaarklasse</w:t>
            </w:r>
          </w:p>
        </w:tc>
        <w:tc>
          <w:tcPr>
            <w:tcW w:type="dxa" w:w="2880"/>
          </w:tcPr>
          <w:p>
            <w:r/>
            <w:r>
              <w:rPr>
                <w:b/>
                <w:color w:val="003366"/>
                <w:sz w:val="20"/>
              </w:rPr>
              <w:t>H-zin</w:t>
            </w:r>
          </w:p>
        </w:tc>
        <w:tc>
          <w:tcPr>
            <w:tcW w:type="dxa" w:w="2880"/>
          </w:tcPr>
          <w:p>
            <w:r/>
            <w:r>
              <w:rPr>
                <w:b/>
                <w:color w:val="003366"/>
                <w:sz w:val="20"/>
              </w:rPr>
              <w:t>Betekenis</w:t>
            </w:r>
          </w:p>
        </w:tc>
      </w:tr>
      <w:tr>
        <w:tc>
          <w:tcPr>
            <w:tcW w:type="dxa" w:w="2880"/>
          </w:tcPr>
          <w:p>
            <w:r/>
            <w:r>
              <w:rPr>
                <w:color w:val="1F2937"/>
                <w:sz w:val="20"/>
              </w:rPr>
              <w:t>Carc. 1B</w:t>
            </w:r>
          </w:p>
        </w:tc>
        <w:tc>
          <w:tcPr>
            <w:tcW w:type="dxa" w:w="2880"/>
          </w:tcPr>
          <w:p>
            <w:r/>
            <w:r>
              <w:rPr>
                <w:color w:val="1F2937"/>
                <w:sz w:val="20"/>
              </w:rPr>
              <w:t>H350i</w:t>
            </w:r>
          </w:p>
        </w:tc>
        <w:tc>
          <w:tcPr>
            <w:tcW w:type="dxa" w:w="2880"/>
          </w:tcPr>
          <w:p>
            <w:r/>
            <w:r>
              <w:rPr>
                <w:color w:val="1F2937"/>
                <w:sz w:val="20"/>
              </w:rPr>
              <w:t>Kankerverwekkend bij inademing</w:t>
            </w:r>
          </w:p>
        </w:tc>
      </w:tr>
      <w:tr>
        <w:tc>
          <w:tcPr>
            <w:tcW w:type="dxa" w:w="2880"/>
          </w:tcPr>
          <w:p>
            <w:r/>
            <w:r>
              <w:rPr>
                <w:color w:val="1F2937"/>
                <w:sz w:val="20"/>
              </w:rPr>
              <w:t>Acute Tox. 2</w:t>
            </w:r>
          </w:p>
        </w:tc>
        <w:tc>
          <w:tcPr>
            <w:tcW w:type="dxa" w:w="2880"/>
          </w:tcPr>
          <w:p>
            <w:r/>
            <w:r>
              <w:rPr>
                <w:color w:val="1F2937"/>
                <w:sz w:val="20"/>
              </w:rPr>
              <w:t>H330</w:t>
            </w:r>
          </w:p>
        </w:tc>
        <w:tc>
          <w:tcPr>
            <w:tcW w:type="dxa" w:w="2880"/>
          </w:tcPr>
          <w:p>
            <w:r/>
            <w:r>
              <w:rPr>
                <w:color w:val="1F2937"/>
                <w:sz w:val="20"/>
              </w:rPr>
              <w:t>Dodelijk bij inademing</w:t>
            </w:r>
          </w:p>
        </w:tc>
      </w:tr>
      <w:tr>
        <w:tc>
          <w:tcPr>
            <w:tcW w:type="dxa" w:w="2880"/>
          </w:tcPr>
          <w:p>
            <w:r/>
            <w:r>
              <w:rPr>
                <w:color w:val="1F2937"/>
                <w:sz w:val="20"/>
              </w:rPr>
              <w:t>Repr. 2</w:t>
            </w:r>
          </w:p>
        </w:tc>
        <w:tc>
          <w:tcPr>
            <w:tcW w:type="dxa" w:w="2880"/>
          </w:tcPr>
          <w:p>
            <w:r/>
            <w:r>
              <w:rPr>
                <w:color w:val="1F2937"/>
                <w:sz w:val="20"/>
              </w:rPr>
              <w:t>H361fd</w:t>
            </w:r>
          </w:p>
        </w:tc>
        <w:tc>
          <w:tcPr>
            <w:tcW w:type="dxa" w:w="2880"/>
          </w:tcPr>
          <w:p>
            <w:r/>
            <w:r>
              <w:rPr>
                <w:color w:val="1F2937"/>
                <w:sz w:val="20"/>
              </w:rPr>
              <w:t>Vermoedelijk schadelijk voor voortplanting</w:t>
            </w:r>
          </w:p>
        </w:tc>
      </w:tr>
      <w:tr>
        <w:tc>
          <w:tcPr>
            <w:tcW w:type="dxa" w:w="2880"/>
          </w:tcPr>
          <w:p>
            <w:r/>
            <w:r>
              <w:rPr>
                <w:color w:val="1F2937"/>
                <w:sz w:val="20"/>
              </w:rPr>
              <w:t>ADR 6.1 VG II</w:t>
            </w:r>
          </w:p>
        </w:tc>
        <w:tc>
          <w:tcPr>
            <w:tcW w:type="dxa" w:w="2880"/>
          </w:tcPr>
          <w:p>
            <w:r/>
            <w:r>
              <w:rPr>
                <w:color w:val="1F2937"/>
                <w:sz w:val="20"/>
              </w:rPr>
              <w:t>—</w:t>
            </w:r>
          </w:p>
        </w:tc>
        <w:tc>
          <w:tcPr>
            <w:tcW w:type="dxa" w:w="2880"/>
          </w:tcPr>
          <w:p>
            <w:r/>
            <w:r>
              <w:rPr>
                <w:color w:val="1F2937"/>
                <w:sz w:val="20"/>
              </w:rPr>
              <w:t>Giftig transportgevaar (UN 2862)</w:t>
            </w:r>
          </w:p>
        </w:tc>
      </w:tr>
    </w:tbl>
    <w:p/>
    <w:p>
      <w:pPr>
        <w:pStyle w:val="Heading2"/>
      </w:pPr>
      <w:r>
        <w:t>6.2 Impact op Phoenix Metals</w:t>
      </w:r>
    </w:p>
    <w:p>
      <w:r>
        <w:rPr>
          <w:b/>
          <w:color w:val="003366"/>
        </w:rPr>
        <w:t>► Vanaf 1 kg → C-niveau verplicht (via CLP Acute Tox. 2)</w:t>
      </w:r>
    </w:p>
    <w:p>
      <w:r>
        <w:rPr>
          <w:b/>
          <w:color w:val="003366"/>
        </w:rPr>
        <w:t>► Vanaf 10.000 kg → A-niveau verplicht (automatische blussing)</w:t>
      </w:r>
    </w:p>
    <w:p>
      <w:r>
        <w:rPr>
          <w:b/>
          <w:color w:val="003366"/>
        </w:rPr>
        <w:t>► Vanaf 50.000 kg → Seveso lagedrempel (H2) bereikt</w:t>
      </w:r>
    </w:p>
    <w:p>
      <w:pPr>
        <w:pStyle w:val="Heading2"/>
      </w:pPr>
      <w:r>
        <w:t>6.3 Beheersmaatregelen</w:t>
      </w:r>
    </w:p>
    <w:p>
      <w:r>
        <w:t>1. Stofvrije, gesloten opslag</w:t>
      </w:r>
    </w:p>
    <w:p>
      <w:r>
        <w:t>2. P3-ademhalingsbescherming bij handling</w:t>
      </w:r>
    </w:p>
    <w:p>
      <w:r>
        <w:t>3. Lokale afzuiging bij overslag</w:t>
      </w:r>
    </w:p>
    <w:p>
      <w:r>
        <w:t>4. Afzonderlijk opslagvak, gescheiden van ADR 8 stoffen</w:t>
      </w:r>
    </w:p>
    <w:p>
      <w:r>
        <w:t>5. Blootstellingsregister en AGO</w:t>
      </w:r>
    </w:p>
    <w:p>
      <w:r>
        <w:br w:type="page"/>
      </w:r>
    </w:p>
    <w:p>
      <w:pPr>
        <w:pStyle w:val="Heading1"/>
      </w:pPr>
      <w:r>
        <w:t>7. Casus Phoenix Metals — Werkvoorbeeld</w:t>
      </w:r>
    </w:p>
    <w:p>
      <w:pPr>
        <w:pStyle w:val="Heading2"/>
      </w:pPr>
      <w:r>
        <w:t>7.1 Situatie</w:t>
      </w:r>
    </w:p>
    <w:p>
      <w:r>
        <w:t>Phoenix Metals is een startup die vanadium oxide (V₂O₅) produceert uit staalslakken via een hydrometallurgisch proces. De locatie bevindt zich op het Tata Steel terrein in IJmuiden.</w:t>
      </w:r>
    </w:p>
    <w:p>
      <w:pPr>
        <w:pStyle w:val="Heading2"/>
      </w:pPr>
      <w:r>
        <w:t>7.2 Stap 1: Stoffeninventarisatie</w:t>
      </w:r>
    </w:p>
    <w:p>
      <w:r>
        <w:t>Gevaarlijke stoffen op de locatie:</w:t>
      </w:r>
    </w:p>
    <w:tbl>
      <w:tblPr>
        <w:tblStyle w:val="LightGrid-Accent1"/>
        <w:tblW w:type="auto" w:w="0"/>
        <w:jc w:val="left"/>
        <w:tblLook w:firstColumn="1" w:firstRow="1" w:lastColumn="0" w:lastRow="0" w:noHBand="0" w:noVBand="1" w:val="04A0"/>
      </w:tblPr>
      <w:tblGrid>
        <w:gridCol w:w="1728"/>
        <w:gridCol w:w="1728"/>
        <w:gridCol w:w="1728"/>
        <w:gridCol w:w="1728"/>
        <w:gridCol w:w="1728"/>
      </w:tblGrid>
      <w:tr>
        <w:tc>
          <w:tcPr>
            <w:tcW w:type="dxa" w:w="1728"/>
          </w:tcPr>
          <w:p>
            <w:r/>
            <w:r>
              <w:rPr>
                <w:b/>
                <w:color w:val="003366"/>
                <w:sz w:val="20"/>
              </w:rPr>
              <w:t>Stof</w:t>
            </w:r>
          </w:p>
        </w:tc>
        <w:tc>
          <w:tcPr>
            <w:tcW w:type="dxa" w:w="1728"/>
          </w:tcPr>
          <w:p>
            <w:r/>
            <w:r>
              <w:rPr>
                <w:b/>
                <w:color w:val="003366"/>
                <w:sz w:val="20"/>
              </w:rPr>
              <w:t>ADR</w:t>
            </w:r>
          </w:p>
        </w:tc>
        <w:tc>
          <w:tcPr>
            <w:tcW w:type="dxa" w:w="1728"/>
          </w:tcPr>
          <w:p>
            <w:r/>
            <w:r>
              <w:rPr>
                <w:b/>
                <w:color w:val="003366"/>
                <w:sz w:val="20"/>
              </w:rPr>
              <w:t>VG</w:t>
            </w:r>
          </w:p>
        </w:tc>
        <w:tc>
          <w:tcPr>
            <w:tcW w:type="dxa" w:w="1728"/>
          </w:tcPr>
          <w:p>
            <w:r/>
            <w:r>
              <w:rPr>
                <w:b/>
                <w:color w:val="003366"/>
                <w:sz w:val="20"/>
              </w:rPr>
              <w:t>Hoeveelheid</w:t>
            </w:r>
          </w:p>
        </w:tc>
        <w:tc>
          <w:tcPr>
            <w:tcW w:type="dxa" w:w="1728"/>
          </w:tcPr>
          <w:p>
            <w:r/>
            <w:r>
              <w:rPr>
                <w:b/>
                <w:color w:val="003366"/>
                <w:sz w:val="20"/>
              </w:rPr>
              <w:t>CLP extra</w:t>
            </w:r>
          </w:p>
        </w:tc>
      </w:tr>
      <w:tr>
        <w:tc>
          <w:tcPr>
            <w:tcW w:type="dxa" w:w="1728"/>
          </w:tcPr>
          <w:p>
            <w:r/>
            <w:r>
              <w:rPr>
                <w:color w:val="1F2937"/>
                <w:sz w:val="20"/>
              </w:rPr>
              <w:t>Sodium hydroxide 50%</w:t>
            </w:r>
          </w:p>
        </w:tc>
        <w:tc>
          <w:tcPr>
            <w:tcW w:type="dxa" w:w="1728"/>
          </w:tcPr>
          <w:p>
            <w:r/>
            <w:r>
              <w:rPr>
                <w:color w:val="1F2937"/>
                <w:sz w:val="20"/>
              </w:rPr>
              <w:t>8</w:t>
            </w:r>
          </w:p>
        </w:tc>
        <w:tc>
          <w:tcPr>
            <w:tcW w:type="dxa" w:w="1728"/>
          </w:tcPr>
          <w:p>
            <w:r/>
            <w:r>
              <w:rPr>
                <w:color w:val="1F2937"/>
                <w:sz w:val="20"/>
              </w:rPr>
              <w:t>II</w:t>
            </w:r>
          </w:p>
        </w:tc>
        <w:tc>
          <w:tcPr>
            <w:tcW w:type="dxa" w:w="1728"/>
          </w:tcPr>
          <w:p>
            <w:r/>
            <w:r>
              <w:rPr>
                <w:color w:val="1F2937"/>
                <w:sz w:val="20"/>
              </w:rPr>
              <w:t>100 L (~120 kg)</w:t>
            </w:r>
          </w:p>
        </w:tc>
        <w:tc>
          <w:tcPr>
            <w:tcW w:type="dxa" w:w="1728"/>
          </w:tcPr>
          <w:p>
            <w:r/>
            <w:r>
              <w:rPr>
                <w:color w:val="1F2937"/>
                <w:sz w:val="20"/>
              </w:rPr>
              <w:t>Skin Corr. 1A</w:t>
            </w:r>
          </w:p>
        </w:tc>
      </w:tr>
      <w:tr>
        <w:tc>
          <w:tcPr>
            <w:tcW w:type="dxa" w:w="1728"/>
          </w:tcPr>
          <w:p>
            <w:r/>
            <w:r>
              <w:rPr>
                <w:color w:val="1F2937"/>
                <w:sz w:val="20"/>
              </w:rPr>
              <w:t>Zwavelzuur 75%</w:t>
            </w:r>
          </w:p>
        </w:tc>
        <w:tc>
          <w:tcPr>
            <w:tcW w:type="dxa" w:w="1728"/>
          </w:tcPr>
          <w:p>
            <w:r/>
            <w:r>
              <w:rPr>
                <w:color w:val="1F2937"/>
                <w:sz w:val="20"/>
              </w:rPr>
              <w:t>8</w:t>
            </w:r>
          </w:p>
        </w:tc>
        <w:tc>
          <w:tcPr>
            <w:tcW w:type="dxa" w:w="1728"/>
          </w:tcPr>
          <w:p>
            <w:r/>
            <w:r>
              <w:rPr>
                <w:color w:val="1F2937"/>
                <w:sz w:val="20"/>
              </w:rPr>
              <w:t>II</w:t>
            </w:r>
          </w:p>
        </w:tc>
        <w:tc>
          <w:tcPr>
            <w:tcW w:type="dxa" w:w="1728"/>
          </w:tcPr>
          <w:p>
            <w:r/>
            <w:r>
              <w:rPr>
                <w:color w:val="1F2937"/>
                <w:sz w:val="20"/>
              </w:rPr>
              <w:t>30 L (~50 kg)</w:t>
            </w:r>
          </w:p>
        </w:tc>
        <w:tc>
          <w:tcPr>
            <w:tcW w:type="dxa" w:w="1728"/>
          </w:tcPr>
          <w:p>
            <w:r/>
            <w:r>
              <w:rPr>
                <w:color w:val="1F2937"/>
                <w:sz w:val="20"/>
              </w:rPr>
              <w:t>Skin Corr. 1A</w:t>
            </w:r>
          </w:p>
        </w:tc>
      </w:tr>
      <w:tr>
        <w:tc>
          <w:tcPr>
            <w:tcW w:type="dxa" w:w="1728"/>
          </w:tcPr>
          <w:p>
            <w:r/>
            <w:r>
              <w:rPr>
                <w:color w:val="1F2937"/>
                <w:sz w:val="20"/>
              </w:rPr>
              <w:t>Zwavelzuur 50%</w:t>
            </w:r>
          </w:p>
        </w:tc>
        <w:tc>
          <w:tcPr>
            <w:tcW w:type="dxa" w:w="1728"/>
          </w:tcPr>
          <w:p>
            <w:r/>
            <w:r>
              <w:rPr>
                <w:color w:val="1F2937"/>
                <w:sz w:val="20"/>
              </w:rPr>
              <w:t>8</w:t>
            </w:r>
          </w:p>
        </w:tc>
        <w:tc>
          <w:tcPr>
            <w:tcW w:type="dxa" w:w="1728"/>
          </w:tcPr>
          <w:p>
            <w:r/>
            <w:r>
              <w:rPr>
                <w:color w:val="1F2937"/>
                <w:sz w:val="20"/>
              </w:rPr>
              <w:t>II</w:t>
            </w:r>
          </w:p>
        </w:tc>
        <w:tc>
          <w:tcPr>
            <w:tcW w:type="dxa" w:w="1728"/>
          </w:tcPr>
          <w:p>
            <w:r/>
            <w:r>
              <w:rPr>
                <w:color w:val="1F2937"/>
                <w:sz w:val="20"/>
              </w:rPr>
              <w:t>70 L (~110 kg)</w:t>
            </w:r>
          </w:p>
        </w:tc>
        <w:tc>
          <w:tcPr>
            <w:tcW w:type="dxa" w:w="1728"/>
          </w:tcPr>
          <w:p>
            <w:r/>
            <w:r>
              <w:rPr>
                <w:color w:val="1F2937"/>
                <w:sz w:val="20"/>
              </w:rPr>
              <w:t>Skin Corr. 1A</w:t>
            </w:r>
          </w:p>
        </w:tc>
      </w:tr>
      <w:tr>
        <w:tc>
          <w:tcPr>
            <w:tcW w:type="dxa" w:w="1728"/>
          </w:tcPr>
          <w:p>
            <w:r/>
            <w:r>
              <w:rPr>
                <w:color w:val="1F2937"/>
                <w:sz w:val="20"/>
              </w:rPr>
              <w:t>Zwavelzuur 25%</w:t>
            </w:r>
          </w:p>
        </w:tc>
        <w:tc>
          <w:tcPr>
            <w:tcW w:type="dxa" w:w="1728"/>
          </w:tcPr>
          <w:p>
            <w:r/>
            <w:r>
              <w:rPr>
                <w:color w:val="1F2937"/>
                <w:sz w:val="20"/>
              </w:rPr>
              <w:t>8</w:t>
            </w:r>
          </w:p>
        </w:tc>
        <w:tc>
          <w:tcPr>
            <w:tcW w:type="dxa" w:w="1728"/>
          </w:tcPr>
          <w:p>
            <w:r/>
            <w:r>
              <w:rPr>
                <w:color w:val="1F2937"/>
                <w:sz w:val="20"/>
              </w:rPr>
              <w:t>II</w:t>
            </w:r>
          </w:p>
        </w:tc>
        <w:tc>
          <w:tcPr>
            <w:tcW w:type="dxa" w:w="1728"/>
          </w:tcPr>
          <w:p>
            <w:r/>
            <w:r>
              <w:rPr>
                <w:color w:val="1F2937"/>
                <w:sz w:val="20"/>
              </w:rPr>
              <w:t>100 L (~120 kg)</w:t>
            </w:r>
          </w:p>
        </w:tc>
        <w:tc>
          <w:tcPr>
            <w:tcW w:type="dxa" w:w="1728"/>
          </w:tcPr>
          <w:p>
            <w:r/>
            <w:r>
              <w:rPr>
                <w:color w:val="1F2937"/>
                <w:sz w:val="20"/>
              </w:rPr>
              <w:t>Skin Corr. 1A</w:t>
            </w:r>
          </w:p>
        </w:tc>
      </w:tr>
      <w:tr>
        <w:tc>
          <w:tcPr>
            <w:tcW w:type="dxa" w:w="1728"/>
          </w:tcPr>
          <w:p>
            <w:r/>
            <w:r>
              <w:rPr>
                <w:color w:val="1F2937"/>
                <w:sz w:val="20"/>
              </w:rPr>
              <w:t>Calcium oxide</w:t>
            </w:r>
          </w:p>
        </w:tc>
        <w:tc>
          <w:tcPr>
            <w:tcW w:type="dxa" w:w="1728"/>
          </w:tcPr>
          <w:p>
            <w:r/>
            <w:r>
              <w:rPr>
                <w:color w:val="1F2937"/>
                <w:sz w:val="20"/>
              </w:rPr>
              <w:t>8</w:t>
            </w:r>
          </w:p>
        </w:tc>
        <w:tc>
          <w:tcPr>
            <w:tcW w:type="dxa" w:w="1728"/>
          </w:tcPr>
          <w:p>
            <w:r/>
            <w:r>
              <w:rPr>
                <w:color w:val="1F2937"/>
                <w:sz w:val="20"/>
              </w:rPr>
              <w:t>III</w:t>
            </w:r>
          </w:p>
        </w:tc>
        <w:tc>
          <w:tcPr>
            <w:tcW w:type="dxa" w:w="1728"/>
          </w:tcPr>
          <w:p>
            <w:r/>
            <w:r>
              <w:rPr>
                <w:color w:val="1F2937"/>
                <w:sz w:val="20"/>
              </w:rPr>
              <w:t>10 kg</w:t>
            </w:r>
          </w:p>
        </w:tc>
        <w:tc>
          <w:tcPr>
            <w:tcW w:type="dxa" w:w="1728"/>
          </w:tcPr>
          <w:p>
            <w:r/>
            <w:r>
              <w:rPr>
                <w:color w:val="1F2937"/>
                <w:sz w:val="20"/>
              </w:rPr>
              <w:t>Skin Corr. 1B</w:t>
            </w:r>
          </w:p>
        </w:tc>
      </w:tr>
      <w:tr>
        <w:tc>
          <w:tcPr>
            <w:tcW w:type="dxa" w:w="1728"/>
          </w:tcPr>
          <w:p>
            <w:r/>
            <w:r>
              <w:rPr>
                <w:color w:val="1F2937"/>
                <w:sz w:val="20"/>
              </w:rPr>
              <w:t>Vanadium(V) oxide</w:t>
            </w:r>
          </w:p>
        </w:tc>
        <w:tc>
          <w:tcPr>
            <w:tcW w:type="dxa" w:w="1728"/>
          </w:tcPr>
          <w:p>
            <w:r/>
            <w:r>
              <w:rPr>
                <w:color w:val="1F2937"/>
                <w:sz w:val="20"/>
              </w:rPr>
              <w:t>6.1</w:t>
            </w:r>
          </w:p>
        </w:tc>
        <w:tc>
          <w:tcPr>
            <w:tcW w:type="dxa" w:w="1728"/>
          </w:tcPr>
          <w:p>
            <w:r/>
            <w:r>
              <w:rPr>
                <w:color w:val="1F2937"/>
                <w:sz w:val="20"/>
              </w:rPr>
              <w:t>II</w:t>
            </w:r>
          </w:p>
        </w:tc>
        <w:tc>
          <w:tcPr>
            <w:tcW w:type="dxa" w:w="1728"/>
          </w:tcPr>
          <w:p>
            <w:r/>
            <w:r>
              <w:rPr>
                <w:color w:val="1F2937"/>
                <w:sz w:val="20"/>
              </w:rPr>
              <w:t>TBV</w:t>
            </w:r>
          </w:p>
        </w:tc>
        <w:tc>
          <w:tcPr>
            <w:tcW w:type="dxa" w:w="1728"/>
          </w:tcPr>
          <w:p>
            <w:r/>
            <w:r>
              <w:rPr>
                <w:color w:val="1F2937"/>
                <w:sz w:val="20"/>
              </w:rPr>
              <w:t>Carc. 1B, Acute Tox. 2</w:t>
            </w:r>
          </w:p>
        </w:tc>
      </w:tr>
    </w:tbl>
    <w:p/>
    <w:p>
      <w:pPr>
        <w:pStyle w:val="Heading2"/>
      </w:pPr>
      <w:r>
        <w:t>7.3 Stap 2: Ondergrenscontrole</w:t>
      </w:r>
    </w:p>
    <w:tbl>
      <w:tblPr>
        <w:tblStyle w:val="LightGrid-Accent1"/>
        <w:tblW w:type="auto" w:w="0"/>
        <w:jc w:val="left"/>
        <w:tblLook w:firstColumn="1" w:firstRow="1" w:lastColumn="0" w:lastRow="0" w:noHBand="0" w:noVBand="1" w:val="04A0"/>
      </w:tblPr>
      <w:tblGrid>
        <w:gridCol w:w="2880"/>
        <w:gridCol w:w="2880"/>
        <w:gridCol w:w="2880"/>
      </w:tblGrid>
      <w:tr>
        <w:tc>
          <w:tcPr>
            <w:tcW w:type="dxa" w:w="2880"/>
          </w:tcPr>
          <w:p>
            <w:r/>
            <w:r>
              <w:rPr>
                <w:b/>
                <w:color w:val="003366"/>
                <w:sz w:val="20"/>
              </w:rPr>
              <w:t>Stof / aggregatie</w:t>
            </w:r>
          </w:p>
        </w:tc>
        <w:tc>
          <w:tcPr>
            <w:tcW w:type="dxa" w:w="2880"/>
          </w:tcPr>
          <w:p>
            <w:r/>
            <w:r>
              <w:rPr>
                <w:b/>
                <w:color w:val="003366"/>
                <w:sz w:val="20"/>
              </w:rPr>
              <w:t>Ondergrens Tabel 2</w:t>
            </w:r>
          </w:p>
        </w:tc>
        <w:tc>
          <w:tcPr>
            <w:tcW w:type="dxa" w:w="2880"/>
          </w:tcPr>
          <w:p>
            <w:r/>
            <w:r>
              <w:rPr>
                <w:b/>
                <w:color w:val="003366"/>
                <w:sz w:val="20"/>
              </w:rPr>
              <w:t>Boven ondergrens?</w:t>
            </w:r>
          </w:p>
        </w:tc>
      </w:tr>
      <w:tr>
        <w:tc>
          <w:tcPr>
            <w:tcW w:type="dxa" w:w="2880"/>
          </w:tcPr>
          <w:p>
            <w:r/>
            <w:r>
              <w:rPr>
                <w:color w:val="1F2937"/>
                <w:sz w:val="20"/>
              </w:rPr>
              <w:t>NaOH 50% (120 kg)</w:t>
            </w:r>
          </w:p>
        </w:tc>
        <w:tc>
          <w:tcPr>
            <w:tcW w:type="dxa" w:w="2880"/>
          </w:tcPr>
          <w:p>
            <w:r/>
            <w:r>
              <w:rPr>
                <w:color w:val="1F2937"/>
                <w:sz w:val="20"/>
              </w:rPr>
              <w:t>250 kg</w:t>
            </w:r>
          </w:p>
        </w:tc>
        <w:tc>
          <w:tcPr>
            <w:tcW w:type="dxa" w:w="2880"/>
          </w:tcPr>
          <w:p>
            <w:r/>
            <w:r>
              <w:rPr>
                <w:color w:val="1F2937"/>
                <w:sz w:val="20"/>
              </w:rPr>
              <w:t>Nee (individueel)</w:t>
            </w:r>
          </w:p>
        </w:tc>
      </w:tr>
      <w:tr>
        <w:tc>
          <w:tcPr>
            <w:tcW w:type="dxa" w:w="2880"/>
          </w:tcPr>
          <w:p>
            <w:r/>
            <w:r>
              <w:rPr>
                <w:color w:val="1F2937"/>
                <w:sz w:val="20"/>
              </w:rPr>
              <w:t>H₂SO₄ totaal (~280 kg)</w:t>
            </w:r>
          </w:p>
        </w:tc>
        <w:tc>
          <w:tcPr>
            <w:tcW w:type="dxa" w:w="2880"/>
          </w:tcPr>
          <w:p>
            <w:r/>
            <w:r>
              <w:rPr>
                <w:color w:val="1F2937"/>
                <w:sz w:val="20"/>
              </w:rPr>
              <w:t>250 kg (individueel)</w:t>
            </w:r>
          </w:p>
        </w:tc>
        <w:tc>
          <w:tcPr>
            <w:tcW w:type="dxa" w:w="2880"/>
          </w:tcPr>
          <w:p>
            <w:r/>
            <w:r>
              <w:rPr>
                <w:color w:val="1F2937"/>
                <w:sz w:val="20"/>
              </w:rPr>
              <w:t>Nee (individueel)</w:t>
            </w:r>
          </w:p>
        </w:tc>
      </w:tr>
      <w:tr>
        <w:tc>
          <w:tcPr>
            <w:tcW w:type="dxa" w:w="2880"/>
          </w:tcPr>
          <w:p>
            <w:r/>
            <w:r>
              <w:rPr>
                <w:color w:val="1F2937"/>
                <w:sz w:val="20"/>
              </w:rPr>
              <w:t>ADR 8 geaggregeerd (~410 kg)</w:t>
            </w:r>
          </w:p>
        </w:tc>
        <w:tc>
          <w:tcPr>
            <w:tcW w:type="dxa" w:w="2880"/>
          </w:tcPr>
          <w:p>
            <w:r/>
            <w:r>
              <w:rPr>
                <w:color w:val="1F2937"/>
                <w:sz w:val="20"/>
              </w:rPr>
              <w:t>250 kg</w:t>
            </w:r>
          </w:p>
        </w:tc>
        <w:tc>
          <w:tcPr>
            <w:tcW w:type="dxa" w:w="2880"/>
          </w:tcPr>
          <w:p>
            <w:r/>
            <w:r>
              <w:rPr>
                <w:color w:val="1F2937"/>
                <w:sz w:val="20"/>
              </w:rPr>
              <w:t>Ja</w:t>
            </w:r>
          </w:p>
        </w:tc>
      </w:tr>
      <w:tr>
        <w:tc>
          <w:tcPr>
            <w:tcW w:type="dxa" w:w="2880"/>
          </w:tcPr>
          <w:p>
            <w:r/>
            <w:r>
              <w:rPr>
                <w:color w:val="1F2937"/>
                <w:sz w:val="20"/>
              </w:rPr>
              <w:t>V₂O₅</w:t>
            </w:r>
          </w:p>
        </w:tc>
        <w:tc>
          <w:tcPr>
            <w:tcW w:type="dxa" w:w="2880"/>
          </w:tcPr>
          <w:p>
            <w:r/>
            <w:r>
              <w:rPr>
                <w:color w:val="1F2937"/>
                <w:sz w:val="20"/>
              </w:rPr>
              <w:t>1 kg (CLP) / 50 kg (ADR)</w:t>
            </w:r>
          </w:p>
        </w:tc>
        <w:tc>
          <w:tcPr>
            <w:tcW w:type="dxa" w:w="2880"/>
          </w:tcPr>
          <w:p>
            <w:r/>
            <w:r>
              <w:rPr>
                <w:color w:val="1F2937"/>
                <w:sz w:val="20"/>
              </w:rPr>
              <w:t>Ja (verwacht)</w:t>
            </w:r>
          </w:p>
        </w:tc>
      </w:tr>
    </w:tbl>
    <w:p/>
    <w:p>
      <w:pPr>
        <w:pStyle w:val="Heading2"/>
      </w:pPr>
      <w:r>
        <w:t>7.4 Stap 3: Niveaubepaling</w:t>
      </w:r>
    </w:p>
    <w:p>
      <w:pPr>
        <w:pStyle w:val="ListBullet"/>
      </w:pPr>
      <w:r>
        <w:t>ADR 8 onbrandbaar → Basisveiligheidsniveau (voetnoot c)</w:t>
      </w:r>
    </w:p>
    <w:p>
      <w:pPr>
        <w:pStyle w:val="ListBullet"/>
      </w:pPr>
      <w:r>
        <w:t>V₂O₅ via ADR 6.1 VG II → C-niveau (&lt;10 ton)</w:t>
      </w:r>
    </w:p>
    <w:p>
      <w:pPr>
        <w:pStyle w:val="ListBullet"/>
      </w:pPr>
      <w:r>
        <w:t>V₂O₅ via CLP Acute Tox. 2 → C-niveau (&lt;10 ton)</w:t>
      </w:r>
    </w:p>
    <w:p>
      <w:r>
        <w:rPr>
          <w:b/>
          <w:color w:val="003366"/>
          <w:sz w:val="28"/>
        </w:rPr>
        <w:t>Strengste: C-NIVEAU</w:t>
      </w:r>
    </w:p>
    <w:p>
      <w:pPr>
        <w:pStyle w:val="Heading2"/>
      </w:pPr>
      <w:r>
        <w:t>7.5 Stap 4: Maatregelen C-niveau</w:t>
      </w:r>
    </w:p>
    <w:tbl>
      <w:tblPr>
        <w:tblStyle w:val="LightGrid-Accent1"/>
        <w:tblW w:type="auto" w:w="0"/>
        <w:jc w:val="left"/>
        <w:tblLook w:firstColumn="1" w:firstRow="1" w:lastColumn="0" w:lastRow="0" w:noHBand="0" w:noVBand="1" w:val="04A0"/>
      </w:tblPr>
      <w:tblGrid>
        <w:gridCol w:w="2880"/>
        <w:gridCol w:w="2880"/>
        <w:gridCol w:w="2880"/>
      </w:tblGrid>
      <w:tr>
        <w:tc>
          <w:tcPr>
            <w:tcW w:type="dxa" w:w="2880"/>
          </w:tcPr>
          <w:p>
            <w:r/>
            <w:r>
              <w:rPr>
                <w:b/>
                <w:color w:val="003366"/>
                <w:sz w:val="20"/>
              </w:rPr>
              <w:t>Eis</w:t>
            </w:r>
          </w:p>
        </w:tc>
        <w:tc>
          <w:tcPr>
            <w:tcW w:type="dxa" w:w="2880"/>
          </w:tcPr>
          <w:p>
            <w:r/>
            <w:r>
              <w:rPr>
                <w:b/>
                <w:color w:val="003366"/>
                <w:sz w:val="20"/>
              </w:rPr>
              <w:t>Vereiste</w:t>
            </w:r>
          </w:p>
        </w:tc>
        <w:tc>
          <w:tcPr>
            <w:tcW w:type="dxa" w:w="2880"/>
          </w:tcPr>
          <w:p>
            <w:r/>
            <w:r>
              <w:rPr>
                <w:b/>
                <w:color w:val="003366"/>
                <w:sz w:val="20"/>
              </w:rPr>
              <w:t>PGS 15 referentie</w:t>
            </w:r>
          </w:p>
        </w:tc>
      </w:tr>
      <w:tr>
        <w:tc>
          <w:tcPr>
            <w:tcW w:type="dxa" w:w="2880"/>
          </w:tcPr>
          <w:p>
            <w:r/>
            <w:r>
              <w:rPr>
                <w:color w:val="1F2937"/>
                <w:sz w:val="20"/>
              </w:rPr>
              <w:t>Wbdbo</w:t>
            </w:r>
          </w:p>
        </w:tc>
        <w:tc>
          <w:tcPr>
            <w:tcW w:type="dxa" w:w="2880"/>
          </w:tcPr>
          <w:p>
            <w:r/>
            <w:r>
              <w:rPr>
                <w:color w:val="1F2937"/>
                <w:sz w:val="20"/>
              </w:rPr>
              <w:t>60 minuten</w:t>
            </w:r>
          </w:p>
        </w:tc>
        <w:tc>
          <w:tcPr>
            <w:tcW w:type="dxa" w:w="2880"/>
          </w:tcPr>
          <w:p>
            <w:r/>
            <w:r>
              <w:rPr>
                <w:color w:val="1F2937"/>
                <w:sz w:val="20"/>
              </w:rPr>
              <w:t>Tabel 6</w:t>
            </w:r>
          </w:p>
        </w:tc>
      </w:tr>
      <w:tr>
        <w:tc>
          <w:tcPr>
            <w:tcW w:type="dxa" w:w="2880"/>
          </w:tcPr>
          <w:p>
            <w:r/>
            <w:r>
              <w:rPr>
                <w:color w:val="1F2937"/>
                <w:sz w:val="20"/>
              </w:rPr>
              <w:t>Branddetectiesysteem</w:t>
            </w:r>
          </w:p>
        </w:tc>
        <w:tc>
          <w:tcPr>
            <w:tcW w:type="dxa" w:w="2880"/>
          </w:tcPr>
          <w:p>
            <w:r/>
            <w:r>
              <w:rPr>
                <w:color w:val="1F2937"/>
                <w:sz w:val="20"/>
              </w:rPr>
              <w:t>NEN 2535</w:t>
            </w:r>
          </w:p>
        </w:tc>
        <w:tc>
          <w:tcPr>
            <w:tcW w:type="dxa" w:w="2880"/>
          </w:tcPr>
          <w:p>
            <w:r/>
            <w:r>
              <w:rPr>
                <w:color w:val="1F2937"/>
                <w:sz w:val="20"/>
              </w:rPr>
              <w:t>M103</w:t>
            </w:r>
          </w:p>
        </w:tc>
      </w:tr>
      <w:tr>
        <w:tc>
          <w:tcPr>
            <w:tcW w:type="dxa" w:w="2880"/>
          </w:tcPr>
          <w:p>
            <w:r/>
            <w:r>
              <w:rPr>
                <w:color w:val="1F2937"/>
                <w:sz w:val="20"/>
              </w:rPr>
              <w:t>Brandwerende constructie</w:t>
            </w:r>
          </w:p>
        </w:tc>
        <w:tc>
          <w:tcPr>
            <w:tcW w:type="dxa" w:w="2880"/>
          </w:tcPr>
          <w:p>
            <w:r/>
            <w:r>
              <w:rPr>
                <w:color w:val="1F2937"/>
                <w:sz w:val="20"/>
              </w:rPr>
              <w:t>Wanden ≥60 min Wbdbo</w:t>
            </w:r>
          </w:p>
        </w:tc>
        <w:tc>
          <w:tcPr>
            <w:tcW w:type="dxa" w:w="2880"/>
          </w:tcPr>
          <w:p>
            <w:r/>
            <w:r>
              <w:rPr>
                <w:color w:val="1F2937"/>
                <w:sz w:val="20"/>
              </w:rPr>
              <w:t>Doel D7</w:t>
            </w:r>
          </w:p>
        </w:tc>
      </w:tr>
      <w:tr>
        <w:tc>
          <w:tcPr>
            <w:tcW w:type="dxa" w:w="2880"/>
          </w:tcPr>
          <w:p>
            <w:r/>
            <w:r>
              <w:rPr>
                <w:color w:val="1F2937"/>
                <w:sz w:val="20"/>
              </w:rPr>
              <w:t>Productopvang</w:t>
            </w:r>
          </w:p>
        </w:tc>
        <w:tc>
          <w:tcPr>
            <w:tcW w:type="dxa" w:w="2880"/>
          </w:tcPr>
          <w:p>
            <w:r/>
            <w:r>
              <w:rPr>
                <w:color w:val="1F2937"/>
                <w:sz w:val="20"/>
              </w:rPr>
              <w:t>Grootste individuele vak</w:t>
            </w:r>
          </w:p>
        </w:tc>
        <w:tc>
          <w:tcPr>
            <w:tcW w:type="dxa" w:w="2880"/>
          </w:tcPr>
          <w:p>
            <w:r/>
            <w:r>
              <w:rPr>
                <w:color w:val="1F2937"/>
                <w:sz w:val="20"/>
              </w:rPr>
              <w:t>Tabel 8</w:t>
            </w:r>
          </w:p>
        </w:tc>
      </w:tr>
      <w:tr>
        <w:tc>
          <w:tcPr>
            <w:tcW w:type="dxa" w:w="2880"/>
          </w:tcPr>
          <w:p>
            <w:r/>
            <w:r>
              <w:rPr>
                <w:color w:val="1F2937"/>
                <w:sz w:val="20"/>
              </w:rPr>
              <w:t>Scheiding</w:t>
            </w:r>
          </w:p>
        </w:tc>
        <w:tc>
          <w:tcPr>
            <w:tcW w:type="dxa" w:w="2880"/>
          </w:tcPr>
          <w:p>
            <w:r/>
            <w:r>
              <w:rPr>
                <w:color w:val="1F2937"/>
                <w:sz w:val="20"/>
              </w:rPr>
              <w:t>Zuur/base, giftig/bijtend</w:t>
            </w:r>
          </w:p>
        </w:tc>
        <w:tc>
          <w:tcPr>
            <w:tcW w:type="dxa" w:w="2880"/>
          </w:tcPr>
          <w:p>
            <w:r/>
            <w:r>
              <w:rPr>
                <w:color w:val="1F2937"/>
                <w:sz w:val="20"/>
              </w:rPr>
              <w:t>Tabel 8</w:t>
            </w:r>
          </w:p>
        </w:tc>
      </w:tr>
      <w:tr>
        <w:tc>
          <w:tcPr>
            <w:tcW w:type="dxa" w:w="2880"/>
          </w:tcPr>
          <w:p>
            <w:r/>
            <w:r>
              <w:rPr>
                <w:color w:val="1F2937"/>
                <w:sz w:val="20"/>
              </w:rPr>
              <w:t>CMR-maatregelen</w:t>
            </w:r>
          </w:p>
        </w:tc>
        <w:tc>
          <w:tcPr>
            <w:tcW w:type="dxa" w:w="2880"/>
          </w:tcPr>
          <w:p>
            <w:r/>
            <w:r>
              <w:rPr>
                <w:color w:val="1F2937"/>
                <w:sz w:val="20"/>
              </w:rPr>
              <w:t>V₂O₅ specifiek</w:t>
            </w:r>
          </w:p>
        </w:tc>
        <w:tc>
          <w:tcPr>
            <w:tcW w:type="dxa" w:w="2880"/>
          </w:tcPr>
          <w:p>
            <w:r/>
            <w:r>
              <w:rPr>
                <w:color w:val="1F2937"/>
                <w:sz w:val="20"/>
              </w:rPr>
              <w:t>Arbobesluit</w:t>
            </w:r>
          </w:p>
        </w:tc>
      </w:tr>
    </w:tbl>
    <w:p/>
    <w:p>
      <w:pPr>
        <w:pStyle w:val="Heading2"/>
      </w:pPr>
      <w:r>
        <w:t>7.6 Stap 5: Compliance beoordeling</w:t>
      </w:r>
    </w:p>
    <w:p>
      <w:r>
        <w:t>Zie Compliance Toets v1.0 — 18% voldoet, 31% gedeeltelijk, 51% niet te toetsen. Dit is conform verwachting voor een startup in ontwikkelingsfase.</w:t>
      </w:r>
    </w:p>
    <w:p>
      <w:r>
        <w:br w:type="page"/>
      </w:r>
    </w:p>
    <w:p>
      <w:pPr>
        <w:pStyle w:val="Heading1"/>
      </w:pPr>
      <w:r>
        <w:t>8. Bronnenlijst</w:t>
      </w:r>
    </w:p>
    <w:p>
      <w:r>
        <w:t>[1] PGS 15:2025 — Opslag van verpakte gevaarlijke stoffen, Publicatie 565, versie 1.0, januari 2025</w:t>
      </w:r>
    </w:p>
    <w:p>
      <w:r>
        <w:t>[2] ADR 2025 — Accord européen relatif au transport international des marchandises Dangereuses par Route</w:t>
      </w:r>
    </w:p>
    <w:p>
      <w:r>
        <w:t>[3] CLP Verordening (EG) 1272/2008 — Classification, Labelling and Packaging</w:t>
      </w:r>
    </w:p>
    <w:p>
      <w:r>
        <w:t>[4] Arbowet / Arbobesluit — Artikel 4.1c, 4.1d (gevaarlijke stoffen)</w:t>
      </w:r>
    </w:p>
    <w:p>
      <w:r>
        <w:t>[5] Omgevingswet — Artikel 4.1012 Bal (opslag gevaarlijke stoffen)</w:t>
      </w:r>
    </w:p>
    <w:p>
      <w:r>
        <w:t>[6] SDS Vanadium(V) oxide (CAS 1314-62-1) — leverancier informatie</w:t>
      </w:r>
    </w:p>
    <w:p>
      <w:r>
        <w:t>[7] NEN 2535 — Branddetectiesystemen, rookmelders</w:t>
      </w:r>
    </w:p>
    <w:p>
      <w:r>
        <w:t>[8] ECHA — V₂O₅ SVHC-kandidaatlijst (2023)</w:t>
      </w:r>
    </w:p>
    <w:p>
      <w:r>
        <w:br w:type="page"/>
      </w:r>
    </w:p>
    <w:p>
      <w:pPr>
        <w:pStyle w:val="Heading1"/>
      </w:pPr>
      <w:r>
        <w:t>Begrippenlijst</w:t>
      </w:r>
    </w:p>
    <w:tbl>
      <w:tblPr>
        <w:tblStyle w:val="LightGrid-Accent1"/>
        <w:tblW w:type="auto" w:w="0"/>
        <w:jc w:val="left"/>
        <w:tblLook w:firstColumn="1" w:firstRow="1" w:lastColumn="0" w:lastRow="0" w:noHBand="0" w:noVBand="1" w:val="04A0"/>
      </w:tblPr>
      <w:tblGrid>
        <w:gridCol w:w="4320"/>
        <w:gridCol w:w="4320"/>
      </w:tblGrid>
      <w:tr>
        <w:tc>
          <w:tcPr>
            <w:tcW w:type="dxa" w:w="4320"/>
          </w:tcPr>
          <w:p>
            <w:r/>
            <w:r>
              <w:rPr>
                <w:b/>
                <w:color w:val="003366"/>
                <w:sz w:val="20"/>
              </w:rPr>
              <w:t>Begrip</w:t>
            </w:r>
          </w:p>
        </w:tc>
        <w:tc>
          <w:tcPr>
            <w:tcW w:type="dxa" w:w="4320"/>
          </w:tcPr>
          <w:p>
            <w:r/>
            <w:r>
              <w:rPr>
                <w:b/>
                <w:color w:val="003366"/>
                <w:sz w:val="20"/>
              </w:rPr>
              <w:t>Uitleg</w:t>
            </w:r>
          </w:p>
        </w:tc>
      </w:tr>
      <w:tr>
        <w:tc>
          <w:tcPr>
            <w:tcW w:type="dxa" w:w="4320"/>
          </w:tcPr>
          <w:p>
            <w:r/>
            <w:r>
              <w:rPr>
                <w:color w:val="1F2937"/>
                <w:sz w:val="20"/>
              </w:rPr>
              <w:t>ADR</w:t>
            </w:r>
          </w:p>
        </w:tc>
        <w:tc>
          <w:tcPr>
            <w:tcW w:type="dxa" w:w="4320"/>
          </w:tcPr>
          <w:p>
            <w:r/>
            <w:r>
              <w:rPr>
                <w:color w:val="1F2937"/>
                <w:sz w:val="20"/>
              </w:rPr>
              <w:t>Accord européen relatif au transport international des marchandises Dangereuses par Route</w:t>
            </w:r>
          </w:p>
        </w:tc>
      </w:tr>
      <w:tr>
        <w:tc>
          <w:tcPr>
            <w:tcW w:type="dxa" w:w="4320"/>
          </w:tcPr>
          <w:p>
            <w:r/>
            <w:r>
              <w:rPr>
                <w:color w:val="1F2937"/>
                <w:sz w:val="20"/>
              </w:rPr>
              <w:t>CLP</w:t>
            </w:r>
          </w:p>
        </w:tc>
        <w:tc>
          <w:tcPr>
            <w:tcW w:type="dxa" w:w="4320"/>
          </w:tcPr>
          <w:p>
            <w:r/>
            <w:r>
              <w:rPr>
                <w:color w:val="1F2937"/>
                <w:sz w:val="20"/>
              </w:rPr>
              <w:t>Classification, Labelling and Packaging (EG 1272/2008)</w:t>
            </w:r>
          </w:p>
        </w:tc>
      </w:tr>
      <w:tr>
        <w:tc>
          <w:tcPr>
            <w:tcW w:type="dxa" w:w="4320"/>
          </w:tcPr>
          <w:p>
            <w:r/>
            <w:r>
              <w:rPr>
                <w:color w:val="1F2937"/>
                <w:sz w:val="20"/>
              </w:rPr>
              <w:t>CMR</w:t>
            </w:r>
          </w:p>
        </w:tc>
        <w:tc>
          <w:tcPr>
            <w:tcW w:type="dxa" w:w="4320"/>
          </w:tcPr>
          <w:p>
            <w:r/>
            <w:r>
              <w:rPr>
                <w:color w:val="1F2937"/>
                <w:sz w:val="20"/>
              </w:rPr>
              <w:t>Carcinogeen, Mutageen, Reprotoxisch</w:t>
            </w:r>
          </w:p>
        </w:tc>
      </w:tr>
      <w:tr>
        <w:tc>
          <w:tcPr>
            <w:tcW w:type="dxa" w:w="4320"/>
          </w:tcPr>
          <w:p>
            <w:r/>
            <w:r>
              <w:rPr>
                <w:color w:val="1F2937"/>
                <w:sz w:val="20"/>
              </w:rPr>
              <w:t>SDS</w:t>
            </w:r>
          </w:p>
        </w:tc>
        <w:tc>
          <w:tcPr>
            <w:tcW w:type="dxa" w:w="4320"/>
          </w:tcPr>
          <w:p>
            <w:r/>
            <w:r>
              <w:rPr>
                <w:color w:val="1F2937"/>
                <w:sz w:val="20"/>
              </w:rPr>
              <w:t>Safety Data Sheet (veiligheidsinformatieblad)</w:t>
            </w:r>
          </w:p>
        </w:tc>
      </w:tr>
      <w:tr>
        <w:tc>
          <w:tcPr>
            <w:tcW w:type="dxa" w:w="4320"/>
          </w:tcPr>
          <w:p>
            <w:r/>
            <w:r>
              <w:rPr>
                <w:color w:val="1F2937"/>
                <w:sz w:val="20"/>
              </w:rPr>
              <w:t>VG</w:t>
            </w:r>
          </w:p>
        </w:tc>
        <w:tc>
          <w:tcPr>
            <w:tcW w:type="dxa" w:w="4320"/>
          </w:tcPr>
          <w:p>
            <w:r/>
            <w:r>
              <w:rPr>
                <w:color w:val="1F2937"/>
                <w:sz w:val="20"/>
              </w:rPr>
              <w:t>Verpakkingsgroep (I, II, III) — mate van gevaar</w:t>
            </w:r>
          </w:p>
        </w:tc>
      </w:tr>
      <w:tr>
        <w:tc>
          <w:tcPr>
            <w:tcW w:type="dxa" w:w="4320"/>
          </w:tcPr>
          <w:p>
            <w:r/>
            <w:r>
              <w:rPr>
                <w:color w:val="1F2937"/>
                <w:sz w:val="20"/>
              </w:rPr>
              <w:t>Wbdbo</w:t>
            </w:r>
          </w:p>
        </w:tc>
        <w:tc>
          <w:tcPr>
            <w:tcW w:type="dxa" w:w="4320"/>
          </w:tcPr>
          <w:p>
            <w:r/>
            <w:r>
              <w:rPr>
                <w:color w:val="1F2937"/>
                <w:sz w:val="20"/>
              </w:rPr>
              <w:t>Weerstand tegen branddoorgang en brandoverslag</w:t>
            </w:r>
          </w:p>
        </w:tc>
      </w:tr>
      <w:tr>
        <w:tc>
          <w:tcPr>
            <w:tcW w:type="dxa" w:w="4320"/>
          </w:tcPr>
          <w:p>
            <w:r/>
            <w:r>
              <w:rPr>
                <w:color w:val="1F2937"/>
                <w:sz w:val="20"/>
              </w:rPr>
              <w:t>PBM</w:t>
            </w:r>
          </w:p>
        </w:tc>
        <w:tc>
          <w:tcPr>
            <w:tcW w:type="dxa" w:w="4320"/>
          </w:tcPr>
          <w:p>
            <w:r/>
            <w:r>
              <w:rPr>
                <w:color w:val="1F2937"/>
                <w:sz w:val="20"/>
              </w:rPr>
              <w:t>Persoonlijk Beschermingsmiddel</w:t>
            </w:r>
          </w:p>
        </w:tc>
      </w:tr>
      <w:tr>
        <w:tc>
          <w:tcPr>
            <w:tcW w:type="dxa" w:w="4320"/>
          </w:tcPr>
          <w:p>
            <w:r/>
            <w:r>
              <w:rPr>
                <w:color w:val="1F2937"/>
                <w:sz w:val="20"/>
              </w:rPr>
              <w:t>RI&amp;E</w:t>
            </w:r>
          </w:p>
        </w:tc>
        <w:tc>
          <w:tcPr>
            <w:tcW w:type="dxa" w:w="4320"/>
          </w:tcPr>
          <w:p>
            <w:r/>
            <w:r>
              <w:rPr>
                <w:color w:val="1F2937"/>
                <w:sz w:val="20"/>
              </w:rPr>
              <w:t>Risico-Inventarisatie en -Evaluatie</w:t>
            </w:r>
          </w:p>
        </w:tc>
      </w:tr>
      <w:tr>
        <w:tc>
          <w:tcPr>
            <w:tcW w:type="dxa" w:w="4320"/>
          </w:tcPr>
          <w:p>
            <w:r/>
            <w:r>
              <w:rPr>
                <w:color w:val="1F2937"/>
                <w:sz w:val="20"/>
              </w:rPr>
              <w:t>NEN 2535</w:t>
            </w:r>
          </w:p>
        </w:tc>
        <w:tc>
          <w:tcPr>
            <w:tcW w:type="dxa" w:w="4320"/>
          </w:tcPr>
          <w:p>
            <w:r/>
            <w:r>
              <w:rPr>
                <w:color w:val="1F2937"/>
                <w:sz w:val="20"/>
              </w:rPr>
              <w:t>Nederlandse norm voor branddetectie</w:t>
            </w:r>
          </w:p>
        </w:tc>
      </w:tr>
    </w:tbl>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374151"/>
        <w:sz w:val="16"/>
      </w:rPr>
      <w:t xml:space="preserve">PGS15-PM | v1.0 | 27 april 2026  —  Pagina </w:t>
    </w:r>
    <w:r>
      <w:rPr>
        <w:color w:val="374151"/>
        <w:sz w:val="16"/>
      </w:rPr>
      <w:fldChar w:fldCharType="begin"/>
    </w:r>
    <w:r>
      <w:rPr>
        <w:color w:val="374151"/>
        <w:sz w:val="16"/>
      </w:rPr>
      <w:instrText xml:space="preserve"> PAGE </w:instrText>
    </w:r>
    <w:r>
      <w:rPr>
        <w:color w:val="374151"/>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3B82F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PGS15-PM Kennisdossier PGS 15:2025 v1.0</dc:title>
  <dc:subject/>
  <dc:creator>HQ_04 Technical Writer via Kas</dc:creator>
  <cp:keywords>PGS 15; opslag; gevaarlijke stoffen; niveaubepaling; Phoenix Metals</cp:keywords>
  <dc:description>generated by python-docx</dc:description>
  <cp:lastModifiedBy/>
  <cp:revision>1</cp:revision>
  <dcterms:created xsi:type="dcterms:W3CDTF">2013-12-23T23:15:00Z</dcterms:created>
  <dcterms:modified xsi:type="dcterms:W3CDTF">2013-12-23T23:15:00Z</dcterms:modified>
  <cp:category>HSEQ Intelligence</cp:category>
</cp:coreProperties>
</file>