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spacing w:after="40"/>
        <w:jc w:val="center"/>
      </w:pPr>
      <w:r>
        <w:rPr>
          <w:b/>
          <w:i w:val="0"/>
          <w:color w:val="003366"/>
          <w:sz w:val="56"/>
        </w:rPr>
        <w:t>COMPLIANCE TOETS</w:t>
      </w:r>
    </w:p>
    <w:p>
      <w:pPr>
        <w:spacing w:after="400"/>
        <w:jc w:val="center"/>
      </w:pPr>
      <w:r>
        <w:rPr>
          <w:b/>
          <w:i w:val="0"/>
          <w:color w:val="FF6600"/>
          <w:sz w:val="32"/>
        </w:rPr>
        <w:t>PGS 15:2025 — Phoenix Metals B.V.</w:t>
      </w:r>
    </w:p>
    <w:p/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</w:tcPr>
          <w:p>
            <w:r/>
            <w:r>
              <w:rPr>
                <w:b/>
                <w:color w:val="003366"/>
                <w:sz w:val="22"/>
              </w:rPr>
              <w:t>Bedrijf:</w:t>
            </w:r>
          </w:p>
        </w:tc>
        <w:tc>
          <w:tcPr>
            <w:tcW w:type="dxa" w:w="4535"/>
          </w:tcPr>
          <w:p>
            <w:r/>
            <w:r>
              <w:rPr>
                <w:sz w:val="22"/>
              </w:rPr>
              <w:t>Phoenix Metals B.V.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color w:val="003366"/>
                <w:sz w:val="22"/>
              </w:rPr>
              <w:t>Locatie:</w:t>
            </w:r>
          </w:p>
        </w:tc>
        <w:tc>
          <w:tcPr>
            <w:tcW w:type="dxa" w:w="4535"/>
          </w:tcPr>
          <w:p>
            <w:r/>
            <w:r>
              <w:rPr>
                <w:sz w:val="22"/>
              </w:rPr>
              <w:t>PlantOne Rotterdam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color w:val="003366"/>
                <w:sz w:val="22"/>
              </w:rPr>
              <w:t>Datum:</w:t>
            </w:r>
          </w:p>
        </w:tc>
        <w:tc>
          <w:tcPr>
            <w:tcW w:type="dxa" w:w="4535"/>
          </w:tcPr>
          <w:p>
            <w:r/>
            <w:r>
              <w:rPr>
                <w:sz w:val="22"/>
              </w:rPr>
              <w:t>27 april 2026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color w:val="003366"/>
                <w:sz w:val="22"/>
              </w:rPr>
              <w:t>Versie:</w:t>
            </w:r>
          </w:p>
        </w:tc>
        <w:tc>
          <w:tcPr>
            <w:tcW w:type="dxa" w:w="4535"/>
          </w:tcPr>
          <w:p>
            <w:r/>
            <w:r>
              <w:rPr>
                <w:sz w:val="22"/>
              </w:rPr>
              <w:t>1.0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color w:val="003366"/>
                <w:sz w:val="22"/>
              </w:rPr>
              <w:t>Bepaald opslagniveau:</w:t>
            </w:r>
          </w:p>
        </w:tc>
        <w:tc>
          <w:tcPr>
            <w:tcW w:type="dxa" w:w="4535"/>
          </w:tcPr>
          <w:p>
            <w:r/>
            <w:r>
              <w:rPr>
                <w:sz w:val="22"/>
              </w:rPr>
              <w:t>C-niveau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color w:val="003366"/>
                <w:sz w:val="22"/>
              </w:rPr>
              <w:t>Beoordelingsperiode:</w:t>
            </w:r>
          </w:p>
        </w:tc>
        <w:tc>
          <w:tcPr>
            <w:tcW w:type="dxa" w:w="4535"/>
          </w:tcPr>
          <w:p>
            <w:r/>
            <w:r>
              <w:rPr>
                <w:sz w:val="22"/>
              </w:rPr>
              <w:t>April 2026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color w:val="003366"/>
                <w:sz w:val="22"/>
              </w:rPr>
              <w:t>Status:</w:t>
            </w:r>
          </w:p>
        </w:tc>
        <w:tc>
          <w:tcPr>
            <w:tcW w:type="dxa" w:w="4535"/>
          </w:tcPr>
          <w:p>
            <w:r/>
            <w:r>
              <w:rPr>
                <w:sz w:val="22"/>
              </w:rPr>
              <w:t>CONCEPT</w:t>
            </w:r>
          </w:p>
        </w:tc>
      </w:tr>
    </w:tbl>
    <w:p>
      <w:r>
        <w:br w:type="page"/>
      </w:r>
    </w:p>
    <w:p>
      <w:pPr>
        <w:pStyle w:val="Heading1"/>
      </w:pPr>
      <w:r>
        <w:t>1. Samenvatting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98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Themagebied</w:t>
            </w:r>
          </w:p>
        </w:tc>
        <w:tc>
          <w:tcPr>
            <w:tcW w:type="dxa" w:w="2268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Score</w:t>
            </w:r>
          </w:p>
        </w:tc>
        <w:tc>
          <w:tcPr>
            <w:tcW w:type="dxa" w:w="3402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# Doelstellingen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Brandveiligheid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⚠️ Gedeeltelijk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2 voldoet, 4 gedeeltelijk, 5 niet te toetsen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Gezondheid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⚠️ Gedeeltelijk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2 voldoet, 3 gedeeltelijk, 3 niet te toetsen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Milieu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❓ Grotendeels niet te toetsen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1 voldoet, 1 gedeeltelijk, 4 niet te toetsen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Constructief (C-niveau)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6 niet te toetsen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Organisatorisch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⚠️ Gedeeltelijk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3 voldoet, 4 gedeeltelijk, 3 niet te toetsen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Seveso/BRZO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✅ Voldoet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4 voldoet</w:t>
            </w:r>
          </w:p>
        </w:tc>
      </w:tr>
    </w:tbl>
    <w:p>
      <w:pPr>
        <w:spacing w:after="80"/>
      </w:pPr>
      <w:r>
        <w:rPr>
          <w:b w:val="0"/>
          <w:i/>
        </w:rPr>
        <w:t>Phoenix Metals beschikt over een basis HSE-infrastructuur. PGS 15:2025-specifieke naleving is onvoldoende aangetoond voor C-niveau.</w:t>
      </w:r>
    </w:p>
    <w:p>
      <w:pPr>
        <w:pStyle w:val="Heading1"/>
      </w:pPr>
      <w:r>
        <w:t>2. Brandveiligheid</w:t>
      </w:r>
    </w:p>
    <w:p>
      <w:pPr>
        <w:pStyle w:val="Heading2"/>
      </w:pPr>
      <w:r>
        <w:t>2.1 D8 — Voorkomen ontsteking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45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98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Eis</w:t>
            </w:r>
          </w:p>
        </w:tc>
        <w:tc>
          <w:tcPr>
            <w:tcW w:type="dxa" w:w="850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Ref.</w:t>
            </w:r>
          </w:p>
        </w:tc>
        <w:tc>
          <w:tcPr>
            <w:tcW w:type="dxa" w:w="1417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3118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Toelichting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Rookverbod opslagruimte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M95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⚠️ Gedeeltelijk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Algemeen rookverbod in HSE policy. Zone-indeling rond opslag niet aangetoond.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Aarding statische elektriciteit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M99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Niet gedocumenteerd. Relevant bij V₂O₅ poederoverslag.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Ontstekingsbronnenbeheersing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M96-M100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⚠️ Gedeeltelijk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Algemene HSE-maatregelen aanwezig. PGS 15-specifieke invulling ontbreekt.</w:t>
            </w:r>
          </w:p>
        </w:tc>
      </w:tr>
    </w:tbl>
    <w:p>
      <w:pPr>
        <w:spacing w:after="40"/>
      </w:pPr>
      <w:r>
        <w:rPr>
          <w:b/>
          <w:i w:val="0"/>
        </w:rPr>
        <w:t>Maatregelen:</w:t>
      </w:r>
    </w:p>
    <w:p>
      <w:pPr>
        <w:pStyle w:val="ListBullet"/>
        <w:spacing w:after="40"/>
        <w:ind w:left="850"/>
      </w:pPr>
      <w:r>
        <w:rPr>
          <w:sz w:val="22"/>
        </w:rPr>
        <w:t>☐ Formuleer expliciet rookverbod binnen 5 m van opslagruimte</w:t>
      </w:r>
    </w:p>
    <w:p>
      <w:pPr>
        <w:pStyle w:val="ListBullet"/>
        <w:spacing w:after="40"/>
        <w:ind w:left="850"/>
      </w:pPr>
      <w:r>
        <w:rPr>
          <w:sz w:val="22"/>
        </w:rPr>
        <w:t>☐ Aardingsprocedure voor overgang/overslag van stoffen</w:t>
      </w:r>
    </w:p>
    <w:p>
      <w:pPr>
        <w:pStyle w:val="ListBullet"/>
        <w:spacing w:after="40"/>
        <w:ind w:left="850"/>
      </w:pPr>
      <w:r>
        <w:rPr>
          <w:sz w:val="22"/>
        </w:rPr>
        <w:t>☐ Inventariseer ontstekingsbronnen in/nabij opslag</w:t>
      </w:r>
    </w:p>
    <w:p>
      <w:pPr>
        <w:pStyle w:val="Heading2"/>
      </w:pPr>
      <w:r>
        <w:t>2.2 D9 — Voorkomen brand in opslag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45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98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Eis</w:t>
            </w:r>
          </w:p>
        </w:tc>
        <w:tc>
          <w:tcPr>
            <w:tcW w:type="dxa" w:w="850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Ref.</w:t>
            </w:r>
          </w:p>
        </w:tc>
        <w:tc>
          <w:tcPr>
            <w:tcW w:type="dxa" w:w="1417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3118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Toelichting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Brandbare materialen buiten opslag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M101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Niet gedocumenteerd.</w:t>
            </w:r>
          </w:p>
        </w:tc>
      </w:tr>
    </w:tbl>
    <w:p>
      <w:pPr>
        <w:pStyle w:val="Heading2"/>
      </w:pPr>
      <w:r>
        <w:t>2.3 D6 — Hulpdiensten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45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98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Eis</w:t>
            </w:r>
          </w:p>
        </w:tc>
        <w:tc>
          <w:tcPr>
            <w:tcW w:type="dxa" w:w="850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Ref.</w:t>
            </w:r>
          </w:p>
        </w:tc>
        <w:tc>
          <w:tcPr>
            <w:tcW w:type="dxa" w:w="1417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3118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Toelichting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Toegankelijkheid hulpdiensten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M109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⚠️ Gedeeltelijk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Tata Steel terrein — bereikbaarheid waarschijnlijk OK via Tata HSE. Specifieke PGS 15-toets ontbreekt.</w:t>
            </w:r>
          </w:p>
        </w:tc>
      </w:tr>
    </w:tbl>
    <w:p>
      <w:pPr>
        <w:pStyle w:val="Heading2"/>
      </w:pPr>
      <w:r>
        <w:t>2.4 D7 — Verspreiding voorkomen (C-niveau)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45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98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Eis</w:t>
            </w:r>
          </w:p>
        </w:tc>
        <w:tc>
          <w:tcPr>
            <w:tcW w:type="dxa" w:w="850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Ref.</w:t>
            </w:r>
          </w:p>
        </w:tc>
        <w:tc>
          <w:tcPr>
            <w:tcW w:type="dxa" w:w="1417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3118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Toelichting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6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Wbdbo 60 min constructie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Tabel 6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Constructieve details niet beschikbaar.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7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Branddetectie (NEN 2535)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M103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Branddetectiesysteem niet gedocumenteerd. C-niveau vereist dit.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8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Brandwerende wanden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Doel D7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Niet gedocumenteerd.</w:t>
            </w:r>
          </w:p>
        </w:tc>
      </w:tr>
    </w:tbl>
    <w:p>
      <w:pPr>
        <w:pStyle w:val="Heading2"/>
      </w:pPr>
      <w:r>
        <w:t>2.5 D10/D11 — Compartimentering en actieve brandbeheersing</w:t>
      </w:r>
    </w:p>
    <w:p>
      <w:pPr>
        <w:spacing w:after="80"/>
      </w:pPr>
      <w:r>
        <w:rPr>
          <w:b w:val="0"/>
          <w:i/>
        </w:rPr>
        <w:t>Niet van toepassing op C-niveau (pas bij B-niveau).</w:t>
      </w:r>
    </w:p>
    <w:p>
      <w:pPr>
        <w:pStyle w:val="Heading2"/>
      </w:pPr>
      <w:r>
        <w:t>2.6 D12 — Automatische blussing</w:t>
      </w:r>
    </w:p>
    <w:p>
      <w:pPr>
        <w:spacing w:after="80"/>
      </w:pPr>
      <w:r>
        <w:rPr>
          <w:b w:val="0"/>
          <w:i/>
        </w:rPr>
        <w:t>Niet van toepassing op C-niveau (pas bij A-niveau, &gt;10 ton V₂O₅).</w:t>
      </w:r>
    </w:p>
    <w:p>
      <w:pPr>
        <w:pStyle w:val="Heading1"/>
      </w:pPr>
      <w:r>
        <w:t>3. Gezondheid</w:t>
      </w:r>
    </w:p>
    <w:p>
      <w:pPr>
        <w:pStyle w:val="Heading2"/>
      </w:pPr>
      <w:r>
        <w:t>3.1 D4 — Lekkagebeheersing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45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98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Eis</w:t>
            </w:r>
          </w:p>
        </w:tc>
        <w:tc>
          <w:tcPr>
            <w:tcW w:type="dxa" w:w="850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Ref.</w:t>
            </w:r>
          </w:p>
        </w:tc>
        <w:tc>
          <w:tcPr>
            <w:tcW w:type="dxa" w:w="1417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3118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Toelichting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10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Productopvang voorziening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M30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Niet gedocumenteerd. Vereist voor H₂SO₄, NaOH en V₂O₅.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11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Vloeistofdichte vloer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M31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Niet gedocumenteerd.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12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Afvoer afvalwater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M32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Niet gedocumenteerd.</w:t>
            </w:r>
          </w:p>
        </w:tc>
      </w:tr>
    </w:tbl>
    <w:p>
      <w:pPr>
        <w:pStyle w:val="Heading2"/>
      </w:pPr>
      <w:r>
        <w:t>3.2 Blootstelling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45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98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Eis</w:t>
            </w:r>
          </w:p>
        </w:tc>
        <w:tc>
          <w:tcPr>
            <w:tcW w:type="dxa" w:w="850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Ref.</w:t>
            </w:r>
          </w:p>
        </w:tc>
        <w:tc>
          <w:tcPr>
            <w:tcW w:type="dxa" w:w="1417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3118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Toelichting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13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Ventilatie opslagruimte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M25-M28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Niet gedocumenteerd. Kritiek bij H₂SO₄ (dampen) en V₂O₅ (poeder).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14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Sluiten verpakkingen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M33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⚠️ Gedeeltelijk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Jerrycans sluitbaar. Procedures niet expliciet gedocumenteerd.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15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CMR-maatregelen V₂O₅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AI-06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⚠️ Gedeeltelijk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CMR-procedure aanwezig. Toepassing op V₂O₅ moet worden bevestigd.</w:t>
            </w:r>
          </w:p>
        </w:tc>
      </w:tr>
    </w:tbl>
    <w:p>
      <w:pPr>
        <w:pStyle w:val="Heading2"/>
      </w:pPr>
      <w:r>
        <w:t>3.3 PBM's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45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98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Eis</w:t>
            </w:r>
          </w:p>
        </w:tc>
        <w:tc>
          <w:tcPr>
            <w:tcW w:type="dxa" w:w="850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Ref.</w:t>
            </w:r>
          </w:p>
        </w:tc>
        <w:tc>
          <w:tcPr>
            <w:tcW w:type="dxa" w:w="1417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3118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Toelichting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16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PBM-beleid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✅ Voldoet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PS-201-NL_V1.0 PBM-beleid + PBM-matrix aanwezig.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17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PBM's voor V₂O₅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AI-06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⚠️ Gedeeltelijk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Specifieke PBM-selectie voor V₂O₅ (P3-masker) niet aangetoond.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18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PBM's voor bijtende stoffen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✅ Voldoet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HSE policy dekt NaOH/H₂SO₄.</w:t>
            </w:r>
          </w:p>
        </w:tc>
      </w:tr>
    </w:tbl>
    <w:p>
      <w:pPr>
        <w:pStyle w:val="Heading2"/>
      </w:pPr>
      <w:r>
        <w:t>3.4 Gezondheidstoezicht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45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98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Eis</w:t>
            </w:r>
          </w:p>
        </w:tc>
        <w:tc>
          <w:tcPr>
            <w:tcW w:type="dxa" w:w="850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Ref.</w:t>
            </w:r>
          </w:p>
        </w:tc>
        <w:tc>
          <w:tcPr>
            <w:tcW w:type="dxa" w:w="1417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3118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Toelichting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19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AGO voor CMR-blootstelling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Arbowet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Periodiek AGO voor V₂O₅-blootgestelden niet gedocumenteerd.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20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Blootstellingsregister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Arbowet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Niet aangetoond.</w:t>
            </w:r>
          </w:p>
        </w:tc>
      </w:tr>
    </w:tbl>
    <w:p>
      <w:pPr>
        <w:pStyle w:val="Heading1"/>
      </w:pPr>
      <w:r>
        <w:t>4. Milieu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45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98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Eis</w:t>
            </w:r>
          </w:p>
        </w:tc>
        <w:tc>
          <w:tcPr>
            <w:tcW w:type="dxa" w:w="850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Ref.</w:t>
            </w:r>
          </w:p>
        </w:tc>
        <w:tc>
          <w:tcPr>
            <w:tcW w:type="dxa" w:w="1417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3118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Toelichting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21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Omgevingsvergunning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Omgevingswet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⚠️ Gedeeltelijk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Vergunningstraject in gang (haalbaarheidsstudie). Status onbekend.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22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Environmental compliance register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✅ Voldoet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Environmental Aspects and Compliance Register.xlsx aanwezig.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23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Afvang bijtende vloeistoffen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Doel D4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Opvangcapaciteit niet gedocumenteerd.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24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Afvang CMR-poeders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Doel D4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Stofvrije opslag + afvang V₂O₅ niet aangetoond.</w:t>
            </w:r>
          </w:p>
        </w:tc>
      </w:tr>
    </w:tbl>
    <w:p>
      <w:pPr>
        <w:pStyle w:val="Heading1"/>
      </w:pPr>
      <w:r>
        <w:t>5. Constructieve Eisen (C-niveau)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45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98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Eis</w:t>
            </w:r>
          </w:p>
        </w:tc>
        <w:tc>
          <w:tcPr>
            <w:tcW w:type="dxa" w:w="850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Ref.</w:t>
            </w:r>
          </w:p>
        </w:tc>
        <w:tc>
          <w:tcPr>
            <w:tcW w:type="dxa" w:w="1417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3118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Toelichting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25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Wbdbo 60 min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Tabel 6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Constructieve details ontbreken.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26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Branddetectie (NEN 2535)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M103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Niet gedocumenteerd.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27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Brandwerende wanden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D7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Niet gedocumenteerd.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28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Stellingen stabiel + aarding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M14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⚠️ Gedeeltelijk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Stellingen aanwezig. Stabiliteit/aarding niet aangetoond.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29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Aanrijdbeveiliging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M14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Niet gedocumenteerd.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30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Dakconstructie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N.v.t.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Niet van toepassing bij binnenopslag &lt;10 ton (C-niveau).</w:t>
            </w:r>
          </w:p>
        </w:tc>
      </w:tr>
    </w:tbl>
    <w:p>
      <w:pPr>
        <w:pStyle w:val="Heading1"/>
      </w:pPr>
      <w:r>
        <w:t>6. Organisatorische Eisen</w:t>
      </w:r>
    </w:p>
    <w:p>
      <w:pPr>
        <w:pStyle w:val="Heading2"/>
      </w:pPr>
      <w:r>
        <w:t>6.1 Administratief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45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98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Eis</w:t>
            </w:r>
          </w:p>
        </w:tc>
        <w:tc>
          <w:tcPr>
            <w:tcW w:type="dxa" w:w="850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Ref.</w:t>
            </w:r>
          </w:p>
        </w:tc>
        <w:tc>
          <w:tcPr>
            <w:tcW w:type="dxa" w:w="1417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3118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Toelichting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31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Stoffenregistratie compleet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M20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⚠️ Gedeeltelijk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MASTER v2.1.0 aanwezig maar incompleet — V₂O₅ ontbreekt.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32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Etikettering verpakkingen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M21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Niet gecontroleerd.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33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SDS beschikbaar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M22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✅ Voldoet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SDS voor NaOH, H₂SO₄, V₂O₅ beschikbaar.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34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Goedkeuring nieuwe stoffen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M23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✅ Voldoet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HSE Chemical Request Form + procedure aanwezig.</w:t>
            </w:r>
          </w:p>
        </w:tc>
      </w:tr>
    </w:tbl>
    <w:p>
      <w:pPr>
        <w:pStyle w:val="Heading2"/>
      </w:pPr>
      <w:r>
        <w:t>6.2 Opleiding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45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98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Eis</w:t>
            </w:r>
          </w:p>
        </w:tc>
        <w:tc>
          <w:tcPr>
            <w:tcW w:type="dxa" w:w="850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Ref.</w:t>
            </w:r>
          </w:p>
        </w:tc>
        <w:tc>
          <w:tcPr>
            <w:tcW w:type="dxa" w:w="1417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3118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Toelichting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35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Instructie medewerkers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M87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⚠️ Gedeeltelijk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Algemene HSE-instructie aanwezig. PGS 15-specifieke training ontbreekt.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36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Training CMR/V₂O₅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AI-06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Niet aangetoond.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37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Noodprocedure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M88-M89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⚠️ Gedeeltelijk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RI&amp;E bevat noodprocedure. PGS 15-specifiek noodplan ontbreekt.</w:t>
            </w:r>
          </w:p>
        </w:tc>
      </w:tr>
    </w:tbl>
    <w:p>
      <w:pPr>
        <w:pStyle w:val="Heading2"/>
      </w:pPr>
      <w:r>
        <w:t>6.3 Procedures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45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98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Eis</w:t>
            </w:r>
          </w:p>
        </w:tc>
        <w:tc>
          <w:tcPr>
            <w:tcW w:type="dxa" w:w="850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Ref.</w:t>
            </w:r>
          </w:p>
        </w:tc>
        <w:tc>
          <w:tcPr>
            <w:tcW w:type="dxa" w:w="1417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3118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Toelichting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38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Procedure opslag gevaarlijke stoffen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AI-83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⚠️ Gedeeltelijk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Algemene procedure aanwezig. PGS 15-specifieke invulling vereist.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39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TRA voor werkzaamheden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✅ Voldoet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TRA-systeem aanwezig.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40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Periodieke inspectie opslag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M87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Niet gedocumenteerd.</w:t>
            </w:r>
          </w:p>
        </w:tc>
      </w:tr>
    </w:tbl>
    <w:p>
      <w:pPr>
        <w:pStyle w:val="Heading1"/>
      </w:pPr>
      <w:r>
        <w:t>7. Seveso/BRZO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5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268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Eis</w:t>
            </w:r>
          </w:p>
        </w:tc>
        <w:tc>
          <w:tcPr>
            <w:tcW w:type="dxa" w:w="1417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3402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Toelichting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41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Seveso-indicatie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✅ Voldoet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Geen drempels overschreden (Arcadis, sept 2025).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42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V₂O₅ &lt;50 ton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✅ Voldoet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Pilot-productie &lt;50 ton/jaar.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43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H₂SO₄ &lt;500 ton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✅ Voldoet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~200 L opslag.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44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NaOH &lt;500 ton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✅ Voldoet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~100 L opslag.</w:t>
            </w:r>
          </w:p>
        </w:tc>
      </w:tr>
    </w:tbl>
    <w:p>
      <w:pPr>
        <w:pStyle w:val="Heading1"/>
      </w:pPr>
      <w:r>
        <w:t>8. Actiepunten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567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134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Prioriteit</w:t>
            </w:r>
          </w:p>
        </w:tc>
        <w:tc>
          <w:tcPr>
            <w:tcW w:type="dxa" w:w="3118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Actie</w:t>
            </w:r>
          </w:p>
        </w:tc>
        <w:tc>
          <w:tcPr>
            <w:tcW w:type="dxa" w:w="1417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Thema</w:t>
            </w:r>
          </w:p>
        </w:tc>
        <w:tc>
          <w:tcPr>
            <w:tcW w:type="dxa" w:w="850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Deadline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A01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🔴 Hoog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Implementeer branddetectie (NEN 2535) in opslagruimte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Constructief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[TBV]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A02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🔴 Hoog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Toets Wbdbo constructieve brandwerendheid (60 min)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Constructief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[TBV]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A03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🔴 Hoog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Completeer stoffenregistratie (voeg V₂O₅ toe)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Organisatorisch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[TBV]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A04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🔴 Hoog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Implementeer scheiding zuur/base (H₂SO₄ ↔ NaOH)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Brandveiligheid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[TBV]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A05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🔴 Hoog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Implementeer scheiding giftig/bijtend (V₂O₅ ↔ ADR 8)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Brandveiligheid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[TBV]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A06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🟡 Midden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Documenteer ventilatie-eisen opslagruimte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Gezondheid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[TBV]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A07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🟡 Midden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Specificeer PBM's voor V₂O₅ handling (P3-masker)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Gezondheid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[TBV]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A08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🟡 Midden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Start AGO-programma voor V₂O₅-blootgestelden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Gezondheid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[TBV]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A09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🟡 Midden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Opzetten blootstellingsregister V₂O₅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Gezondheid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[TBV]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A10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🟡 Midden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Implementeer productopvang voor jerrycans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Milieu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[TBV]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A11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🟡 Midden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PGS 15-specifieke training medewerkers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Organisatorisch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[TBV]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A12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🟡 Midden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Documenteer PGS 15-specifiek noodplan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Organisatorisch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[TBV]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A13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🟢 Laag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Verifieer aarding stellingen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Constructief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[TBV]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A14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🟢 Laag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Installeer aanrijdbeveiliging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Constructief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[TBV]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A15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🟢 Laag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Verifieer CaO ADR-classificatie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Organisatorisch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  <w:t>[TBV]</w:t>
            </w:r>
          </w:p>
        </w:tc>
      </w:tr>
    </w:tbl>
    <w:p>
      <w:pPr>
        <w:pStyle w:val="Heading1"/>
      </w:pPr>
      <w:r>
        <w:t>9. Beoordelingsscore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268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Score</w:t>
            </w:r>
          </w:p>
        </w:tc>
        <w:tc>
          <w:tcPr>
            <w:tcW w:type="dxa" w:w="1701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Aantal</w:t>
            </w:r>
          </w:p>
        </w:tc>
        <w:tc>
          <w:tcPr>
            <w:tcW w:type="dxa" w:w="1701"/>
            <w:shd w:fill="FF6600" w:val="clear"/>
          </w:tcPr>
          <w:p>
            <w:r/>
            <w:r>
              <w:rPr>
                <w:b/>
                <w:color w:val="FFFFFF"/>
                <w:sz w:val="19"/>
              </w:rPr>
              <w:t>Percentage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✅ Voldoet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7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18%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⚠️ Gedeeltelijk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12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31%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❓ Niet te toetsen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20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51%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❌ Niet voldoende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0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0%</w:t>
            </w:r>
          </w:p>
        </w:tc>
      </w:tr>
    </w:tbl>
    <w:p>
      <w:pPr>
        <w:spacing w:after="240"/>
      </w:pPr>
      <w:r>
        <w:rPr>
          <w:b/>
          <w:i w:val="0"/>
        </w:rPr>
        <w:t>Conclusie: 49% van de PGS 15:2025-doelstellingen kan niet worden getoetst op basis van beschikbare documentatie. 31% is gedeeltelijk ingevuld. Directe actie vereist voor de 5 hoog-prioritaire actiepunten (A01-A05) om aan C-niveau te voldoen.</w:t>
      </w:r>
    </w:p>
    <w:p>
      <w:pPr>
        <w:spacing w:after="80"/>
      </w:pPr>
      <w:r>
        <w:rPr>
          <w:b w:val="0"/>
          <w:i w:val="0"/>
        </w:rPr>
      </w:r>
    </w:p>
    <w:p>
      <w:pPr>
        <w:spacing w:before="40" w:after="40"/>
      </w:pPr>
      <w:r>
        <w:rPr>
          <w:color w:val="CCCCCC"/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80"/>
      </w:pPr>
      <w:r>
        <w:rPr>
          <w:b w:val="0"/>
          <w:i/>
          <w:color w:val="888888"/>
          <w:sz w:val="18"/>
        </w:rPr>
        <w:t>Compliance Toets PGS 15:2025 v1.0 — Phoenix Metals — 27 april 2026</w:t>
        <w:br/>
        <w:t>Goedgekeurd door HSEQ Manager. Herzieningsdatum: april 2027 of bij wijzigingen.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