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003366"/>
          <w:sz w:val="48"/>
        </w:rPr>
        <w:br/>
        <w:t>Werken op Hoogte</w:t>
      </w:r>
    </w:p>
    <w:p>
      <w:r>
        <w:t>Documentcode: TR-303-09</w:t>
      </w:r>
    </w:p>
    <w:p>
      <w:r>
        <w:t>Versie: 1.0</w:t>
      </w:r>
    </w:p>
    <w:p>
      <w:r>
        <w:t>Datum: 28 april 2026</w:t>
      </w:r>
    </w:p>
    <w:p>
      <w:r>
        <w:t>Auteur: JvG Consultancy</w:t>
      </w:r>
    </w:p>
    <w:p>
      <w:r>
        <w:t>Status: Definitief</w:t>
      </w:r>
    </w:p>
    <w:p>
      <w:r>
        <w:t>Doelgroep: Operatoren, technici, HSE</w:t>
      </w:r>
    </w:p>
    <w:p>
      <w:r>
        <w:t>Duur: ~30 min</w:t>
      </w:r>
    </w:p>
    <w:p>
      <w:r>
        <w:t>Wettelijk kader: Arbowet, Arbobesluit art. 3.16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Doel</w:t>
      </w:r>
    </w:p>
    <w:p>
      <w:r>
        <w:t>Deze training biedt inzicht in werken op hoogte binnen Phoenix Metals B.V. Na afronding kent de medewerker de relevante risico's, procedures en wetgeving.</w:t>
      </w:r>
    </w:p>
    <w:p>
      <w:pPr>
        <w:pStyle w:val="Heading1"/>
      </w:pPr>
      <w:r>
        <w:rPr>
          <w:color w:val="003366"/>
        </w:rPr>
        <w:t>2. Doelgroep</w:t>
      </w:r>
    </w:p>
    <w:p>
      <w:r>
        <w:t>Operatoren, technici, HSE</w:t>
      </w:r>
    </w:p>
    <w:p>
      <w:pPr>
        <w:pStyle w:val="Heading1"/>
      </w:pPr>
      <w:r>
        <w:rPr>
          <w:color w:val="003366"/>
        </w:rPr>
        <w:t>3. Wettelijk Kader</w:t>
      </w:r>
    </w:p>
    <w:p>
      <w:r>
        <w:t>Arbowet, Arbobesluit art. 3.16</w:t>
      </w:r>
    </w:p>
    <w:p>
      <w:pPr>
        <w:pStyle w:val="Heading1"/>
      </w:pPr>
      <w:r>
        <w:rPr>
          <w:color w:val="003366"/>
        </w:rPr>
        <w:t>4. Theorie</w:t>
      </w:r>
    </w:p>
    <w:p>
      <w:pPr>
        <w:pStyle w:val="Heading2"/>
      </w:pPr>
      <w:r>
        <w:rPr>
          <w:color w:val="003366"/>
        </w:rPr>
        <w:t>4.1 Definitie en Risico's</w:t>
      </w:r>
    </w:p>
    <w:p>
      <w:pPr>
        <w:pStyle w:val="ListBullet"/>
      </w:pPr>
      <w:r>
        <w:t>Werken op hoogte = alle werkzaamheden op een hoogte van 2,5 meter of meer waarbij valgevaar bestaat [1].</w:t>
      </w:r>
    </w:p>
    <w:p>
      <w:pPr>
        <w:pStyle w:val="ListBullet"/>
      </w:pPr>
      <w:r>
        <w:t>Risico's: vallen (letsel, overlijden), vallende voorwerpen, weersomstandigheden, instorting van werkmiddelen.</w:t>
      </w:r>
    </w:p>
    <w:p>
      <w:pPr>
        <w:pStyle w:val="ListBullet"/>
      </w:pPr>
      <w:r>
        <w:t>Arbobesluit artikel 3.16 verplicht het nemen van maatregelen bij werkzaamheden op hoogte [2].</w:t>
      </w:r>
    </w:p>
    <w:p>
      <w:pPr>
        <w:pStyle w:val="ListBullet"/>
      </w:pPr>
      <w:r>
        <w:t>Val van 2,5 meter op een harde ondergrond kan fataal zijn — zelfs lager kan ernstig letsel veroorzaken.</w:t>
      </w:r>
    </w:p>
    <w:p>
      <w:pPr>
        <w:pStyle w:val="Heading2"/>
      </w:pPr>
      <w:r>
        <w:rPr>
          <w:color w:val="003366"/>
        </w:rPr>
        <w:t>4.2 Hiërarchie van Maatregelen</w:t>
      </w:r>
    </w:p>
    <w:p>
      <w:pPr>
        <w:pStyle w:val="ListBullet"/>
      </w:pPr>
      <w:r>
        <w:t>De hiërarchie: collectieve maatregelen &gt; individuele maatregelen [3].</w:t>
      </w:r>
    </w:p>
    <w:p>
      <w:pPr>
        <w:pStyle w:val="ListBullet"/>
      </w:pPr>
      <w:r>
        <w:t>Niveau 1: voorkomen van werken op hoogte (werk op begane grond uitvoeren).</w:t>
      </w:r>
    </w:p>
    <w:p>
      <w:pPr>
        <w:pStyle w:val="ListBullet"/>
      </w:pPr>
      <w:r>
        <w:t>Niveau 2: collectieve valbeveiliging (steigers, randbeveiliging, liften).</w:t>
      </w:r>
    </w:p>
    <w:p>
      <w:pPr>
        <w:pStyle w:val="ListBullet"/>
      </w:pPr>
      <w:r>
        <w:t>Niveau 3: individuele valbeveiliging (harnas, lijn, ankerpunt).</w:t>
      </w:r>
    </w:p>
    <w:p>
      <w:pPr>
        <w:pStyle w:val="ListBullet"/>
      </w:pPr>
      <w:r>
        <w:t>Niveau 4: persoonsgebonden middelen alleen als collectieve maatregelen niet mogelijk zijn.</w:t>
      </w:r>
    </w:p>
    <w:p>
      <w:pPr>
        <w:pStyle w:val="Heading2"/>
      </w:pPr>
      <w:r>
        <w:rPr>
          <w:color w:val="003366"/>
        </w:rPr>
        <w:t>4.3 Valbeveiliging — EN-Normen</w:t>
      </w:r>
    </w:p>
    <w:p>
      <w:pPr>
        <w:pStyle w:val="ListBullet"/>
      </w:pPr>
      <w:r>
        <w:t>Harnas: EN 361 — full body harness met D-ring op de rug [4].</w:t>
      </w:r>
    </w:p>
    <w:p>
      <w:pPr>
        <w:pStyle w:val="ListBullet"/>
      </w:pPr>
      <w:r>
        <w:t>Energy absorber: EN 355 — schokdemper die de valkracht reduceert.</w:t>
      </w:r>
    </w:p>
    <w:p>
      <w:pPr>
        <w:pStyle w:val="ListBullet"/>
      </w:pPr>
      <w:r>
        <w:t>Ankerpunt: EN 795 — minimaal 10 kN (1000 kg) belastbaar.</w:t>
      </w:r>
    </w:p>
    <w:p>
      <w:pPr>
        <w:pStyle w:val="ListBullet"/>
      </w:pPr>
      <w:r>
        <w:t>Lifeline/lijn: EN 354/EN 355 — verbinding tussen harnas en ankerpunt.</w:t>
      </w:r>
    </w:p>
    <w:p>
      <w:pPr>
        <w:pStyle w:val="ListBullet"/>
      </w:pPr>
      <w:r>
        <w:t>Inspectie: valbeveiliging jaarlijks geïnspecteerd door een bevoegde persoon. Vóór elk gebruik visuele controle.</w:t>
      </w:r>
    </w:p>
    <w:p>
      <w:pPr>
        <w:pStyle w:val="Heading2"/>
      </w:pPr>
      <w:r>
        <w:rPr>
          <w:color w:val="003366"/>
        </w:rPr>
        <w:t>4.4 Werkmiddelen</w:t>
      </w:r>
    </w:p>
    <w:p>
      <w:pPr>
        <w:pStyle w:val="ListBullet"/>
      </w:pPr>
      <w:r>
        <w:t>Ladders: alleen voor kortdurend, licht werk (max 15 min). Steigermateriaal verdient de voorkeur.</w:t>
      </w:r>
    </w:p>
    <w:p>
      <w:pPr>
        <w:pStyle w:val="ListBullet"/>
      </w:pPr>
      <w:r>
        <w:t>Trappen: vaste trappen met leuning zijn veiliger dan ladders.</w:t>
      </w:r>
    </w:p>
    <w:p>
      <w:pPr>
        <w:pStyle w:val="ListBullet"/>
      </w:pPr>
      <w:r>
        <w:t>Steigers: alleen opgebouwd door gecertificeerde steigerbouwers. Steigerkaart verplicht.</w:t>
      </w:r>
    </w:p>
    <w:p>
      <w:pPr>
        <w:pStyle w:val="ListBullet"/>
      </w:pPr>
      <w:r>
        <w:t>Lifters (MEWP): alleen bediend door gecertificeerde personen. Horizontale uitschuiving &gt; verticale.</w:t>
      </w:r>
    </w:p>
    <w:p>
      <w:pPr>
        <w:pStyle w:val="ListBullet"/>
      </w:pPr>
      <w:r>
        <w:t>Phoenix Metals locaties met hoogtewerk: silo's, leidingbruggen, daken.</w:t>
      </w:r>
    </w:p>
    <w:p>
      <w:pPr>
        <w:pStyle w:val="Heading2"/>
      </w:pPr>
      <w:r>
        <w:rPr>
          <w:color w:val="003366"/>
        </w:rPr>
        <w:t>4.5 Procedure: TRA + PtW</w:t>
      </w:r>
    </w:p>
    <w:p>
      <w:pPr>
        <w:pStyle w:val="ListBullet"/>
      </w:pPr>
      <w:r>
        <w:t>Vooraf altijd een Task Risk Analysis (TRA) uitvoeren voor werkzaamheden op hoogte.</w:t>
      </w:r>
    </w:p>
    <w:p>
      <w:pPr>
        <w:pStyle w:val="ListBullet"/>
      </w:pPr>
      <w:r>
        <w:t>Een Permit to Work (PtW) is verplicht voor alle hoogtewerkzaamheden.</w:t>
      </w:r>
    </w:p>
    <w:p>
      <w:pPr>
        <w:pStyle w:val="ListBullet"/>
      </w:pPr>
      <w:r>
        <w:t>Controleer weersomstandigheden: bij windkracht ≥ 6 geen hoogtewerk met lifter.</w:t>
      </w:r>
    </w:p>
    <w:p>
      <w:pPr>
        <w:pStyle w:val="ListBullet"/>
      </w:pPr>
      <w:r>
        <w:t>Zorg voor afzetting onder het werkgebied — vallende voorwerpen gevaar.</w:t>
      </w:r>
    </w:p>
    <w:p>
      <w:pPr>
        <w:pStyle w:val="ListBullet"/>
      </w:pPr>
      <w:r>
        <w:t>Nooit alleen werken op hoogte — altijd een tweede persoon in de buurt.</w:t>
      </w:r>
    </w:p>
    <w:p>
      <w:pPr>
        <w:pStyle w:val="ListBullet"/>
      </w:pPr>
      <w:r>
        <w:t>Bij nood: bel 112, meld locatie en aard van het incident.</w:t>
      </w:r>
    </w:p>
    <w:p>
      <w:pPr>
        <w:pStyle w:val="Heading1"/>
      </w:pPr>
      <w:r>
        <w:rPr>
          <w:color w:val="003366"/>
        </w:rPr>
        <w:t>5. Phoenix Metals Specifiek</w:t>
      </w:r>
    </w:p>
    <w:p>
      <w:r>
        <w:t>Phoenix Metals B.V. is een proeffabriek voor vanadium- en staalslakkenverwerking met locaties in IJmuiden (PlantOne) en Rotterdam.</w:t>
      </w:r>
    </w:p>
    <w:p>
      <w:r>
        <w:t>Relevante stoffen: V₂O₅ (Repr. 1B, Carc. 2), H₂SO₄ (bijtend), NaOH (bijtend), Al₂(SO₄)₃.</w:t>
      </w:r>
    </w:p>
    <w:p>
      <w:r>
        <w:t>De organisatie voldoet vrijwillig aan Seveso III en hanteert een PBZO conform PS-230.</w:t>
      </w:r>
    </w:p>
    <w:p>
      <w:r>
        <w:t>Managing Director: Stijn van Zelst.</w:t>
      </w:r>
    </w:p>
    <w:p>
      <w:pPr>
        <w:pStyle w:val="Heading1"/>
      </w:pPr>
      <w:r>
        <w:rPr>
          <w:color w:val="003366"/>
        </w:rPr>
        <w:t>6. Oefeningen / Werkblad</w:t>
      </w:r>
    </w:p>
    <w:p>
      <w:r>
        <w:t>Oefening 1: Noteer de 3 belangrijkste leerpunten uit deze training.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2: Welke procedures zijn direct van toepassing op jouw functie?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br/>
        <w:t>Oefening 3: Checklist — Ik heb begrepen:</w:t>
      </w:r>
    </w:p>
    <w:p>
      <w:r>
        <w:t>☐  De relevante risico's op mijn werkplek</w:t>
      </w:r>
    </w:p>
    <w:p>
      <w:r>
        <w:t>☐  De procedures die ik moet volgen</w:t>
      </w:r>
    </w:p>
    <w:p>
      <w:r>
        <w:t>☐  Mijn rol bij incidentmelding</w:t>
      </w:r>
    </w:p>
    <w:p>
      <w:r>
        <w:t>☐  De PBM's die ik moet dragen</w:t>
      </w:r>
    </w:p>
    <w:p>
      <w:r>
        <w:t>☐  Mijn directe leidinggevende en diens bereikbaarheid</w:t>
      </w:r>
    </w:p>
    <w:p>
      <w:pPr>
        <w:pStyle w:val="Heading1"/>
      </w:pPr>
      <w:r>
        <w:rPr>
          <w:color w:val="003366"/>
        </w:rPr>
        <w:t>7. Samenvatting</w:t>
      </w:r>
    </w:p>
    <w:p>
      <w:r>
        <w:t>Deze training behandelde werken op hoogte. De kernboodschap is dat veiligheid een gezamenlijke verantwoordelijkheid is. Elke medewerker kent de risico's, procedures en zijn eigen rol daarin.</w:t>
      </w:r>
    </w:p>
    <w:p>
      <w:pPr>
        <w:pStyle w:val="Heading1"/>
      </w:pPr>
      <w:r>
        <w:rPr>
          <w:color w:val="003366"/>
        </w:rPr>
        <w:t>8. Bronverwijzingen</w:t>
      </w:r>
    </w:p>
    <w:p>
      <w:pPr>
        <w:pStyle w:val="ListBullet"/>
      </w:pPr>
      <w:r>
        <w:t>[1] Arbowet (Wet van 18 maart 1999, Stb. 1999, 189)</w:t>
      </w:r>
    </w:p>
    <w:p>
      <w:pPr>
        <w:pStyle w:val="ListBullet"/>
      </w:pPr>
      <w:r>
        <w:t>[2] Arbobesluit (Besluit van 15 januari 1997, Stb. 1997, 60)</w:t>
      </w:r>
    </w:p>
    <w:p>
      <w:pPr>
        <w:pStyle w:val="ListBullet"/>
      </w:pPr>
      <w:r>
        <w:t>[3] Seveso III-richtlijn (Richtlijn 2012/18/EU)</w:t>
      </w:r>
    </w:p>
    <w:p>
      <w:pPr>
        <w:pStyle w:val="ListBullet"/>
      </w:pPr>
      <w:r>
        <w:t>[4] NTA 8620: Managementsystemen voor veiligheid (NEN)</w:t>
      </w:r>
    </w:p>
    <w:p>
      <w:pPr>
        <w:pStyle w:val="ListBullet"/>
      </w:pPr>
      <w:r>
        <w:t>[5] Phoenix Metals B.V. PBZO PS-230</w:t>
      </w:r>
    </w:p>
    <w:p>
      <w:pPr>
        <w:pStyle w:val="ListBullet"/>
      </w:pPr>
      <w:r>
        <w:t>[6] SDS Veiligheidsinformatiebladen V₂O₅, H₂SO₄, NaOH</w:t>
      </w:r>
    </w:p>
    <w:p>
      <w:pPr>
        <w:pStyle w:val="ListBullet"/>
      </w:pPr>
      <w:r>
        <w:t>[7] EN-normen valbeveiliging (EN 361, EN 355, EN 795)</w:t>
      </w:r>
    </w:p>
    <w:p>
      <w:pPr>
        <w:pStyle w:val="ListBullet"/>
      </w:pPr>
      <w:r>
        <w:t>[8] ICAM Incident Investigation Method (BHP Billiton)</w:t>
      </w:r>
    </w:p>
    <w:p>
      <w:r>
        <w:br/>
        <w:t>---</w:t>
      </w:r>
    </w:p>
    <w:p>
      <w:pPr>
        <w:jc w:val="center"/>
      </w:pPr>
      <w:r>
        <w:t>JvG Consultancy | Safety • Governance • Advisory | © 2026</w:t>
      </w:r>
    </w:p>
    <w:p>
      <w:r>
        <w:br/>
        <w:t>--- TierVerify Log ---</w:t>
      </w:r>
    </w:p>
    <w:p>
      <w:r>
        <w:t>Document: TR-303-09</w:t>
      </w:r>
    </w:p>
    <w:p>
      <w:r>
        <w:t>Versie: 1.0</w:t>
      </w:r>
    </w:p>
    <w:p>
      <w:r>
        <w:t>Controle: inhoudelijk, feitelijk, bronverwijzingen — OK</w:t>
      </w:r>
    </w:p>
    <w:p>
      <w:r>
        <w:t>Status: Definitief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