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366"/>
          <w:sz w:val="48"/>
        </w:rPr>
        <w:t>Safety Observation Process</w:t>
      </w:r>
    </w:p>
    <w:p>
      <w:pPr>
        <w:jc w:val="center"/>
      </w:pPr>
      <w:r>
        <w:rPr>
          <w:sz w:val="32"/>
        </w:rPr>
        <w:t>Handleiding &amp; Werkboek</w:t>
      </w:r>
    </w:p>
    <w:p>
      <w:pPr>
        <w:jc w:val="center"/>
      </w:pPr>
      <w:r>
        <w:rPr>
          <w:sz w:val="20"/>
        </w:rPr>
        <w:t>Documentcode: TR-303-03</w:t>
        <w:br/>
        <w:t>Versie: 1.0 | Datum: 28 april 2026</w:t>
        <w:br/>
        <w:t>Auteur: JvG Consultancy</w:t>
        <w:br/>
        <w:t>Status: Definitief</w:t>
      </w:r>
    </w:p>
    <w:p>
      <w:r>
        <w:br w:type="page"/>
      </w:r>
    </w:p>
    <w:p>
      <w:pPr>
        <w:pStyle w:val="Heading1"/>
      </w:pPr>
      <w:r>
        <w:rPr>
          <w:color w:val="003366"/>
          <w:sz w:val="28"/>
        </w:rPr>
        <w:t>1. Doel</w:t>
      </w:r>
    </w:p>
    <w:p>
      <w:pPr>
        <w:spacing w:after="80"/>
      </w:pPr>
      <w:r>
        <w:t>Leren uitvoeren van safety observations: gedragsobservaties op de werkvloer met feedback, registratie en trending.</w:t>
      </w:r>
    </w:p>
    <w:p>
      <w:pPr>
        <w:pStyle w:val="Heading1"/>
      </w:pPr>
      <w:r>
        <w:rPr>
          <w:color w:val="003366"/>
          <w:sz w:val="28"/>
        </w:rPr>
        <w:t>2. Doelgroep</w:t>
      </w:r>
    </w:p>
    <w:p>
      <w:pPr>
        <w:spacing w:after="80"/>
      </w:pPr>
      <w:r>
        <w:t>MT, HSE-medewerkers, leidinggevenden.</w:t>
      </w:r>
    </w:p>
    <w:p>
      <w:pPr>
        <w:pStyle w:val="Heading1"/>
      </w:pPr>
      <w:r>
        <w:rPr>
          <w:color w:val="003366"/>
          <w:sz w:val="28"/>
        </w:rPr>
        <w:t>3. Wettelijk kader</w:t>
      </w:r>
    </w:p>
    <w:p>
      <w:pPr>
        <w:spacing w:after="80"/>
      </w:pPr>
      <w:r>
        <w:t>• Seveso III [1]</w:t>
      </w:r>
    </w:p>
    <w:p>
      <w:pPr>
        <w:spacing w:after="80"/>
      </w:pPr>
      <w:r>
        <w:t>• ISO 45001 clausule 9.1 [2]</w:t>
      </w:r>
    </w:p>
    <w:p>
      <w:pPr>
        <w:pStyle w:val="Heading1"/>
      </w:pPr>
      <w:r>
        <w:rPr>
          <w:color w:val="003366"/>
          <w:sz w:val="28"/>
        </w:rPr>
        <w:t>4. Theorie: Safety Observation</w:t>
      </w:r>
    </w:p>
    <w:p>
      <w:pPr>
        <w:spacing w:after="80"/>
      </w:pPr>
      <w:r>
        <w:t>4.1 Wat is het?</w:t>
      </w:r>
    </w:p>
    <w:p>
      <w:pPr>
        <w:spacing w:after="80"/>
      </w:pPr>
      <w:r>
        <w:t>Gedragsobservatie = gesprek, geen inspectie. No-blame cultuur. KPI MO-230-01.</w:t>
      </w:r>
    </w:p>
    <w:p>
      <w:pPr>
        <w:spacing w:after="80"/>
      </w:pPr>
    </w:p>
    <w:p>
      <w:pPr>
        <w:spacing w:after="80"/>
      </w:pPr>
      <w:r>
        <w:t>4.2 Unsafe Act vs Unsafe Condition</w:t>
      </w:r>
    </w:p>
    <w:p>
      <w:pPr>
        <w:spacing w:after="80"/>
      </w:pPr>
      <w:r>
        <w:t>Unsafe Act = gedrag (geen PBM, LOTO overslaan). Unsafe Condition = situatie (lekkage, ontbrekende afscherming).</w:t>
      </w:r>
    </w:p>
    <w:p>
      <w:pPr>
        <w:spacing w:after="80"/>
      </w:pPr>
    </w:p>
    <w:p>
      <w:pPr>
        <w:spacing w:after="80"/>
      </w:pPr>
      <w:r>
        <w:t>4.3 STOP-look-think-act</w:t>
      </w:r>
    </w:p>
    <w:p>
      <w:pPr>
        <w:spacing w:after="80"/>
      </w:pPr>
      <w:r>
        <w:t>STOP: bewust observeren. LOOK: wat zie je? THINK: is het veilig? ACT: in gesprek gaan.</w:t>
      </w:r>
    </w:p>
    <w:p>
      <w:pPr>
        <w:spacing w:after="80"/>
      </w:pPr>
    </w:p>
    <w:p>
      <w:pPr>
        <w:spacing w:after="80"/>
      </w:pPr>
      <w:r>
        <w:t>4.4 Feedback geven</w:t>
      </w:r>
    </w:p>
    <w:p>
      <w:pPr>
        <w:spacing w:after="80"/>
      </w:pPr>
      <w:r>
        <w:t>Positief: benoem wat goed gaat. Corrigerend: vraag i.p.v. vertel. Luister. Samen oplossing.</w:t>
      </w:r>
    </w:p>
    <w:p>
      <w:pPr>
        <w:spacing w:after="80"/>
      </w:pPr>
    </w:p>
    <w:p>
      <w:pPr>
        <w:spacing w:after="80"/>
      </w:pPr>
      <w:r>
        <w:t>4.5 Registratie en trending</w:t>
      </w:r>
    </w:p>
    <w:p>
      <w:pPr>
        <w:spacing w:after="80"/>
      </w:pPr>
      <w:r>
        <w:t>Observatieformulier. Wekelijkse analyse. Thema's identificeren. Acties toewijzen.</w:t>
      </w:r>
    </w:p>
    <w:p>
      <w:pPr>
        <w:spacing w:after="80"/>
      </w:pPr>
    </w:p>
    <w:p>
      <w:pPr>
        <w:spacing w:after="80"/>
      </w:pPr>
      <w:r>
        <w:t>4.6 Cultuur</w:t>
      </w:r>
    </w:p>
    <w:p>
      <w:pPr>
        <w:spacing w:after="80"/>
      </w:pPr>
      <w:r>
        <w:t>No-blame. Fouten = systeemfouten. Leerervaringen delen.</w:t>
      </w:r>
    </w:p>
    <w:p>
      <w:pPr>
        <w:pStyle w:val="Heading1"/>
      </w:pPr>
      <w:r>
        <w:rPr>
          <w:color w:val="003366"/>
          <w:sz w:val="28"/>
        </w:rPr>
        <w:t>5. Phoenix Metals Specifiek</w:t>
      </w:r>
    </w:p>
    <w:p>
      <w:pPr>
        <w:spacing w:after="80"/>
      </w:pPr>
      <w:r>
        <w:t>• Minimaal 1 observatie per week per leidinggevende</w:t>
      </w:r>
    </w:p>
    <w:p>
      <w:pPr>
        <w:spacing w:after="80"/>
      </w:pPr>
      <w:r>
        <w:t>• Koppeling aan KPI MO-230-01</w:t>
      </w:r>
    </w:p>
    <w:p>
      <w:pPr>
        <w:spacing w:after="80"/>
      </w:pPr>
      <w:r>
        <w:t>• Resultaten in HSE-overleg en MT</w:t>
      </w:r>
    </w:p>
    <w:p>
      <w:pPr>
        <w:spacing w:after="80"/>
      </w:pPr>
      <w:r>
        <w:t>• Praktijkoefening met video</w:t>
      </w:r>
    </w:p>
    <w:p>
      <w:pPr>
        <w:pStyle w:val="Heading1"/>
      </w:pPr>
      <w:r>
        <w:rPr>
          <w:color w:val="003366"/>
          <w:sz w:val="28"/>
        </w:rPr>
        <w:t>6. Oefeningen / Werkblad</w:t>
      </w:r>
    </w:p>
    <w:p>
      <w:pPr>
        <w:spacing w:after="80"/>
      </w:pPr>
      <w:r>
        <w:t>Oefening 1: Observeer een video en noteer bevindingen</w:t>
      </w:r>
    </w:p>
    <w:p>
      <w:pPr>
        <w:spacing w:after="80"/>
      </w:pPr>
      <w:r>
        <w:t>Oefening 2: Oefen feedback geven op 3 scenario's</w:t>
      </w:r>
    </w:p>
    <w:p>
      <w:pPr>
        <w:spacing w:after="80"/>
      </w:pPr>
      <w:r>
        <w:t>Oefening 3: Registreer een observatie in het formulier</w:t>
      </w:r>
    </w:p>
    <w:p>
      <w:pPr>
        <w:pStyle w:val="Heading1"/>
      </w:pPr>
      <w:r>
        <w:rPr>
          <w:color w:val="003366"/>
          <w:sz w:val="28"/>
        </w:rPr>
        <w:t>7. Samenvatting</w:t>
      </w:r>
    </w:p>
    <w:p>
      <w:pPr>
        <w:spacing w:after="80"/>
      </w:pPr>
      <w:r>
        <w:t>• Observatie = gesprek, geen controle</w:t>
      </w:r>
    </w:p>
    <w:p>
      <w:pPr>
        <w:spacing w:after="80"/>
      </w:pPr>
      <w:r>
        <w:t>• STOP-look-think-act techniek</w:t>
      </w:r>
    </w:p>
    <w:p>
      <w:pPr>
        <w:spacing w:after="80"/>
      </w:pPr>
      <w:r>
        <w:t>• Positief + corrigerend feedback</w:t>
      </w:r>
    </w:p>
    <w:p>
      <w:pPr>
        <w:spacing w:after="80"/>
      </w:pPr>
      <w:r>
        <w:t>• No-blame cultuur</w:t>
      </w:r>
    </w:p>
    <w:p>
      <w:pPr>
        <w:spacing w:after="80"/>
      </w:pPr>
      <w:r>
        <w:t>• Trending en analyse koppelen aan KPI's</w:t>
      </w:r>
    </w:p>
    <w:p>
      <w:pPr>
        <w:pStyle w:val="Heading1"/>
      </w:pPr>
      <w:r>
        <w:rPr>
          <w:color w:val="003366"/>
          <w:sz w:val="28"/>
        </w:rPr>
        <w:t>8. Bronverwijzingen</w:t>
      </w:r>
    </w:p>
    <w:p>
      <w:pPr>
        <w:spacing w:after="80"/>
      </w:pPr>
      <w:r>
        <w:t>[1] Seveso III richtlijn</w:t>
      </w:r>
    </w:p>
    <w:p>
      <w:pPr>
        <w:spacing w:after="80"/>
      </w:pPr>
      <w:r>
        <w:t>[2] ISO 45001 clausule 9.1</w:t>
      </w:r>
    </w:p>
    <w:p>
      <w:pPr>
        <w:spacing w:after="80"/>
      </w:pPr>
    </w:p>
    <w:p>
      <w:pPr>
        <w:spacing w:after="80"/>
      </w:pPr>
      <w:r>
        <w:t>TierVerify: ☐ Bronnen geverifieerd ☐ 28-04-2026 ☐ GEVERIFIEERD</w:t>
      </w:r>
    </w:p>
    <w:p>
      <w:r>
        <w:br w:type="page"/>
      </w:r>
    </w:p>
    <w:p>
      <w:pPr>
        <w:pStyle w:val="Heading1"/>
      </w:pPr>
      <w:r>
        <w:rPr>
          <w:color w:val="003366"/>
        </w:rPr>
        <w:t>Werkboek - Notities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© 2026 JvG Consultancy | PM_EL_T13_Safety_Observation_Process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JvG Consultancy | Safety • Governance • Advisory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