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8"/>
        </w:rPr>
        <w:t>REACH/CLP Bewustzijn</w:t>
      </w:r>
    </w:p>
    <w:p>
      <w:pPr>
        <w:jc w:val="center"/>
      </w:pPr>
      <w:r>
        <w:rPr>
          <w:sz w:val="32"/>
        </w:rPr>
        <w:t>Handleiding &amp; Werkboek</w:t>
      </w:r>
    </w:p>
    <w:p>
      <w:pPr>
        <w:jc w:val="center"/>
      </w:pPr>
      <w:r>
        <w:rPr>
          <w:sz w:val="20"/>
        </w:rPr>
        <w:t>Documentcode: TR-302-06</w:t>
        <w:br/>
        <w:t>Versie: 1.0 | Datum: 28 april 2026</w:t>
        <w:br/>
        <w:t>Auteur: JvG Consultancy</w:t>
        <w:br/>
        <w:t>Status: Definitief</w:t>
      </w:r>
    </w:p>
    <w:p>
      <w:r>
        <w:br w:type="page"/>
      </w:r>
    </w:p>
    <w:p>
      <w:pPr>
        <w:pStyle w:val="Heading1"/>
      </w:pPr>
      <w:r>
        <w:rPr>
          <w:color w:val="003366"/>
          <w:sz w:val="28"/>
        </w:rPr>
        <w:t>1. Doel</w:t>
      </w:r>
    </w:p>
    <w:p>
      <w:pPr>
        <w:spacing w:after="80"/>
      </w:pPr>
      <w:r>
        <w:t>Begrip van REACH- en CLP-verordeningen, GHS-pictogrammen, H/P-zinnen, en de specifieke REACH/CLP status van stoffen bij Phoenix Metals.</w:t>
      </w:r>
    </w:p>
    <w:p>
      <w:pPr>
        <w:pStyle w:val="Heading1"/>
      </w:pPr>
      <w:r>
        <w:rPr>
          <w:color w:val="003366"/>
          <w:sz w:val="28"/>
        </w:rPr>
        <w:t>2. Doelgroep</w:t>
      </w:r>
    </w:p>
    <w:p>
      <w:pPr>
        <w:spacing w:after="80"/>
      </w:pPr>
      <w:r>
        <w:t>Alle medewerkers. M-niveau voor werkvloer, O-niveau voor kantoor.</w:t>
      </w:r>
    </w:p>
    <w:p>
      <w:pPr>
        <w:pStyle w:val="Heading1"/>
      </w:pPr>
      <w:r>
        <w:rPr>
          <w:color w:val="003366"/>
          <w:sz w:val="28"/>
        </w:rPr>
        <w:t>3. Wettelijk kader</w:t>
      </w:r>
    </w:p>
    <w:p>
      <w:pPr>
        <w:spacing w:after="80"/>
      </w:pPr>
      <w:r>
        <w:t>• REACH (EG) 1907/2006 [1]</w:t>
      </w:r>
    </w:p>
    <w:p>
      <w:pPr>
        <w:spacing w:after="80"/>
      </w:pPr>
      <w:r>
        <w:t>• CLP (EG) 1272/2008 [2]</w:t>
      </w:r>
    </w:p>
    <w:p>
      <w:pPr>
        <w:pStyle w:val="Heading1"/>
      </w:pPr>
      <w:r>
        <w:rPr>
          <w:color w:val="003366"/>
          <w:sz w:val="28"/>
        </w:rPr>
        <w:t>4. Theorie: REACH en CLP</w:t>
      </w:r>
    </w:p>
    <w:p>
      <w:pPr>
        <w:spacing w:after="80"/>
      </w:pPr>
      <w:r>
        <w:t>4.1 REACH</w:t>
      </w:r>
    </w:p>
    <w:p>
      <w:pPr>
        <w:spacing w:after="80"/>
      </w:pPr>
      <w:r>
        <w:t>Registration, Evaluation, Authorisation and restriction of Chemicals. Producenten/importeurs registreren stoffen. Evaluatie door overheid. Autorisatie voor zeer zorgwekkende stoffen [1].</w:t>
      </w:r>
    </w:p>
    <w:p>
      <w:pPr>
        <w:spacing w:after="80"/>
      </w:pPr>
    </w:p>
    <w:p>
      <w:pPr>
        <w:spacing w:after="80"/>
      </w:pPr>
      <w:r>
        <w:t>4.2 CLP</w:t>
      </w:r>
    </w:p>
    <w:p>
      <w:pPr>
        <w:spacing w:after="80"/>
      </w:pPr>
      <w:r>
        <w:t>Classification, Labelling and Packaging. Implementeert GHS in EU. 9 pictogrammen, H-zinnen (gevaren), P-zinnen (voorzorg) [2].</w:t>
      </w:r>
    </w:p>
    <w:p>
      <w:pPr>
        <w:spacing w:after="80"/>
      </w:pPr>
    </w:p>
    <w:p>
      <w:pPr>
        <w:spacing w:after="80"/>
      </w:pPr>
      <w:r>
        <w:t>4.3 9 GHS-pictogrammen</w:t>
      </w:r>
    </w:p>
    <w:p>
      <w:pPr>
        <w:spacing w:after="80"/>
      </w:pPr>
      <w:r>
        <w:t>GHS01 explosief, GHS02 brandbaar, GHS03 oxiderend, GHS04 gas onder druk, GHS05 corrosief, GHS06 acuut giftig, GHS07 gezondheidsgevaar, GHS08 ernstig gezondheidsgevaar, GHS09 milieugevaar.</w:t>
      </w:r>
    </w:p>
    <w:p>
      <w:pPr>
        <w:spacing w:after="80"/>
      </w:pPr>
    </w:p>
    <w:p>
      <w:pPr>
        <w:spacing w:after="80"/>
      </w:pPr>
      <w:r>
        <w:t>4.4 H-zinnen en P-zinnen</w:t>
      </w:r>
    </w:p>
    <w:p>
      <w:pPr>
        <w:spacing w:after="80"/>
      </w:pPr>
      <w:r>
        <w:t>H-zin = gevaarbeschrijving. P-zin = voorzorgsmaatregel. Bijv. H330 (dodelijk bij inademing), P260 (stof niet inademen).</w:t>
      </w:r>
    </w:p>
    <w:p>
      <w:pPr>
        <w:spacing w:after="80"/>
      </w:pPr>
    </w:p>
    <w:p>
      <w:pPr>
        <w:spacing w:after="80"/>
      </w:pPr>
      <w:r>
        <w:t>4.5 SDS-structuur</w:t>
      </w:r>
    </w:p>
    <w:p>
      <w:pPr>
        <w:spacing w:after="80"/>
      </w:pPr>
      <w:r>
        <w:t>16 verplichte secties. Sectie 2: gevaren. Sectie 7: hantering. Sectie 8: PBM's.</w:t>
      </w:r>
    </w:p>
    <w:p>
      <w:pPr>
        <w:spacing w:after="80"/>
      </w:pPr>
    </w:p>
    <w:p>
      <w:pPr>
        <w:spacing w:after="80"/>
      </w:pPr>
      <w:r>
        <w:t>4.6 Rollen</w:t>
      </w:r>
    </w:p>
    <w:p>
      <w:pPr>
        <w:spacing w:after="80"/>
      </w:pPr>
      <w:r>
        <w:t>Werkgever: SDS beschikbaar, instructie. Werknemer: SDS raadplegen, instructies opvolgen.</w:t>
      </w:r>
    </w:p>
    <w:p>
      <w:pPr>
        <w:pStyle w:val="Heading1"/>
      </w:pPr>
      <w:r>
        <w:rPr>
          <w:color w:val="003366"/>
          <w:sz w:val="28"/>
        </w:rPr>
        <w:t>5. Phoenix Metals Specifiek</w:t>
      </w:r>
    </w:p>
    <w:p>
      <w:pPr>
        <w:spacing w:after="80"/>
      </w:pPr>
      <w:r>
        <w:t>• V₂O₅: Candidate List (SVHC), Repr. 1B, Carc. 2</w:t>
      </w:r>
    </w:p>
    <w:p>
      <w:pPr>
        <w:spacing w:after="80"/>
      </w:pPr>
      <w:r>
        <w:t>• H₂SO₄: bijtend (H314), geen SVHC</w:t>
      </w:r>
    </w:p>
    <w:p>
      <w:pPr>
        <w:spacing w:after="80"/>
      </w:pPr>
      <w:r>
        <w:t>• NaOH: bijtend (H314), geen SVHC</w:t>
      </w:r>
    </w:p>
    <w:p>
      <w:pPr>
        <w:spacing w:after="80"/>
      </w:pPr>
      <w:r>
        <w:t>• Al₂(SO₄)₃: laag gevaarprofiel</w:t>
      </w:r>
    </w:p>
    <w:p>
      <w:pPr>
        <w:spacing w:after="80"/>
      </w:pPr>
      <w:r>
        <w:t>• PVDO-meldingen bij vrijkomen gevaarlijke stoffen</w:t>
      </w:r>
    </w:p>
    <w:p>
      <w:pPr>
        <w:spacing w:after="80"/>
      </w:pPr>
      <w:r>
        <w:t>• SDS op SharePoint en in productie</w:t>
      </w:r>
    </w:p>
    <w:p>
      <w:pPr>
        <w:pStyle w:val="Heading1"/>
      </w:pPr>
      <w:r>
        <w:rPr>
          <w:color w:val="003366"/>
          <w:sz w:val="28"/>
        </w:rPr>
        <w:t>6. Oefeningen / Werkblad</w:t>
      </w:r>
    </w:p>
    <w:p>
      <w:pPr>
        <w:spacing w:after="80"/>
      </w:pPr>
      <w:r>
        <w:t>Oefening 1: Identificeer GHS-pictogrammen op 5 etiketten</w:t>
      </w:r>
    </w:p>
    <w:p>
      <w:pPr>
        <w:spacing w:after="80"/>
      </w:pPr>
      <w:r>
        <w:t>Oefening 2: Lees H/P-zinnen van V₂O₅ SDS</w:t>
      </w:r>
    </w:p>
    <w:p>
      <w:pPr>
        <w:spacing w:after="80"/>
      </w:pPr>
      <w:r>
        <w:t>Oefening 3: Beoordeel CLP-classificatie van PM-stoffen</w:t>
      </w:r>
    </w:p>
    <w:p>
      <w:pPr>
        <w:pStyle w:val="Heading1"/>
      </w:pPr>
      <w:r>
        <w:rPr>
          <w:color w:val="003366"/>
          <w:sz w:val="28"/>
        </w:rPr>
        <w:t>7. Samenvatting</w:t>
      </w:r>
    </w:p>
    <w:p>
      <w:pPr>
        <w:spacing w:after="80"/>
      </w:pPr>
      <w:r>
        <w:t>• REACH = registratie/evaluatie/autorisatie chemicaliën</w:t>
      </w:r>
    </w:p>
    <w:p>
      <w:pPr>
        <w:spacing w:after="80"/>
      </w:pPr>
      <w:r>
        <w:t>• CLP = classificatie/etikettering/verpakking (GHS)</w:t>
      </w:r>
    </w:p>
    <w:p>
      <w:pPr>
        <w:spacing w:after="80"/>
      </w:pPr>
      <w:r>
        <w:t>• 9 GHS-pictogrammen, H-zinnen, P-zinnen</w:t>
      </w:r>
    </w:p>
    <w:p>
      <w:pPr>
        <w:spacing w:after="80"/>
      </w:pPr>
      <w:r>
        <w:t>• V₂O₅ = SVHC (Candidate List)</w:t>
      </w:r>
    </w:p>
    <w:p>
      <w:pPr>
        <w:spacing w:after="80"/>
      </w:pPr>
      <w:r>
        <w:t>• SDS altijd raadplegen voor werk met gevaarlijke stoffen</w:t>
      </w:r>
    </w:p>
    <w:p>
      <w:pPr>
        <w:pStyle w:val="Heading1"/>
      </w:pPr>
      <w:r>
        <w:rPr>
          <w:color w:val="003366"/>
          <w:sz w:val="28"/>
        </w:rPr>
        <w:t>8. Bronverwijzingen</w:t>
      </w:r>
    </w:p>
    <w:p>
      <w:pPr>
        <w:spacing w:after="80"/>
      </w:pPr>
      <w:r>
        <w:t>[1] REACH (EG) 1907/2006</w:t>
      </w:r>
    </w:p>
    <w:p>
      <w:pPr>
        <w:spacing w:after="80"/>
      </w:pPr>
      <w:r>
        <w:t>[2] CLP (EG) 1272/2008</w:t>
      </w:r>
    </w:p>
    <w:p>
      <w:pPr>
        <w:spacing w:after="80"/>
      </w:pPr>
    </w:p>
    <w:p>
      <w:pPr>
        <w:spacing w:after="80"/>
      </w:pPr>
      <w:r>
        <w:t>TierVerify: ☐ Bronnen geverifieerd ☐ 28-04-2026 ☐ GEVERIFIEERD</w:t>
      </w:r>
    </w:p>
    <w:p>
      <w:r>
        <w:br w:type="page"/>
      </w:r>
    </w:p>
    <w:p>
      <w:pPr>
        <w:pStyle w:val="Heading1"/>
      </w:pPr>
      <w:r>
        <w:rPr>
          <w:color w:val="003366"/>
        </w:rPr>
        <w:t>Werkboek - Notities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© 2026 JvG Consultancy | PM_EL_T10_REACH_CLP_Bewustzijn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JvG Consultancy | Safety • Governance • Advisory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