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366"/>
          <w:sz w:val="48"/>
        </w:rPr>
        <w:t>Statische Elektriciteit</w:t>
      </w:r>
    </w:p>
    <w:p>
      <w:pPr>
        <w:jc w:val="center"/>
      </w:pPr>
      <w:r>
        <w:rPr>
          <w:sz w:val="32"/>
        </w:rPr>
        <w:t>Handleiding &amp; Werkboek</w:t>
      </w:r>
    </w:p>
    <w:p>
      <w:pPr>
        <w:jc w:val="center"/>
      </w:pPr>
      <w:r>
        <w:rPr>
          <w:sz w:val="20"/>
        </w:rPr>
        <w:t>Documentcode: TR-302-04</w:t>
        <w:br/>
        <w:t>Versie: 1.0 | Datum: 28 april 2026</w:t>
        <w:br/>
        <w:t>Auteur: JvG Consultancy</w:t>
        <w:br/>
        <w:t>Status: Definitief</w:t>
      </w:r>
    </w:p>
    <w:p>
      <w:r>
        <w:br w:type="page"/>
      </w:r>
    </w:p>
    <w:p>
      <w:pPr>
        <w:pStyle w:val="Heading1"/>
      </w:pPr>
      <w:r>
        <w:rPr>
          <w:color w:val="003366"/>
          <w:sz w:val="28"/>
        </w:rPr>
        <w:t>1. Doel</w:t>
      </w:r>
    </w:p>
    <w:p>
      <w:pPr>
        <w:spacing w:after="80"/>
      </w:pPr>
      <w:r>
        <w:t>Inzicht in gevaren van statische elektriciteit, risico's bij Phoenix Metals, en maatregelen ter voorkoming van vonkvorming en stofexplosies [1].</w:t>
      </w:r>
    </w:p>
    <w:p>
      <w:pPr>
        <w:pStyle w:val="Heading1"/>
      </w:pPr>
      <w:r>
        <w:rPr>
          <w:color w:val="003366"/>
          <w:sz w:val="28"/>
        </w:rPr>
        <w:t>2. Doelgroep</w:t>
      </w:r>
    </w:p>
    <w:p>
      <w:pPr>
        <w:spacing w:after="80"/>
      </w:pPr>
      <w:r>
        <w:t>Operatoren, technici, HSE-medewerkers. Niet: Office Staff.</w:t>
      </w:r>
    </w:p>
    <w:p>
      <w:pPr>
        <w:pStyle w:val="Heading1"/>
      </w:pPr>
      <w:r>
        <w:rPr>
          <w:color w:val="003366"/>
          <w:sz w:val="28"/>
        </w:rPr>
        <w:t>3. Wettelijk kader</w:t>
      </w:r>
    </w:p>
    <w:p>
      <w:pPr>
        <w:spacing w:after="80"/>
      </w:pPr>
      <w:r>
        <w:t>• ATEX 1999/92/EG (veilig gebruik explosieve atmosferen) [1]</w:t>
      </w:r>
    </w:p>
    <w:p>
      <w:pPr>
        <w:spacing w:after="80"/>
      </w:pPr>
      <w:r>
        <w:t>• ATEX 2014/34/EU (apparatuur) [2]</w:t>
      </w:r>
    </w:p>
    <w:p>
      <w:pPr>
        <w:spacing w:after="80"/>
      </w:pPr>
      <w:r>
        <w:t>• Arbowet art. 5 [3]</w:t>
      </w:r>
    </w:p>
    <w:p>
      <w:pPr>
        <w:spacing w:after="80"/>
      </w:pPr>
      <w:r>
        <w:t>• NEN-EN 1127-1</w:t>
      </w:r>
    </w:p>
    <w:p>
      <w:pPr>
        <w:pStyle w:val="Heading1"/>
      </w:pPr>
      <w:r>
        <w:rPr>
          <w:color w:val="003366"/>
          <w:sz w:val="28"/>
        </w:rPr>
        <w:t>4. Theorie</w:t>
      </w:r>
    </w:p>
    <w:p>
      <w:pPr>
        <w:spacing w:after="80"/>
      </w:pPr>
      <w:r>
        <w:t>4.1 Wat is statische elektriciteit?</w:t>
      </w:r>
    </w:p>
    <w:p>
      <w:pPr>
        <w:spacing w:after="80"/>
      </w:pPr>
      <w:r>
        <w:t>Onbalans tussen ladingen op materiaaloppervlakken door wrijving, scheiding of inductie [1].</w:t>
      </w:r>
    </w:p>
    <w:p>
      <w:pPr>
        <w:spacing w:after="80"/>
      </w:pPr>
    </w:p>
    <w:p>
      <w:pPr>
        <w:spacing w:after="80"/>
      </w:pPr>
      <w:r>
        <w:t>4.2 Hoe ontstaat het?</w:t>
      </w:r>
    </w:p>
    <w:p>
      <w:pPr>
        <w:spacing w:after="80"/>
      </w:pPr>
      <w:r>
        <w:t>• Wrijving tussen materialen (transportbanden, leidingen)</w:t>
      </w:r>
    </w:p>
    <w:p>
      <w:pPr>
        <w:spacing w:after="80"/>
      </w:pPr>
      <w:r>
        <w:t>• Scheiding van materialen (bigbag legen)</w:t>
      </w:r>
    </w:p>
    <w:p>
      <w:pPr>
        <w:spacing w:after="80"/>
      </w:pPr>
      <w:r>
        <w:t>• Stroming van niet-geleidende poeders door leidingen</w:t>
      </w:r>
    </w:p>
    <w:p>
      <w:pPr>
        <w:spacing w:after="80"/>
      </w:pPr>
    </w:p>
    <w:p>
      <w:pPr>
        <w:spacing w:after="80"/>
      </w:pPr>
      <w:r>
        <w:t>4.3 Gevaren</w:t>
      </w:r>
    </w:p>
    <w:p>
      <w:pPr>
        <w:spacing w:after="80"/>
      </w:pPr>
      <w:r>
        <w:t>• Vonkvorming als ontstekingsbron</w:t>
      </w:r>
    </w:p>
    <w:p>
      <w:pPr>
        <w:spacing w:after="80"/>
      </w:pPr>
      <w:r>
        <w:t>• Stofexplosierisico (MIE 1-100 mJ)</w:t>
      </w:r>
    </w:p>
    <w:p>
      <w:pPr>
        <w:spacing w:after="80"/>
      </w:pPr>
      <w:r>
        <w:t>• Schokken bij personeel → valrisico</w:t>
      </w:r>
    </w:p>
    <w:p>
      <w:pPr>
        <w:spacing w:after="80"/>
      </w:pPr>
    </w:p>
    <w:p>
      <w:pPr>
        <w:spacing w:after="80"/>
      </w:pPr>
      <w:r>
        <w:t>4.4 Vonkenergie</w:t>
      </w:r>
    </w:p>
    <w:p>
      <w:pPr>
        <w:spacing w:after="80"/>
      </w:pPr>
      <w:r>
        <w:t>Statische ontlading: 0.1-10 mJ, voldoende voor veel stofexplosies [3].</w:t>
      </w:r>
    </w:p>
    <w:p>
      <w:pPr>
        <w:spacing w:after="80"/>
      </w:pPr>
    </w:p>
    <w:p>
      <w:pPr>
        <w:spacing w:after="80"/>
      </w:pPr>
      <w:r>
        <w:t>4.5 Aarding en equipotentieel</w:t>
      </w:r>
    </w:p>
    <w:p>
      <w:pPr>
        <w:spacing w:after="80"/>
      </w:pPr>
      <w:r>
        <w:t>Alle geleidende delen aarden (&lt; 10 Ω). Equipotentiële verbindingen voorkomen potentiaalverschillen [4].</w:t>
      </w:r>
    </w:p>
    <w:p>
      <w:pPr>
        <w:spacing w:after="80"/>
      </w:pPr>
    </w:p>
    <w:p>
      <w:pPr>
        <w:spacing w:after="80"/>
      </w:pPr>
      <w:r>
        <w:t>4.6 Antistatische kleding</w:t>
      </w:r>
    </w:p>
    <w:p>
      <w:pPr>
        <w:spacing w:after="80"/>
      </w:pPr>
      <w:r>
        <w:t>• Antistatische schoenen (100 kΩ - 100 MΩ)</w:t>
      </w:r>
    </w:p>
    <w:p>
      <w:pPr>
        <w:spacing w:after="80"/>
      </w:pPr>
      <w:r>
        <w:t>• Katoenen/antistatische werkkleding</w:t>
      </w:r>
    </w:p>
    <w:p>
      <w:pPr>
        <w:spacing w:after="80"/>
      </w:pPr>
      <w:r>
        <w:t>• Geen synthetische materialen</w:t>
      </w:r>
    </w:p>
    <w:p>
      <w:pPr>
        <w:spacing w:after="80"/>
      </w:pPr>
    </w:p>
    <w:p>
      <w:pPr>
        <w:spacing w:after="80"/>
      </w:pPr>
      <w:r>
        <w:t>4.7 ATEX-apparatuur</w:t>
      </w:r>
    </w:p>
    <w:p>
      <w:pPr>
        <w:spacing w:after="80"/>
      </w:pPr>
      <w:r>
        <w:t>Ex-gemarkeerde apparatuur in ATEX-zones, conform 2014/34/EU [5].</w:t>
      </w:r>
    </w:p>
    <w:p>
      <w:pPr>
        <w:spacing w:after="80"/>
      </w:pPr>
    </w:p>
    <w:p>
      <w:pPr>
        <w:spacing w:after="80"/>
      </w:pPr>
      <w:r>
        <w:t>4.8 Bindingscontrole</w:t>
      </w:r>
    </w:p>
    <w:p>
      <w:pPr>
        <w:spacing w:after="80"/>
      </w:pPr>
      <w:r>
        <w:t>Aardingsweerstand controleren met bindingsmeter, max 10 Ω [4].</w:t>
      </w:r>
    </w:p>
    <w:p>
      <w:pPr>
        <w:pStyle w:val="Heading1"/>
      </w:pPr>
      <w:r>
        <w:rPr>
          <w:color w:val="003366"/>
          <w:sz w:val="28"/>
        </w:rPr>
        <w:t>5. Phoenix Metals Specifiek</w:t>
      </w:r>
    </w:p>
    <w:p>
      <w:pPr>
        <w:spacing w:after="80"/>
      </w:pPr>
      <w:r>
        <w:t>• V₂O₅-poedertransport → tribo-elektrische lading</w:t>
      </w:r>
    </w:p>
    <w:p>
      <w:pPr>
        <w:spacing w:after="80"/>
      </w:pPr>
      <w:r>
        <w:t>• Stofvorming bij overladen bigbags/silo's</w:t>
      </w:r>
    </w:p>
    <w:p>
      <w:pPr>
        <w:spacing w:after="80"/>
      </w:pPr>
      <w:r>
        <w:t>• Antistatische bigbags Type C verplicht</w:t>
      </w:r>
    </w:p>
    <w:p>
      <w:pPr>
        <w:spacing w:after="80"/>
      </w:pPr>
      <w:r>
        <w:t>• Alle systemen geaard + equipotentieel</w:t>
      </w:r>
    </w:p>
    <w:p>
      <w:pPr>
        <w:spacing w:after="80"/>
      </w:pPr>
      <w:r>
        <w:t>• Bindingscontrole elke shift door HSE Supervisor</w:t>
      </w:r>
    </w:p>
    <w:p>
      <w:pPr>
        <w:spacing w:after="80"/>
      </w:pPr>
      <w:r>
        <w:t>• Locaties: PlantOne IJmuiden, Rotterdam</w:t>
      </w:r>
    </w:p>
    <w:p>
      <w:pPr>
        <w:pStyle w:val="Heading1"/>
      </w:pPr>
      <w:r>
        <w:rPr>
          <w:color w:val="003366"/>
          <w:sz w:val="28"/>
        </w:rPr>
        <w:t>6. Oefeningen / Werkblad</w:t>
      </w:r>
    </w:p>
    <w:p>
      <w:pPr>
        <w:spacing w:after="80"/>
      </w:pPr>
      <w:r>
        <w:t>Oefening 1: Identificeer statische risico's op de werkvloer</w:t>
      </w:r>
    </w:p>
    <w:p>
      <w:pPr>
        <w:spacing w:after="80"/>
      </w:pPr>
      <w:r>
        <w:t>Oefening 2: Voer bindingscontrole uit en documenteer</w:t>
      </w:r>
    </w:p>
    <w:p>
      <w:pPr>
        <w:spacing w:after="80"/>
      </w:pPr>
      <w:r>
        <w:t>Oefening 3: Beoordeel PBM's voor V₂O₅-werk</w:t>
      </w:r>
    </w:p>
    <w:p>
      <w:pPr>
        <w:spacing w:after="80"/>
      </w:pPr>
    </w:p>
    <w:p>
      <w:pPr>
        <w:spacing w:after="80"/>
      </w:pPr>
      <w:r>
        <w:t>Checklist:</w:t>
      </w:r>
    </w:p>
    <w:p>
      <w:pPr>
        <w:spacing w:after="80"/>
      </w:pPr>
      <w:r>
        <w:t>☐ Aarding gecontroleerd</w:t>
      </w:r>
    </w:p>
    <w:p>
      <w:pPr>
        <w:spacing w:after="80"/>
      </w:pPr>
      <w:r>
        <w:t>☐ Equipotentiële verbindingen intact</w:t>
      </w:r>
    </w:p>
    <w:p>
      <w:pPr>
        <w:spacing w:after="80"/>
      </w:pPr>
      <w:r>
        <w:t>☐ Antistatische kleding gedragen</w:t>
      </w:r>
    </w:p>
    <w:p>
      <w:pPr>
        <w:spacing w:after="80"/>
      </w:pPr>
      <w:r>
        <w:t>☐ ATEX-apparatuur in zones</w:t>
      </w:r>
    </w:p>
    <w:p>
      <w:pPr>
        <w:spacing w:after="80"/>
      </w:pPr>
      <w:r>
        <w:t>☐ Bindingscontrole gedocumenteerd</w:t>
      </w:r>
    </w:p>
    <w:p>
      <w:pPr>
        <w:pStyle w:val="Heading1"/>
      </w:pPr>
      <w:r>
        <w:rPr>
          <w:color w:val="003366"/>
          <w:sz w:val="28"/>
        </w:rPr>
        <w:t>7. Samenvatting</w:t>
      </w:r>
    </w:p>
    <w:p>
      <w:pPr>
        <w:spacing w:after="80"/>
      </w:pPr>
      <w:r>
        <w:t>• Statische elektriciteit = ontstekingsrisico bij stofverwerking</w:t>
      </w:r>
    </w:p>
    <w:p>
      <w:pPr>
        <w:spacing w:after="80"/>
      </w:pPr>
      <w:r>
        <w:t>• Aarding = primaire beheersmaatregel</w:t>
      </w:r>
    </w:p>
    <w:p>
      <w:pPr>
        <w:spacing w:after="80"/>
      </w:pPr>
      <w:r>
        <w:t>• Antistatische kleding verplicht</w:t>
      </w:r>
    </w:p>
    <w:p>
      <w:pPr>
        <w:spacing w:after="80"/>
      </w:pPr>
      <w:r>
        <w:t>• Bindingscontrole elke shift</w:t>
      </w:r>
    </w:p>
    <w:p>
      <w:pPr>
        <w:spacing w:after="80"/>
      </w:pPr>
      <w:r>
        <w:t>• V₂O₅-transport = belangrijkste risico bij PM</w:t>
      </w:r>
    </w:p>
    <w:p>
      <w:pPr>
        <w:pStyle w:val="Heading1"/>
      </w:pPr>
      <w:r>
        <w:rPr>
          <w:color w:val="003366"/>
          <w:sz w:val="28"/>
        </w:rPr>
        <w:t>8. Bronverwijzingen</w:t>
      </w:r>
    </w:p>
    <w:p>
      <w:pPr>
        <w:spacing w:after="80"/>
      </w:pPr>
      <w:r>
        <w:t>[1] ATEX 1999/92/EG, art. 4</w:t>
      </w:r>
    </w:p>
    <w:p>
      <w:pPr>
        <w:spacing w:after="80"/>
      </w:pPr>
      <w:r>
        <w:t>[2] ATEX 2014/34/EU</w:t>
      </w:r>
    </w:p>
    <w:p>
      <w:pPr>
        <w:spacing w:after="80"/>
      </w:pPr>
      <w:r>
        <w:t>[3] IEC 60079-32-1</w:t>
      </w:r>
    </w:p>
    <w:p>
      <w:pPr>
        <w:spacing w:after="80"/>
      </w:pPr>
      <w:r>
        <w:t>[4] NEN-EN 62305-3</w:t>
      </w:r>
    </w:p>
    <w:p>
      <w:pPr>
        <w:spacing w:after="80"/>
      </w:pPr>
      <w:r>
        <w:t>[5] NEN-EN 1127-1:2019</w:t>
      </w:r>
    </w:p>
    <w:p>
      <w:pPr>
        <w:spacing w:after="80"/>
      </w:pPr>
    </w:p>
    <w:p>
      <w:pPr>
        <w:spacing w:after="80"/>
      </w:pPr>
      <w:r>
        <w:t>TierVerify: ☐ Bronnen geverifieerd ☐ Claims onderbouwd ☐ 28-04-2026 ☐ GEVERIFIEERD</w:t>
      </w:r>
    </w:p>
    <w:p>
      <w:r>
        <w:br w:type="page"/>
      </w:r>
    </w:p>
    <w:p>
      <w:pPr>
        <w:pStyle w:val="Heading1"/>
      </w:pPr>
      <w:r>
        <w:rPr>
          <w:color w:val="003366"/>
        </w:rPr>
        <w:t>Werkboek - Notities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© 2026 JvG Consultancy | PM_EL_T08_Statische_Elektriciteit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JvG Consultancy | Safety • Governance • Advisory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