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rFonts w:ascii="Calibri" w:hAnsi="Calibri"/>
          <w:b/>
          <w:color w:val="003366"/>
          <w:sz w:val="52"/>
        </w:rPr>
        <w:t>VOP - Veilige Opstart Procedure</w:t>
      </w:r>
    </w:p>
    <w:p>
      <w:pPr>
        <w:jc w:val="center"/>
      </w:pPr>
      <w:r>
        <w:rPr>
          <w:rFonts w:ascii="Calibri" w:hAnsi="Calibri"/>
          <w:color w:val="1F2937"/>
          <w:sz w:val="36"/>
        </w:rPr>
        <w:t>Handleiding en Werkboek</w:t>
      </w:r>
    </w:p>
    <w:p>
      <w:pPr>
        <w:jc w:val="center"/>
      </w:pPr>
      <w:r>
        <w:rPr>
          <w:rFonts w:ascii="Calibri" w:hAnsi="Calibri"/>
          <w:color w:val="003366"/>
          <w:sz w:val="28"/>
        </w:rPr>
        <w:t>Phoenix Metals VBS Element 1</w:t>
      </w:r>
    </w:p>
    <w:p>
      <w:r>
        <w:br w:type="page"/>
      </w:r>
    </w:p>
    <w:p>
      <w:pPr>
        <w:pStyle w:val="Heading1"/>
      </w:pPr>
      <w:r>
        <w:t>Documentinformatie</w:t>
      </w:r>
    </w:p>
    <w:tbl>
      <w:tblPr>
        <w:tblStyle w:val="TableGrid"/>
        <w:tblW w:type="auto" w:w="0"/>
        <w:jc w:val="center"/>
        <w:tblLook w:firstColumn="1" w:firstRow="1" w:lastColumn="0" w:lastRow="0" w:noHBand="0" w:noVBand="1" w:val="04A0"/>
      </w:tblPr>
      <w:tblGrid>
        <w:gridCol w:w="4320"/>
        <w:gridCol w:w="4320"/>
      </w:tblGrid>
      <w:tr>
        <w:tc>
          <w:tcPr>
            <w:tcW w:type="dxa" w:w="4320"/>
            <w:shd w:fill="E5E7EB" w:val="clear"/>
          </w:tcPr>
          <w:p>
            <w:r/>
            <w:r>
              <w:rPr>
                <w:rFonts w:ascii="Calibri" w:hAnsi="Calibri"/>
                <w:b/>
                <w:color w:val="003366"/>
                <w:sz w:val="20"/>
              </w:rPr>
              <w:t>Project</w:t>
            </w:r>
          </w:p>
        </w:tc>
        <w:tc>
          <w:tcPr>
            <w:tcW w:type="dxa" w:w="4320"/>
          </w:tcPr>
          <w:p>
            <w:r/>
            <w:r>
              <w:rPr>
                <w:rFonts w:ascii="Calibri" w:hAnsi="Calibri"/>
                <w:color w:val="1F2937"/>
                <w:sz w:val="20"/>
              </w:rPr>
              <w:t>VBS Element 1 eLearning</w:t>
            </w:r>
          </w:p>
        </w:tc>
      </w:tr>
      <w:tr>
        <w:tc>
          <w:tcPr>
            <w:tcW w:type="dxa" w:w="4320"/>
            <w:shd w:fill="E5E7EB" w:val="clear"/>
          </w:tcPr>
          <w:p>
            <w:r/>
            <w:r>
              <w:rPr>
                <w:rFonts w:ascii="Calibri" w:hAnsi="Calibri"/>
                <w:b/>
                <w:color w:val="003366"/>
                <w:sz w:val="20"/>
              </w:rPr>
              <w:t>Type</w:t>
            </w:r>
          </w:p>
        </w:tc>
        <w:tc>
          <w:tcPr>
            <w:tcW w:type="dxa" w:w="4320"/>
          </w:tcPr>
          <w:p>
            <w:r/>
            <w:r>
              <w:rPr>
                <w:rFonts w:ascii="Calibri" w:hAnsi="Calibri"/>
                <w:color w:val="1F2937"/>
                <w:sz w:val="20"/>
              </w:rPr>
              <w:t>Handleiding</w:t>
            </w:r>
          </w:p>
        </w:tc>
      </w:tr>
      <w:tr>
        <w:tc>
          <w:tcPr>
            <w:tcW w:type="dxa" w:w="4320"/>
            <w:shd w:fill="E5E7EB" w:val="clear"/>
          </w:tcPr>
          <w:p>
            <w:r/>
            <w:r>
              <w:rPr>
                <w:rFonts w:ascii="Calibri" w:hAnsi="Calibri"/>
                <w:b/>
                <w:color w:val="003366"/>
                <w:sz w:val="20"/>
              </w:rPr>
              <w:t>Auteur</w:t>
            </w:r>
          </w:p>
        </w:tc>
        <w:tc>
          <w:tcPr>
            <w:tcW w:type="dxa" w:w="4320"/>
          </w:tcPr>
          <w:p>
            <w:r/>
            <w:r>
              <w:rPr>
                <w:rFonts w:ascii="Calibri" w:hAnsi="Calibri"/>
                <w:color w:val="1F2937"/>
                <w:sz w:val="20"/>
              </w:rPr>
              <w:t>Kas</w:t>
            </w:r>
          </w:p>
        </w:tc>
      </w:tr>
      <w:tr>
        <w:tc>
          <w:tcPr>
            <w:tcW w:type="dxa" w:w="4320"/>
            <w:shd w:fill="E5E7EB" w:val="clear"/>
          </w:tcPr>
          <w:p>
            <w:r/>
            <w:r>
              <w:rPr>
                <w:rFonts w:ascii="Calibri" w:hAnsi="Calibri"/>
                <w:b/>
                <w:color w:val="003366"/>
                <w:sz w:val="20"/>
              </w:rPr>
              <w:t>Versie</w:t>
            </w:r>
          </w:p>
        </w:tc>
        <w:tc>
          <w:tcPr>
            <w:tcW w:type="dxa" w:w="4320"/>
          </w:tcPr>
          <w:p>
            <w:r/>
            <w:r>
              <w:rPr>
                <w:rFonts w:ascii="Calibri" w:hAnsi="Calibri"/>
                <w:color w:val="1F2937"/>
                <w:sz w:val="20"/>
              </w:rPr>
              <w:t>1.0</w:t>
            </w:r>
          </w:p>
        </w:tc>
      </w:tr>
      <w:tr>
        <w:tc>
          <w:tcPr>
            <w:tcW w:type="dxa" w:w="4320"/>
            <w:shd w:fill="E5E7EB" w:val="clear"/>
          </w:tcPr>
          <w:p>
            <w:r/>
            <w:r>
              <w:rPr>
                <w:rFonts w:ascii="Calibri" w:hAnsi="Calibri"/>
                <w:b/>
                <w:color w:val="003366"/>
                <w:sz w:val="20"/>
              </w:rPr>
              <w:t>Datum</w:t>
            </w:r>
          </w:p>
        </w:tc>
        <w:tc>
          <w:tcPr>
            <w:tcW w:type="dxa" w:w="4320"/>
          </w:tcPr>
          <w:p>
            <w:r/>
            <w:r>
              <w:rPr>
                <w:rFonts w:ascii="Calibri" w:hAnsi="Calibri"/>
                <w:color w:val="1F2937"/>
                <w:sz w:val="20"/>
              </w:rPr>
              <w:t>2026-04-29</w:t>
            </w:r>
          </w:p>
        </w:tc>
      </w:tr>
      <w:tr>
        <w:tc>
          <w:tcPr>
            <w:tcW w:type="dxa" w:w="4320"/>
            <w:shd w:fill="E5E7EB" w:val="clear"/>
          </w:tcPr>
          <w:p>
            <w:r/>
            <w:r>
              <w:rPr>
                <w:rFonts w:ascii="Calibri" w:hAnsi="Calibri"/>
                <w:b/>
                <w:color w:val="003366"/>
                <w:sz w:val="20"/>
              </w:rPr>
              <w:t>Status</w:t>
            </w:r>
          </w:p>
        </w:tc>
        <w:tc>
          <w:tcPr>
            <w:tcW w:type="dxa" w:w="4320"/>
          </w:tcPr>
          <w:p>
            <w:r/>
            <w:r>
              <w:rPr>
                <w:rFonts w:ascii="Calibri" w:hAnsi="Calibri"/>
                <w:color w:val="1F2937"/>
                <w:sz w:val="20"/>
              </w:rPr>
              <w:t>Final</w:t>
            </w:r>
          </w:p>
        </w:tc>
      </w:tr>
    </w:tbl>
    <w:p/>
    <w:p>
      <w:r>
        <w:br w:type="page"/>
      </w:r>
    </w:p>
    <w:p>
      <w:pPr>
        <w:pStyle w:val="Heading1"/>
      </w:pPr>
      <w:r>
        <w:t>1. Doel en Doelgroep</w:t>
      </w:r>
    </w:p>
    <w:p>
      <w:pPr>
        <w:pStyle w:val="Heading2"/>
      </w:pPr>
      <w:r>
        <w:t>1.1 Doel</w:t>
      </w:r>
    </w:p>
    <w:p>
      <w:r>
        <w:t>Deze handleiding biedt een gestructureerd kader voor het veilig opstarten van installaties binnen Phoenix Metals na uitval, onderhoud of modificatie. Het document combineert theorie met praktijkgerichte oefeningen zodat medewerkers de VOP-procedure zelfstandig en correct kunnen uitvoeren.</w:t>
      </w:r>
    </w:p>
    <w:p>
      <w:pPr>
        <w:pStyle w:val="Heading2"/>
      </w:pPr>
      <w:r>
        <w:t>1.2 Doelgroep</w:t>
      </w:r>
    </w:p>
    <w:p>
      <w:pPr>
        <w:pStyle w:val="ListBullet"/>
      </w:pPr>
      <w:r>
        <w:t>Procesoperators en bedieningspersoneel</w:t>
      </w:r>
    </w:p>
    <w:p>
      <w:pPr>
        <w:pStyle w:val="ListBullet"/>
      </w:pPr>
      <w:r>
        <w:t>Onderhoudstechnici (mechanisch en elektrisch)</w:t>
      </w:r>
    </w:p>
    <w:p>
      <w:pPr>
        <w:pStyle w:val="ListBullet"/>
      </w:pPr>
      <w:r>
        <w:t>Shiftleiders en operationeel toezichthouders</w:t>
      </w:r>
    </w:p>
    <w:p>
      <w:pPr>
        <w:pStyle w:val="ListBullet"/>
      </w:pPr>
      <w:r>
        <w:t>HSEQ-medewerkers en veiligheidsfunctionarissen</w:t>
      </w:r>
    </w:p>
    <w:p>
      <w:pPr>
        <w:pStyle w:val="ListBullet"/>
      </w:pPr>
      <w:r>
        <w:t>Nieuwe medewerkers tijdens inwerktrajecten</w:t>
      </w:r>
    </w:p>
    <w:p>
      <w:r>
        <w:br w:type="page"/>
      </w:r>
    </w:p>
    <w:p>
      <w:pPr>
        <w:pStyle w:val="Heading1"/>
      </w:pPr>
      <w:r>
        <w:t>2. Leerdoelen</w:t>
      </w:r>
    </w:p>
    <w:p>
      <w:r>
        <w:t>Na het bestuderen van deze handleiding en het voltooien van de werkboekoefeningen kan de cursist:</w:t>
      </w:r>
    </w:p>
    <w:p>
      <w:r>
        <w:t>1. Het begrip VOP (Veilige Opstart Procedure) uitleggen en het belang ervan beschrijven.</w:t>
      </w:r>
    </w:p>
    <w:p>
      <w:r>
        <w:t>2. De situaties benoemen waarin een VOP verplicht is (uitval, onderhoud, modificatie).</w:t>
      </w:r>
    </w:p>
    <w:p>
      <w:r>
        <w:t>3. Het wettelijk kader rondom VOP weergeven, inclusief BRZO Bijlage III en NTA 8620.</w:t>
      </w:r>
    </w:p>
    <w:p>
      <w:r>
        <w:t>4. Het volledige VOP-stappenplan in de juiste volgorde doorlopen.</w:t>
      </w:r>
    </w:p>
    <w:p>
      <w:r>
        <w:t>5. De Phoenix Metals-specifieke VOP-procedures toepassen voor vanadium reactor, H2SO4-circuit en stofverwerkingseenheid.</w:t>
      </w:r>
    </w:p>
    <w:p>
      <w:r>
        <w:t>6. Critical parameters identificeren en de bijbehorende grenswaarden bewaken tijdens opstart.</w:t>
      </w:r>
    </w:p>
    <w:p>
      <w:r>
        <w:br w:type="page"/>
      </w:r>
    </w:p>
    <w:p>
      <w:pPr>
        <w:pStyle w:val="Heading1"/>
      </w:pPr>
      <w:r>
        <w:t>3. Theorie: Veilige Opstart Procedure</w:t>
      </w:r>
    </w:p>
    <w:p>
      <w:pPr>
        <w:pStyle w:val="Heading2"/>
      </w:pPr>
      <w:r>
        <w:t>3.1 Wat is een VOP?</w:t>
      </w:r>
    </w:p>
    <w:p>
      <w:r>
        <w:t>Een Veilige Opstart Procedure (VOP) is een formeel, gedocumenteerd protocol dat de stappen en controles beschrijft die nodig zijn om een procesinstallatie veilig te herstarten nadat deze buiten bedrijf is geweest. De VOP waarborgt dat alle veiligheidsbarrieres zijn hersteld en dat geen onveilige situaties ontstaan tijdens de overgang van stilstand naar normaal bedrijf.</w:t>
      </w:r>
    </w:p>
    <w:p>
      <w:pPr>
        <w:pStyle w:val="Heading2"/>
      </w:pPr>
      <w:r>
        <w:t>3.2 Wanneer is een VOP verplicht?</w:t>
      </w:r>
    </w:p>
    <w:p>
      <w:pPr>
        <w:pStyle w:val="ListBullet"/>
      </w:pPr>
      <w:r>
        <w:t>Na ongeplande uitval of noodstop van (een deel van) de installatie</w:t>
      </w:r>
    </w:p>
    <w:p>
      <w:pPr>
        <w:pStyle w:val="ListBullet"/>
      </w:pPr>
      <w:r>
        <w:t>Na gepland onderhoud of revisie waarbij systemen zijn geopend</w:t>
      </w:r>
    </w:p>
    <w:p>
      <w:pPr>
        <w:pStyle w:val="ListBullet"/>
      </w:pPr>
      <w:r>
        <w:t>Na modificaties of ingrepen die de procesconfiguratie wijzigen</w:t>
      </w:r>
    </w:p>
    <w:p>
      <w:pPr>
        <w:pStyle w:val="ListBullet"/>
      </w:pPr>
      <w:r>
        <w:t>Na langdurige stilstand (meestal &gt;72 uur, afhankelijk van intern beleid)</w:t>
      </w:r>
    </w:p>
    <w:p>
      <w:pPr>
        <w:pStyle w:val="ListBullet"/>
      </w:pPr>
      <w:r>
        <w:t>Na Lockout/Tagout (LOTO) verwijdering op kritieke apparatuur</w:t>
      </w:r>
    </w:p>
    <w:p>
      <w:pPr>
        <w:pStyle w:val="Heading2"/>
      </w:pPr>
      <w:r>
        <w:t>3.3 Wettelijk kader</w:t>
      </w:r>
    </w:p>
    <w:p>
      <w:r>
        <w:t>De verplichting tot een gestructureerde opstartprocedure volgt uit meerdere regelgevende kaders:</w:t>
      </w:r>
    </w:p>
    <w:p>
      <w:pPr>
        <w:pStyle w:val="ListBullet"/>
      </w:pPr>
      <w:r>
        <w:t>[1] BRZO 1999 (Besluit Risico's Zware Ongevallen) Bijlage III vereist dat Seveso-inrichtingen veilige opstartprocedures hebben na wijzigingen of onderhoud aan installaties met gevaarlijke stoffen.</w:t>
      </w:r>
    </w:p>
    <w:p>
      <w:pPr>
        <w:pStyle w:val="ListBullet"/>
      </w:pPr>
      <w:r>
        <w:t>[2] NTA 8620 (Nederlandse Technische Afspraak voor Veiligheidsmanagementsystemen) stelt eisen aan procedurele waarborgen bij opstart en stilstand van procesinstallaties.</w:t>
      </w:r>
    </w:p>
    <w:p>
      <w:pPr>
        <w:pStyle w:val="ListBullet"/>
      </w:pPr>
      <w:r>
        <w:t>[3] Seveso III Richtlijn (2012/18/EU) verplicht lidstaten om veilige bedrijfsvoeringsprocedures te waarborgen, inclusief opstartprotocollen.</w:t>
      </w:r>
    </w:p>
    <w:p>
      <w:r>
        <w:br w:type="page"/>
      </w:r>
    </w:p>
    <w:p>
      <w:pPr>
        <w:pStyle w:val="Heading1"/>
      </w:pPr>
      <w:r>
        <w:t>4. VOP Stappenplan</w:t>
      </w:r>
    </w:p>
    <w:p>
      <w:r>
        <w:t>Het onderstaande stappenplan beschrijft het algemene VOP-proces. Elke stap moet worden afgetekend door de bevoegde functionaris voordat de volgende stap wordt gestart.</w:t>
      </w:r>
    </w:p>
    <w:p>
      <w:pPr>
        <w:pStyle w:val="Heading2"/>
      </w:pPr>
      <w:r>
        <w:t>Stap 1: Voorbereiding en planning</w:t>
      </w:r>
    </w:p>
    <w:p>
      <w:r>
        <w:t>Controleer of alle werkvergunningen zijn afgesloten. Verzamel de VOP-checklist, P&amp;ID's en procesparameters. Stel het opstartteam samen.</w:t>
      </w:r>
    </w:p>
    <w:p>
      <w:pPr>
        <w:pStyle w:val="Heading2"/>
      </w:pPr>
      <w:r>
        <w:t>Stap 2: Veiligheidsvergadering (Toolbox Talk)</w:t>
      </w:r>
    </w:p>
    <w:p>
      <w:r>
        <w:t>Houd een kortingsbriefing met alle betrokkenen. Bespreek risico's, communicatieprotocollen en noodprocedures.</w:t>
      </w:r>
    </w:p>
    <w:p>
      <w:pPr>
        <w:pStyle w:val="Heading2"/>
      </w:pPr>
      <w:r>
        <w:t>Stap 3: LOTO verificatie</w:t>
      </w:r>
    </w:p>
    <w:p>
      <w:r>
        <w:t>Controleer of alle Lockout/Tagout sloten zijn verwijderd door de bevoegde technicus. Documenteer LOTO-uitgifte per apparaat/klep.</w:t>
      </w:r>
    </w:p>
    <w:p>
      <w:pPr>
        <w:pStyle w:val="Heading2"/>
      </w:pPr>
      <w:r>
        <w:t>Stap 4: Visuele inspectie</w:t>
      </w:r>
    </w:p>
    <w:p>
      <w:r>
        <w:t>Inspecteer de installatie op zichtbare gebreken: lekkages, losse flenzen, ontbrekende isolatie, blokkades in leidingen.</w:t>
      </w:r>
    </w:p>
    <w:p>
      <w:pPr>
        <w:pStyle w:val="Heading2"/>
      </w:pPr>
      <w:r>
        <w:t>Stap 5: Mechanische integriteitscontrole</w:t>
      </w:r>
    </w:p>
    <w:p>
      <w:r>
        <w:t>Verifieer dat alle mechanische verbindingen zijn aangedraaid volgens torquespecificaties. Controleer steunen en verankeringen.</w:t>
      </w:r>
    </w:p>
    <w:p>
      <w:pPr>
        <w:pStyle w:val="Heading2"/>
      </w:pPr>
      <w:r>
        <w:t>Stap 6: Elektrische en instrumentatiecheck</w:t>
      </w:r>
    </w:p>
    <w:p>
      <w:r>
        <w:t>Controleer stroomvoorziening, interlocks, alarmen en meetinstrumenten. Verifieer calibratie van kritieke sensoren.</w:t>
      </w:r>
    </w:p>
    <w:p>
      <w:pPr>
        <w:pStyle w:val="Heading2"/>
      </w:pPr>
      <w:r>
        <w:t>Stap 7: Communicatie met nabijgelegen eenheden</w:t>
      </w:r>
    </w:p>
    <w:p>
      <w:r>
        <w:t>Informeer aangrenzende proceseenheden over de geplande opstart. Coördineer met de centrale meldkamer.</w:t>
      </w:r>
    </w:p>
    <w:p>
      <w:pPr>
        <w:pStyle w:val="Heading2"/>
      </w:pPr>
      <w:r>
        <w:t>Stap 8: Stikstof- of inertgas spoeling</w:t>
      </w:r>
    </w:p>
    <w:p>
      <w:r>
        <w:t>Voer een inertgas spoeling uit om zuurstof uit leidingen te verwijderen. Meet O2-concentratie (&lt; 2% v/v voor de meeste toepassingen).</w:t>
      </w:r>
    </w:p>
    <w:p>
      <w:pPr>
        <w:pStyle w:val="Heading2"/>
      </w:pPr>
      <w:r>
        <w:t>Stap 9: Drukproef en dichtheidscontrole</w:t>
      </w:r>
    </w:p>
    <w:p>
      <w:r>
        <w:t>Bouw de druk langzaam op in trappen. Controleer alle verbindingen op dichtheid met zeepoplossing of lekdetectors.</w:t>
      </w:r>
    </w:p>
    <w:p>
      <w:pPr>
        <w:pStyle w:val="Heading2"/>
      </w:pPr>
      <w:r>
        <w:t>Stap 10: Procesvloeistof/procesgas introductie</w:t>
      </w:r>
    </w:p>
    <w:p>
      <w:r>
        <w:t>Introduceer procesmedia volgens de gespecificeerde volgorde. Monitor druk, temperatuur en debiet bij elke introductiestap.</w:t>
      </w:r>
    </w:p>
    <w:p>
      <w:pPr>
        <w:pStyle w:val="Heading2"/>
      </w:pPr>
      <w:r>
        <w:t>Stap 11: Start-up sequentie</w:t>
      </w:r>
    </w:p>
    <w:p>
      <w:r>
        <w:t>Start apparatuur in de voorgeschreven volgorde. Wacht op stabilisatie tussen elke stap. Monitor critical parameters continu.</w:t>
      </w:r>
    </w:p>
    <w:p>
      <w:pPr>
        <w:pStyle w:val="Heading2"/>
      </w:pPr>
      <w:r>
        <w:t>Stap 12: Stabilisatie en monitoring</w:t>
      </w:r>
    </w:p>
    <w:p>
      <w:r>
        <w:t>Laat de installatie stabiliseren op ontwerpparameters. Controleer gedurende minimaal 2 uur alle critical parameters. Documenteer afwijkingen.</w:t>
      </w:r>
    </w:p>
    <w:p>
      <w:pPr>
        <w:pStyle w:val="Heading2"/>
      </w:pPr>
      <w:r>
        <w:t>Stap 13: Overdracht naar normaal bedrijf</w:t>
      </w:r>
    </w:p>
    <w:p>
      <w:r>
        <w:t>Bevestig dat alle parameters binnen specificatie zijn. Draag formeel over aan de shift-operator. Sluit de VOP-checklist af en archiveer.</w:t>
      </w:r>
    </w:p>
    <w:p>
      <w:r>
        <w:br w:type="page"/>
      </w:r>
    </w:p>
    <w:p>
      <w:pPr>
        <w:pStyle w:val="Heading1"/>
      </w:pPr>
      <w:r>
        <w:t>5. Phoenix Metals Specifieke VOP-Procedures</w:t>
      </w:r>
    </w:p>
    <w:p>
      <w:pPr>
        <w:pStyle w:val="Heading2"/>
      </w:pPr>
      <w:r>
        <w:t>5.1 VOP Vanadium Reactor Opstart</w:t>
      </w:r>
    </w:p>
    <w:p>
      <w:r>
        <w:t>De vanadium reactor is de primaire conversie-eenheid binnen Phoenix Metals. De opstart vereist strikte temperatuur- en drukcontrole om exotherme reacties te beheersen.</w:t>
      </w:r>
    </w:p>
    <w:p>
      <w:r>
        <w:t>Critical parameters vanadium reactor:</w:t>
      </w:r>
    </w:p>
    <w:p>
      <w:pPr>
        <w:pStyle w:val="ListBullet"/>
      </w:pPr>
      <w:r>
        <w:t>Reactortemperatuur: max 385°C (alarm bij 370°C)</w:t>
      </w:r>
    </w:p>
    <w:p>
      <w:pPr>
        <w:pStyle w:val="ListBullet"/>
      </w:pPr>
      <w:r>
        <w:t>Reactordruk: 3.5 - 4.2 bar (noodstop bij 5.0 bar)</w:t>
      </w:r>
    </w:p>
    <w:p>
      <w:pPr>
        <w:pStyle w:val="ListBullet"/>
      </w:pPr>
      <w:r>
        <w:t>V2O5-concentratie in feed: 18 - 22% (gewichtspercentage)</w:t>
      </w:r>
    </w:p>
    <w:p>
      <w:pPr>
        <w:pStyle w:val="ListBullet"/>
      </w:pPr>
      <w:r>
        <w:t>Zuurstoftoevoer: 800 - 1200 Nm³/h</w:t>
      </w:r>
    </w:p>
    <w:p>
      <w:pPr>
        <w:pStyle w:val="ListBullet"/>
      </w:pPr>
      <w:r>
        <w:t>Koelwaterdebiet condensor: &gt; 45 m³/h</w:t>
      </w:r>
    </w:p>
    <w:p>
      <w:pPr>
        <w:pStyle w:val="Heading2"/>
      </w:pPr>
      <w:r>
        <w:t>5.2 VOP H2SO4 Circuit</w:t>
      </w:r>
    </w:p>
    <w:p>
      <w:r>
        <w:t>Het zwavelzuurcircuit omvat opslag, pompcirculatie en dosering. De opstart vereist speciale aandacht voor afdichtingen en corrosiepreventie.</w:t>
      </w:r>
    </w:p>
    <w:p>
      <w:r>
        <w:t>Critical parameters H2SO4 circuit:</w:t>
      </w:r>
    </w:p>
    <w:p>
      <w:pPr>
        <w:pStyle w:val="ListBullet"/>
      </w:pPr>
      <w:r>
        <w:t>H2SO4-concentratie: 96 - 98% (corrosiegrens bij &lt;93%)</w:t>
      </w:r>
    </w:p>
    <w:p>
      <w:pPr>
        <w:pStyle w:val="ListBullet"/>
      </w:pPr>
      <w:r>
        <w:t>Temperatuur opslagtank: &lt; 40°C</w:t>
      </w:r>
    </w:p>
    <w:p>
      <w:pPr>
        <w:pStyle w:val="ListBullet"/>
      </w:pPr>
      <w:r>
        <w:t>Druk doseerpomp: 2.0 - 3.5 bar</w:t>
      </w:r>
    </w:p>
    <w:p>
      <w:pPr>
        <w:pStyle w:val="ListBullet"/>
      </w:pPr>
      <w:r>
        <w:t>Lekdetectie sensor: continu actief, alarm bij 0.1% volume</w:t>
      </w:r>
    </w:p>
    <w:p>
      <w:pPr>
        <w:pStyle w:val="ListBullet"/>
      </w:pPr>
      <w:r>
        <w:t>Ventilatie debiet: &gt; 500 m³/h in opslagruimte</w:t>
      </w:r>
    </w:p>
    <w:p>
      <w:pPr>
        <w:pStyle w:val="Heading2"/>
      </w:pPr>
      <w:r>
        <w:t>5.3 VOP Stofverwerkingseenheid</w:t>
      </w:r>
    </w:p>
    <w:p>
      <w:r>
        <w:t>De stofverwerkingseenheid hanteert stof- en explosiegevaar. ATEX-zones gelden voor het gehele procesgebied.</w:t>
      </w:r>
    </w:p>
    <w:p>
      <w:r>
        <w:t>Critical parameters stofverwerkingseenheid:</w:t>
      </w:r>
    </w:p>
    <w:p>
      <w:pPr>
        <w:pStyle w:val="ListBullet"/>
      </w:pPr>
      <w:r>
        <w:t>Stofconcentratie: &lt; 50% van LEL (Lower Explosive Limit)</w:t>
      </w:r>
    </w:p>
    <w:p>
      <w:pPr>
        <w:pStyle w:val="ListBullet"/>
      </w:pPr>
      <w:r>
        <w:t>Ventilatiesnelheid: &gt; 20 m/s in transportleidingen</w:t>
      </w:r>
    </w:p>
    <w:p>
      <w:pPr>
        <w:pStyle w:val="ListBullet"/>
      </w:pPr>
      <w:r>
        <w:t>Temperatuur molen: &lt; 120°C (thermische degradatiegrens)</w:t>
      </w:r>
    </w:p>
    <w:p>
      <w:pPr>
        <w:pStyle w:val="ListBullet"/>
      </w:pPr>
      <w:r>
        <w:t>Aarding weerstand: &lt; 10 Ohm (continu gemonitord)</w:t>
      </w:r>
    </w:p>
    <w:p>
      <w:pPr>
        <w:pStyle w:val="ListBullet"/>
      </w:pPr>
      <w:r>
        <w:t>Siloniveau: tussen 20% en 85% (voorkom overvulling en klapgevaar)</w:t>
      </w:r>
    </w:p>
    <w:p>
      <w:r>
        <w:br w:type="page"/>
      </w:r>
    </w:p>
    <w:p>
      <w:pPr>
        <w:pStyle w:val="Heading1"/>
      </w:pPr>
      <w:r>
        <w:t>6. Checklist VOP</w:t>
      </w:r>
    </w:p>
    <w:p>
      <w:r>
        <w:t>Gebruik deze checklist bij elke opstart. Alle items moeten zijn afgevinkt door de bevoegde functionaris voordat de opstart wordt gestart.</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567"/>
            <w:shd w:fill="003366" w:val="clear"/>
          </w:tcPr>
          <w:p>
            <w:r/>
            <w:r>
              <w:rPr>
                <w:rFonts w:ascii="Calibri" w:hAnsi="Calibri"/>
                <w:b/>
                <w:color w:val="FFFFFF"/>
                <w:sz w:val="20"/>
              </w:rPr>
              <w:t>#</w:t>
            </w:r>
          </w:p>
        </w:tc>
        <w:tc>
          <w:tcPr>
            <w:tcW w:type="dxa" w:w="3969"/>
            <w:shd w:fill="003366" w:val="clear"/>
          </w:tcPr>
          <w:p>
            <w:r/>
            <w:r>
              <w:rPr>
                <w:rFonts w:ascii="Calibri" w:hAnsi="Calibri"/>
                <w:b/>
                <w:color w:val="FFFFFF"/>
                <w:sz w:val="20"/>
              </w:rPr>
              <w:t>Controle-item</w:t>
            </w:r>
          </w:p>
        </w:tc>
        <w:tc>
          <w:tcPr>
            <w:tcW w:type="dxa" w:w="2551"/>
            <w:shd w:fill="003366" w:val="clear"/>
          </w:tcPr>
          <w:p>
            <w:r/>
            <w:r>
              <w:rPr>
                <w:rFonts w:ascii="Calibri" w:hAnsi="Calibri"/>
                <w:b/>
                <w:color w:val="FFFFFF"/>
                <w:sz w:val="20"/>
              </w:rPr>
              <w:t>Verantwoordelijke</w:t>
            </w:r>
          </w:p>
        </w:tc>
        <w:tc>
          <w:tcPr>
            <w:tcW w:type="dxa" w:w="1417"/>
            <w:shd w:fill="003366" w:val="clear"/>
          </w:tcPr>
          <w:p>
            <w:r/>
            <w:r>
              <w:rPr>
                <w:rFonts w:ascii="Calibri" w:hAnsi="Calibri"/>
                <w:b/>
                <w:color w:val="FFFFFF"/>
                <w:sz w:val="20"/>
              </w:rPr>
              <w:t>Akkoord</w:t>
            </w:r>
          </w:p>
        </w:tc>
      </w:tr>
      <w:tr>
        <w:tc>
          <w:tcPr>
            <w:tcW w:type="dxa" w:w="567"/>
          </w:tcPr>
          <w:p>
            <w:r/>
            <w:r>
              <w:rPr>
                <w:rFonts w:ascii="Calibri" w:hAnsi="Calibri"/>
                <w:color w:val="1F2937"/>
                <w:sz w:val="20"/>
              </w:rPr>
              <w:t>1</w:t>
            </w:r>
          </w:p>
        </w:tc>
        <w:tc>
          <w:tcPr>
            <w:tcW w:type="dxa" w:w="3969"/>
          </w:tcPr>
          <w:p>
            <w:r/>
            <w:r>
              <w:rPr>
                <w:rFonts w:ascii="Calibri" w:hAnsi="Calibri"/>
                <w:color w:val="1F2937"/>
                <w:sz w:val="20"/>
              </w:rPr>
              <w:t>Werkvergunningen afgesloten</w:t>
            </w:r>
          </w:p>
        </w:tc>
        <w:tc>
          <w:tcPr>
            <w:tcW w:type="dxa" w:w="2551"/>
          </w:tcPr>
          <w:p>
            <w:r/>
            <w:r>
              <w:rPr>
                <w:rFonts w:ascii="Calibri" w:hAnsi="Calibri"/>
                <w:color w:val="1F2937"/>
                <w:sz w:val="20"/>
              </w:rPr>
              <w:t>Onderhoudscoördinator</w:t>
            </w:r>
          </w:p>
        </w:tc>
        <w:tc>
          <w:tcPr>
            <w:tcW w:type="dxa" w:w="1417"/>
          </w:tcPr>
          <w:p>
            <w:r/>
            <w:r>
              <w:rPr>
                <w:rFonts w:ascii="Calibri" w:hAnsi="Calibri"/>
                <w:color w:val="1F2937"/>
                <w:sz w:val="20"/>
              </w:rPr>
            </w:r>
          </w:p>
        </w:tc>
      </w:tr>
      <w:tr>
        <w:tc>
          <w:tcPr>
            <w:tcW w:type="dxa" w:w="567"/>
          </w:tcPr>
          <w:p>
            <w:r/>
            <w:r>
              <w:rPr>
                <w:rFonts w:ascii="Calibri" w:hAnsi="Calibri"/>
                <w:color w:val="1F2937"/>
                <w:sz w:val="20"/>
              </w:rPr>
              <w:t>2</w:t>
            </w:r>
          </w:p>
        </w:tc>
        <w:tc>
          <w:tcPr>
            <w:tcW w:type="dxa" w:w="3969"/>
          </w:tcPr>
          <w:p>
            <w:r/>
            <w:r>
              <w:rPr>
                <w:rFonts w:ascii="Calibri" w:hAnsi="Calibri"/>
                <w:color w:val="1F2937"/>
                <w:sz w:val="20"/>
              </w:rPr>
              <w:t>LOTO volledig verwijderd</w:t>
            </w:r>
          </w:p>
        </w:tc>
        <w:tc>
          <w:tcPr>
            <w:tcW w:type="dxa" w:w="2551"/>
          </w:tcPr>
          <w:p>
            <w:r/>
            <w:r>
              <w:rPr>
                <w:rFonts w:ascii="Calibri" w:hAnsi="Calibri"/>
                <w:color w:val="1F2937"/>
                <w:sz w:val="20"/>
              </w:rPr>
              <w:t>Technicus E&amp;I</w:t>
            </w:r>
          </w:p>
        </w:tc>
        <w:tc>
          <w:tcPr>
            <w:tcW w:type="dxa" w:w="1417"/>
          </w:tcPr>
          <w:p>
            <w:r/>
            <w:r>
              <w:rPr>
                <w:rFonts w:ascii="Calibri" w:hAnsi="Calibri"/>
                <w:color w:val="1F2937"/>
                <w:sz w:val="20"/>
              </w:rPr>
            </w:r>
          </w:p>
        </w:tc>
      </w:tr>
      <w:tr>
        <w:tc>
          <w:tcPr>
            <w:tcW w:type="dxa" w:w="567"/>
          </w:tcPr>
          <w:p>
            <w:r/>
            <w:r>
              <w:rPr>
                <w:rFonts w:ascii="Calibri" w:hAnsi="Calibri"/>
                <w:color w:val="1F2937"/>
                <w:sz w:val="20"/>
              </w:rPr>
              <w:t>3</w:t>
            </w:r>
          </w:p>
        </w:tc>
        <w:tc>
          <w:tcPr>
            <w:tcW w:type="dxa" w:w="3969"/>
          </w:tcPr>
          <w:p>
            <w:r/>
            <w:r>
              <w:rPr>
                <w:rFonts w:ascii="Calibri" w:hAnsi="Calibri"/>
                <w:color w:val="1F2937"/>
                <w:sz w:val="20"/>
              </w:rPr>
              <w:t>Toolbox Talk gehouden</w:t>
            </w:r>
          </w:p>
        </w:tc>
        <w:tc>
          <w:tcPr>
            <w:tcW w:type="dxa" w:w="2551"/>
          </w:tcPr>
          <w:p>
            <w:r/>
            <w:r>
              <w:rPr>
                <w:rFonts w:ascii="Calibri" w:hAnsi="Calibri"/>
                <w:color w:val="1F2937"/>
                <w:sz w:val="20"/>
              </w:rPr>
              <w:t>Shiftleider</w:t>
            </w:r>
          </w:p>
        </w:tc>
        <w:tc>
          <w:tcPr>
            <w:tcW w:type="dxa" w:w="1417"/>
          </w:tcPr>
          <w:p>
            <w:r/>
            <w:r>
              <w:rPr>
                <w:rFonts w:ascii="Calibri" w:hAnsi="Calibri"/>
                <w:color w:val="1F2937"/>
                <w:sz w:val="20"/>
              </w:rPr>
            </w:r>
          </w:p>
        </w:tc>
      </w:tr>
      <w:tr>
        <w:tc>
          <w:tcPr>
            <w:tcW w:type="dxa" w:w="567"/>
          </w:tcPr>
          <w:p>
            <w:r/>
            <w:r>
              <w:rPr>
                <w:rFonts w:ascii="Calibri" w:hAnsi="Calibri"/>
                <w:color w:val="1F2937"/>
                <w:sz w:val="20"/>
              </w:rPr>
              <w:t>4</w:t>
            </w:r>
          </w:p>
        </w:tc>
        <w:tc>
          <w:tcPr>
            <w:tcW w:type="dxa" w:w="3969"/>
          </w:tcPr>
          <w:p>
            <w:r/>
            <w:r>
              <w:rPr>
                <w:rFonts w:ascii="Calibri" w:hAnsi="Calibri"/>
                <w:color w:val="1F2937"/>
                <w:sz w:val="20"/>
              </w:rPr>
              <w:t>Visuele inspectie voltooid</w:t>
            </w:r>
          </w:p>
        </w:tc>
        <w:tc>
          <w:tcPr>
            <w:tcW w:type="dxa" w:w="2551"/>
          </w:tcPr>
          <w:p>
            <w:r/>
            <w:r>
              <w:rPr>
                <w:rFonts w:ascii="Calibri" w:hAnsi="Calibri"/>
                <w:color w:val="1F2937"/>
                <w:sz w:val="20"/>
              </w:rPr>
              <w:t>Operator + Technicus</w:t>
            </w:r>
          </w:p>
        </w:tc>
        <w:tc>
          <w:tcPr>
            <w:tcW w:type="dxa" w:w="1417"/>
          </w:tcPr>
          <w:p>
            <w:r/>
            <w:r>
              <w:rPr>
                <w:rFonts w:ascii="Calibri" w:hAnsi="Calibri"/>
                <w:color w:val="1F2937"/>
                <w:sz w:val="20"/>
              </w:rPr>
            </w:r>
          </w:p>
        </w:tc>
      </w:tr>
      <w:tr>
        <w:tc>
          <w:tcPr>
            <w:tcW w:type="dxa" w:w="567"/>
          </w:tcPr>
          <w:p>
            <w:r/>
            <w:r>
              <w:rPr>
                <w:rFonts w:ascii="Calibri" w:hAnsi="Calibri"/>
                <w:color w:val="1F2937"/>
                <w:sz w:val="20"/>
              </w:rPr>
              <w:t>5</w:t>
            </w:r>
          </w:p>
        </w:tc>
        <w:tc>
          <w:tcPr>
            <w:tcW w:type="dxa" w:w="3969"/>
          </w:tcPr>
          <w:p>
            <w:r/>
            <w:r>
              <w:rPr>
                <w:rFonts w:ascii="Calibri" w:hAnsi="Calibri"/>
                <w:color w:val="1F2937"/>
                <w:sz w:val="20"/>
              </w:rPr>
              <w:t>Mechanische integriteit geverifieerd</w:t>
            </w:r>
          </w:p>
        </w:tc>
        <w:tc>
          <w:tcPr>
            <w:tcW w:type="dxa" w:w="2551"/>
          </w:tcPr>
          <w:p>
            <w:r/>
            <w:r>
              <w:rPr>
                <w:rFonts w:ascii="Calibri" w:hAnsi="Calibri"/>
                <w:color w:val="1F2937"/>
                <w:sz w:val="20"/>
              </w:rPr>
              <w:t>Mechanicus</w:t>
            </w:r>
          </w:p>
        </w:tc>
        <w:tc>
          <w:tcPr>
            <w:tcW w:type="dxa" w:w="1417"/>
          </w:tcPr>
          <w:p>
            <w:r/>
            <w:r>
              <w:rPr>
                <w:rFonts w:ascii="Calibri" w:hAnsi="Calibri"/>
                <w:color w:val="1F2937"/>
                <w:sz w:val="20"/>
              </w:rPr>
            </w:r>
          </w:p>
        </w:tc>
      </w:tr>
      <w:tr>
        <w:tc>
          <w:tcPr>
            <w:tcW w:type="dxa" w:w="567"/>
          </w:tcPr>
          <w:p>
            <w:r/>
            <w:r>
              <w:rPr>
                <w:rFonts w:ascii="Calibri" w:hAnsi="Calibri"/>
                <w:color w:val="1F2937"/>
                <w:sz w:val="20"/>
              </w:rPr>
              <w:t>6</w:t>
            </w:r>
          </w:p>
        </w:tc>
        <w:tc>
          <w:tcPr>
            <w:tcW w:type="dxa" w:w="3969"/>
          </w:tcPr>
          <w:p>
            <w:r/>
            <w:r>
              <w:rPr>
                <w:rFonts w:ascii="Calibri" w:hAnsi="Calibri"/>
                <w:color w:val="1F2937"/>
                <w:sz w:val="20"/>
              </w:rPr>
              <w:t>Instrumentatie gecalibreerd</w:t>
            </w:r>
          </w:p>
        </w:tc>
        <w:tc>
          <w:tcPr>
            <w:tcW w:type="dxa" w:w="2551"/>
          </w:tcPr>
          <w:p>
            <w:r/>
            <w:r>
              <w:rPr>
                <w:rFonts w:ascii="Calibri" w:hAnsi="Calibri"/>
                <w:color w:val="1F2937"/>
                <w:sz w:val="20"/>
              </w:rPr>
              <w:t>Instrumentatietechnicus</w:t>
            </w:r>
          </w:p>
        </w:tc>
        <w:tc>
          <w:tcPr>
            <w:tcW w:type="dxa" w:w="1417"/>
          </w:tcPr>
          <w:p>
            <w:r/>
            <w:r>
              <w:rPr>
                <w:rFonts w:ascii="Calibri" w:hAnsi="Calibri"/>
                <w:color w:val="1F2937"/>
                <w:sz w:val="20"/>
              </w:rPr>
            </w:r>
          </w:p>
        </w:tc>
      </w:tr>
      <w:tr>
        <w:tc>
          <w:tcPr>
            <w:tcW w:type="dxa" w:w="567"/>
          </w:tcPr>
          <w:p>
            <w:r/>
            <w:r>
              <w:rPr>
                <w:rFonts w:ascii="Calibri" w:hAnsi="Calibri"/>
                <w:color w:val="1F2937"/>
                <w:sz w:val="20"/>
              </w:rPr>
              <w:t>7</w:t>
            </w:r>
          </w:p>
        </w:tc>
        <w:tc>
          <w:tcPr>
            <w:tcW w:type="dxa" w:w="3969"/>
          </w:tcPr>
          <w:p>
            <w:r/>
            <w:r>
              <w:rPr>
                <w:rFonts w:ascii="Calibri" w:hAnsi="Calibri"/>
                <w:color w:val="1F2937"/>
                <w:sz w:val="20"/>
              </w:rPr>
              <w:t>Interlocks getest</w:t>
            </w:r>
          </w:p>
        </w:tc>
        <w:tc>
          <w:tcPr>
            <w:tcW w:type="dxa" w:w="2551"/>
          </w:tcPr>
          <w:p>
            <w:r/>
            <w:r>
              <w:rPr>
                <w:rFonts w:ascii="Calibri" w:hAnsi="Calibri"/>
                <w:color w:val="1F2937"/>
                <w:sz w:val="20"/>
              </w:rPr>
              <w:t>Instrumentatietechnicus</w:t>
            </w:r>
          </w:p>
        </w:tc>
        <w:tc>
          <w:tcPr>
            <w:tcW w:type="dxa" w:w="1417"/>
          </w:tcPr>
          <w:p>
            <w:r/>
            <w:r>
              <w:rPr>
                <w:rFonts w:ascii="Calibri" w:hAnsi="Calibri"/>
                <w:color w:val="1F2937"/>
                <w:sz w:val="20"/>
              </w:rPr>
            </w:r>
          </w:p>
        </w:tc>
      </w:tr>
      <w:tr>
        <w:tc>
          <w:tcPr>
            <w:tcW w:type="dxa" w:w="567"/>
          </w:tcPr>
          <w:p>
            <w:r/>
            <w:r>
              <w:rPr>
                <w:rFonts w:ascii="Calibri" w:hAnsi="Calibri"/>
                <w:color w:val="1F2937"/>
                <w:sz w:val="20"/>
              </w:rPr>
              <w:t>8</w:t>
            </w:r>
          </w:p>
        </w:tc>
        <w:tc>
          <w:tcPr>
            <w:tcW w:type="dxa" w:w="3969"/>
          </w:tcPr>
          <w:p>
            <w:r/>
            <w:r>
              <w:rPr>
                <w:rFonts w:ascii="Calibri" w:hAnsi="Calibri"/>
                <w:color w:val="1F2937"/>
                <w:sz w:val="20"/>
              </w:rPr>
              <w:t>Naburige eenheden geïnformeerd</w:t>
            </w:r>
          </w:p>
        </w:tc>
        <w:tc>
          <w:tcPr>
            <w:tcW w:type="dxa" w:w="2551"/>
          </w:tcPr>
          <w:p>
            <w:r/>
            <w:r>
              <w:rPr>
                <w:rFonts w:ascii="Calibri" w:hAnsi="Calibri"/>
                <w:color w:val="1F2937"/>
                <w:sz w:val="20"/>
              </w:rPr>
              <w:t>Shiftleider</w:t>
            </w:r>
          </w:p>
        </w:tc>
        <w:tc>
          <w:tcPr>
            <w:tcW w:type="dxa" w:w="1417"/>
          </w:tcPr>
          <w:p>
            <w:r/>
            <w:r>
              <w:rPr>
                <w:rFonts w:ascii="Calibri" w:hAnsi="Calibri"/>
                <w:color w:val="1F2937"/>
                <w:sz w:val="20"/>
              </w:rPr>
            </w:r>
          </w:p>
        </w:tc>
      </w:tr>
      <w:tr>
        <w:tc>
          <w:tcPr>
            <w:tcW w:type="dxa" w:w="567"/>
          </w:tcPr>
          <w:p>
            <w:r/>
            <w:r>
              <w:rPr>
                <w:rFonts w:ascii="Calibri" w:hAnsi="Calibri"/>
                <w:color w:val="1F2937"/>
                <w:sz w:val="20"/>
              </w:rPr>
              <w:t>9</w:t>
            </w:r>
          </w:p>
        </w:tc>
        <w:tc>
          <w:tcPr>
            <w:tcW w:type="dxa" w:w="3969"/>
          </w:tcPr>
          <w:p>
            <w:r/>
            <w:r>
              <w:rPr>
                <w:rFonts w:ascii="Calibri" w:hAnsi="Calibri"/>
                <w:color w:val="1F2937"/>
                <w:sz w:val="20"/>
              </w:rPr>
              <w:t>Inertgas spoeling voltooid (O2 &lt;2%)</w:t>
            </w:r>
          </w:p>
        </w:tc>
        <w:tc>
          <w:tcPr>
            <w:tcW w:type="dxa" w:w="2551"/>
          </w:tcPr>
          <w:p>
            <w:r/>
            <w:r>
              <w:rPr>
                <w:rFonts w:ascii="Calibri" w:hAnsi="Calibri"/>
                <w:color w:val="1F2937"/>
                <w:sz w:val="20"/>
              </w:rPr>
              <w:t>Operator</w:t>
            </w:r>
          </w:p>
        </w:tc>
        <w:tc>
          <w:tcPr>
            <w:tcW w:type="dxa" w:w="1417"/>
          </w:tcPr>
          <w:p>
            <w:r/>
            <w:r>
              <w:rPr>
                <w:rFonts w:ascii="Calibri" w:hAnsi="Calibri"/>
                <w:color w:val="1F2937"/>
                <w:sz w:val="20"/>
              </w:rPr>
            </w:r>
          </w:p>
        </w:tc>
      </w:tr>
      <w:tr>
        <w:tc>
          <w:tcPr>
            <w:tcW w:type="dxa" w:w="567"/>
          </w:tcPr>
          <w:p>
            <w:r/>
            <w:r>
              <w:rPr>
                <w:rFonts w:ascii="Calibri" w:hAnsi="Calibri"/>
                <w:color w:val="1F2937"/>
                <w:sz w:val="20"/>
              </w:rPr>
              <w:t>10</w:t>
            </w:r>
          </w:p>
        </w:tc>
        <w:tc>
          <w:tcPr>
            <w:tcW w:type="dxa" w:w="3969"/>
          </w:tcPr>
          <w:p>
            <w:r/>
            <w:r>
              <w:rPr>
                <w:rFonts w:ascii="Calibri" w:hAnsi="Calibri"/>
                <w:color w:val="1F2937"/>
                <w:sz w:val="20"/>
              </w:rPr>
              <w:t>Drukproef geslaagd</w:t>
            </w:r>
          </w:p>
        </w:tc>
        <w:tc>
          <w:tcPr>
            <w:tcW w:type="dxa" w:w="2551"/>
          </w:tcPr>
          <w:p>
            <w:r/>
            <w:r>
              <w:rPr>
                <w:rFonts w:ascii="Calibri" w:hAnsi="Calibri"/>
                <w:color w:val="1F2937"/>
                <w:sz w:val="20"/>
              </w:rPr>
              <w:t>Operator + Technicus</w:t>
            </w:r>
          </w:p>
        </w:tc>
        <w:tc>
          <w:tcPr>
            <w:tcW w:type="dxa" w:w="1417"/>
          </w:tcPr>
          <w:p>
            <w:r/>
            <w:r>
              <w:rPr>
                <w:rFonts w:ascii="Calibri" w:hAnsi="Calibri"/>
                <w:color w:val="1F2937"/>
                <w:sz w:val="20"/>
              </w:rPr>
            </w:r>
          </w:p>
        </w:tc>
      </w:tr>
      <w:tr>
        <w:tc>
          <w:tcPr>
            <w:tcW w:type="dxa" w:w="567"/>
          </w:tcPr>
          <w:p>
            <w:r/>
            <w:r>
              <w:rPr>
                <w:rFonts w:ascii="Calibri" w:hAnsi="Calibri"/>
                <w:color w:val="1F2937"/>
                <w:sz w:val="20"/>
              </w:rPr>
              <w:t>11</w:t>
            </w:r>
          </w:p>
        </w:tc>
        <w:tc>
          <w:tcPr>
            <w:tcW w:type="dxa" w:w="3969"/>
          </w:tcPr>
          <w:p>
            <w:r/>
            <w:r>
              <w:rPr>
                <w:rFonts w:ascii="Calibri" w:hAnsi="Calibri"/>
                <w:color w:val="1F2937"/>
                <w:sz w:val="20"/>
              </w:rPr>
              <w:t>Procesmedia geïntroduceerd</w:t>
            </w:r>
          </w:p>
        </w:tc>
        <w:tc>
          <w:tcPr>
            <w:tcW w:type="dxa" w:w="2551"/>
          </w:tcPr>
          <w:p>
            <w:r/>
            <w:r>
              <w:rPr>
                <w:rFonts w:ascii="Calibri" w:hAnsi="Calibri"/>
                <w:color w:val="1F2937"/>
                <w:sz w:val="20"/>
              </w:rPr>
              <w:t>Operator</w:t>
            </w:r>
          </w:p>
        </w:tc>
        <w:tc>
          <w:tcPr>
            <w:tcW w:type="dxa" w:w="1417"/>
          </w:tcPr>
          <w:p>
            <w:r/>
            <w:r>
              <w:rPr>
                <w:rFonts w:ascii="Calibri" w:hAnsi="Calibri"/>
                <w:color w:val="1F2937"/>
                <w:sz w:val="20"/>
              </w:rPr>
            </w:r>
          </w:p>
        </w:tc>
      </w:tr>
      <w:tr>
        <w:tc>
          <w:tcPr>
            <w:tcW w:type="dxa" w:w="567"/>
          </w:tcPr>
          <w:p>
            <w:r/>
            <w:r>
              <w:rPr>
                <w:rFonts w:ascii="Calibri" w:hAnsi="Calibri"/>
                <w:color w:val="1F2937"/>
                <w:sz w:val="20"/>
              </w:rPr>
              <w:t>12</w:t>
            </w:r>
          </w:p>
        </w:tc>
        <w:tc>
          <w:tcPr>
            <w:tcW w:type="dxa" w:w="3969"/>
          </w:tcPr>
          <w:p>
            <w:r/>
            <w:r>
              <w:rPr>
                <w:rFonts w:ascii="Calibri" w:hAnsi="Calibri"/>
                <w:color w:val="1F2937"/>
                <w:sz w:val="20"/>
              </w:rPr>
              <w:t>Critical parameters binnen specificatie</w:t>
            </w:r>
          </w:p>
        </w:tc>
        <w:tc>
          <w:tcPr>
            <w:tcW w:type="dxa" w:w="2551"/>
          </w:tcPr>
          <w:p>
            <w:r/>
            <w:r>
              <w:rPr>
                <w:rFonts w:ascii="Calibri" w:hAnsi="Calibri"/>
                <w:color w:val="1F2937"/>
                <w:sz w:val="20"/>
              </w:rPr>
              <w:t>Procesingenieur</w:t>
            </w:r>
          </w:p>
        </w:tc>
        <w:tc>
          <w:tcPr>
            <w:tcW w:type="dxa" w:w="1417"/>
          </w:tcPr>
          <w:p>
            <w:r/>
            <w:r>
              <w:rPr>
                <w:rFonts w:ascii="Calibri" w:hAnsi="Calibri"/>
                <w:color w:val="1F2937"/>
                <w:sz w:val="20"/>
              </w:rPr>
            </w:r>
          </w:p>
        </w:tc>
      </w:tr>
      <w:tr>
        <w:tc>
          <w:tcPr>
            <w:tcW w:type="dxa" w:w="567"/>
          </w:tcPr>
          <w:p>
            <w:r/>
            <w:r>
              <w:rPr>
                <w:rFonts w:ascii="Calibri" w:hAnsi="Calibri"/>
                <w:color w:val="1F2937"/>
                <w:sz w:val="20"/>
              </w:rPr>
              <w:t>13</w:t>
            </w:r>
          </w:p>
        </w:tc>
        <w:tc>
          <w:tcPr>
            <w:tcW w:type="dxa" w:w="3969"/>
          </w:tcPr>
          <w:p>
            <w:r/>
            <w:r>
              <w:rPr>
                <w:rFonts w:ascii="Calibri" w:hAnsi="Calibri"/>
                <w:color w:val="1F2937"/>
                <w:sz w:val="20"/>
              </w:rPr>
              <w:t>Stabilisatieperiode voltooid</w:t>
            </w:r>
          </w:p>
        </w:tc>
        <w:tc>
          <w:tcPr>
            <w:tcW w:type="dxa" w:w="2551"/>
          </w:tcPr>
          <w:p>
            <w:r/>
            <w:r>
              <w:rPr>
                <w:rFonts w:ascii="Calibri" w:hAnsi="Calibri"/>
                <w:color w:val="1F2937"/>
                <w:sz w:val="20"/>
              </w:rPr>
              <w:t>Shiftleider</w:t>
            </w:r>
          </w:p>
        </w:tc>
        <w:tc>
          <w:tcPr>
            <w:tcW w:type="dxa" w:w="1417"/>
          </w:tcPr>
          <w:p>
            <w:r/>
            <w:r>
              <w:rPr>
                <w:rFonts w:ascii="Calibri" w:hAnsi="Calibri"/>
                <w:color w:val="1F2937"/>
                <w:sz w:val="20"/>
              </w:rPr>
            </w:r>
          </w:p>
        </w:tc>
      </w:tr>
      <w:tr>
        <w:tc>
          <w:tcPr>
            <w:tcW w:type="dxa" w:w="567"/>
          </w:tcPr>
          <w:p>
            <w:r/>
            <w:r>
              <w:rPr>
                <w:rFonts w:ascii="Calibri" w:hAnsi="Calibri"/>
                <w:color w:val="1F2937"/>
                <w:sz w:val="20"/>
              </w:rPr>
              <w:t>14</w:t>
            </w:r>
          </w:p>
        </w:tc>
        <w:tc>
          <w:tcPr>
            <w:tcW w:type="dxa" w:w="3969"/>
          </w:tcPr>
          <w:p>
            <w:r/>
            <w:r>
              <w:rPr>
                <w:rFonts w:ascii="Calibri" w:hAnsi="Calibri"/>
                <w:color w:val="1F2937"/>
                <w:sz w:val="20"/>
              </w:rPr>
              <w:t>Overdracht naar normaal bedrijf</w:t>
            </w:r>
          </w:p>
        </w:tc>
        <w:tc>
          <w:tcPr>
            <w:tcW w:type="dxa" w:w="2551"/>
          </w:tcPr>
          <w:p>
            <w:r/>
            <w:r>
              <w:rPr>
                <w:rFonts w:ascii="Calibri" w:hAnsi="Calibri"/>
                <w:color w:val="1F2937"/>
                <w:sz w:val="20"/>
              </w:rPr>
              <w:t>Shiftleider</w:t>
            </w:r>
          </w:p>
        </w:tc>
        <w:tc>
          <w:tcPr>
            <w:tcW w:type="dxa" w:w="1417"/>
          </w:tcPr>
          <w:p>
            <w:r/>
            <w:r>
              <w:rPr>
                <w:rFonts w:ascii="Calibri" w:hAnsi="Calibri"/>
                <w:color w:val="1F2937"/>
                <w:sz w:val="20"/>
              </w:rPr>
            </w:r>
          </w:p>
        </w:tc>
      </w:tr>
    </w:tbl>
    <w:p>
      <w:r>
        <w:br w:type="page"/>
      </w:r>
    </w:p>
    <w:p>
      <w:pPr>
        <w:pStyle w:val="Heading1"/>
      </w:pPr>
      <w:r>
        <w:t>7. Rollen en Verantwoordelijkheden</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val="clear"/>
          </w:tcPr>
          <w:p>
            <w:r/>
            <w:r>
              <w:rPr>
                <w:rFonts w:ascii="Calibri" w:hAnsi="Calibri"/>
                <w:b/>
                <w:color w:val="FFFFFF"/>
                <w:sz w:val="20"/>
              </w:rPr>
              <w:t>Rol</w:t>
            </w:r>
          </w:p>
        </w:tc>
        <w:tc>
          <w:tcPr>
            <w:tcW w:type="dxa" w:w="2880"/>
            <w:shd w:fill="003366" w:val="clear"/>
          </w:tcPr>
          <w:p>
            <w:r/>
            <w:r>
              <w:rPr>
                <w:rFonts w:ascii="Calibri" w:hAnsi="Calibri"/>
                <w:b/>
                <w:color w:val="FFFFFF"/>
                <w:sz w:val="20"/>
              </w:rPr>
              <w:t>Verantwoordelijkheid</w:t>
            </w:r>
          </w:p>
        </w:tc>
        <w:tc>
          <w:tcPr>
            <w:tcW w:type="dxa" w:w="2880"/>
            <w:shd w:fill="003366" w:val="clear"/>
          </w:tcPr>
          <w:p>
            <w:r/>
            <w:r>
              <w:rPr>
                <w:rFonts w:ascii="Calibri" w:hAnsi="Calibri"/>
                <w:b/>
                <w:color w:val="FFFFFF"/>
                <w:sz w:val="20"/>
              </w:rPr>
              <w:t>Bevoegdheid</w:t>
            </w:r>
          </w:p>
        </w:tc>
      </w:tr>
      <w:tr>
        <w:tc>
          <w:tcPr>
            <w:tcW w:type="dxa" w:w="2880"/>
          </w:tcPr>
          <w:p>
            <w:r/>
            <w:r>
              <w:rPr>
                <w:rFonts w:ascii="Calibri" w:hAnsi="Calibri"/>
                <w:color w:val="1F2937"/>
                <w:sz w:val="20"/>
              </w:rPr>
              <w:t>Procesoperator</w:t>
            </w:r>
          </w:p>
        </w:tc>
        <w:tc>
          <w:tcPr>
            <w:tcW w:type="dxa" w:w="2880"/>
          </w:tcPr>
          <w:p>
            <w:r/>
            <w:r>
              <w:rPr>
                <w:rFonts w:ascii="Calibri" w:hAnsi="Calibri"/>
                <w:color w:val="1F2937"/>
                <w:sz w:val="20"/>
              </w:rPr>
              <w:t>Uitvoeren VOP-stappen, metingen uitvoeren, rapporteren afwijkingen</w:t>
            </w:r>
          </w:p>
        </w:tc>
        <w:tc>
          <w:tcPr>
            <w:tcW w:type="dxa" w:w="2880"/>
          </w:tcPr>
          <w:p>
            <w:r/>
            <w:r>
              <w:rPr>
                <w:rFonts w:ascii="Calibri" w:hAnsi="Calibri"/>
                <w:color w:val="1F2937"/>
                <w:sz w:val="20"/>
              </w:rPr>
              <w:t>Lokale bediening, klepbediening, meting</w:t>
            </w:r>
          </w:p>
        </w:tc>
      </w:tr>
      <w:tr>
        <w:tc>
          <w:tcPr>
            <w:tcW w:type="dxa" w:w="2880"/>
          </w:tcPr>
          <w:p>
            <w:r/>
            <w:r>
              <w:rPr>
                <w:rFonts w:ascii="Calibri" w:hAnsi="Calibri"/>
                <w:color w:val="1F2937"/>
                <w:sz w:val="20"/>
              </w:rPr>
              <w:t>Shiftleider</w:t>
            </w:r>
          </w:p>
        </w:tc>
        <w:tc>
          <w:tcPr>
            <w:tcW w:type="dxa" w:w="2880"/>
          </w:tcPr>
          <w:p>
            <w:r/>
            <w:r>
              <w:rPr>
                <w:rFonts w:ascii="Calibri" w:hAnsi="Calibri"/>
                <w:color w:val="1F2937"/>
                <w:sz w:val="20"/>
              </w:rPr>
              <w:t>Coördinatie opstart, Toolbox Talk, definitieve goedkeuring</w:t>
            </w:r>
          </w:p>
        </w:tc>
        <w:tc>
          <w:tcPr>
            <w:tcW w:type="dxa" w:w="2880"/>
          </w:tcPr>
          <w:p>
            <w:r/>
            <w:r>
              <w:rPr>
                <w:rFonts w:ascii="Calibri" w:hAnsi="Calibri"/>
                <w:color w:val="1F2937"/>
                <w:sz w:val="20"/>
              </w:rPr>
              <w:t>Start/stop autoriteit, communicatie</w:t>
            </w:r>
          </w:p>
        </w:tc>
      </w:tr>
      <w:tr>
        <w:tc>
          <w:tcPr>
            <w:tcW w:type="dxa" w:w="2880"/>
          </w:tcPr>
          <w:p>
            <w:r/>
            <w:r>
              <w:rPr>
                <w:rFonts w:ascii="Calibri" w:hAnsi="Calibri"/>
                <w:color w:val="1F2937"/>
                <w:sz w:val="20"/>
              </w:rPr>
              <w:t>Onderhoudscoördinator</w:t>
            </w:r>
          </w:p>
        </w:tc>
        <w:tc>
          <w:tcPr>
            <w:tcW w:type="dxa" w:w="2880"/>
          </w:tcPr>
          <w:p>
            <w:r/>
            <w:r>
              <w:rPr>
                <w:rFonts w:ascii="Calibri" w:hAnsi="Calibri"/>
                <w:color w:val="1F2937"/>
                <w:sz w:val="20"/>
              </w:rPr>
              <w:t>Aflsuiten werkvergunningen, LOTO-beheer, mechanische vrijgave</w:t>
            </w:r>
          </w:p>
        </w:tc>
        <w:tc>
          <w:tcPr>
            <w:tcW w:type="dxa" w:w="2880"/>
          </w:tcPr>
          <w:p>
            <w:r/>
            <w:r>
              <w:rPr>
                <w:rFonts w:ascii="Calibri" w:hAnsi="Calibri"/>
                <w:color w:val="1F2937"/>
                <w:sz w:val="20"/>
              </w:rPr>
              <w:t>Werkvergunningbeheer, LOTO-beheer</w:t>
            </w:r>
          </w:p>
        </w:tc>
      </w:tr>
      <w:tr>
        <w:tc>
          <w:tcPr>
            <w:tcW w:type="dxa" w:w="2880"/>
          </w:tcPr>
          <w:p>
            <w:r/>
            <w:r>
              <w:rPr>
                <w:rFonts w:ascii="Calibri" w:hAnsi="Calibri"/>
                <w:color w:val="1F2937"/>
                <w:sz w:val="20"/>
              </w:rPr>
              <w:t>Technicus E&amp;I</w:t>
            </w:r>
          </w:p>
        </w:tc>
        <w:tc>
          <w:tcPr>
            <w:tcW w:type="dxa" w:w="2880"/>
          </w:tcPr>
          <w:p>
            <w:r/>
            <w:r>
              <w:rPr>
                <w:rFonts w:ascii="Calibri" w:hAnsi="Calibri"/>
                <w:color w:val="1F2937"/>
                <w:sz w:val="20"/>
              </w:rPr>
              <w:t>Elektrische vrijgave, instrumentatiecontrole, interlock-testen</w:t>
            </w:r>
          </w:p>
        </w:tc>
        <w:tc>
          <w:tcPr>
            <w:tcW w:type="dxa" w:w="2880"/>
          </w:tcPr>
          <w:p>
            <w:r/>
            <w:r>
              <w:rPr>
                <w:rFonts w:ascii="Calibri" w:hAnsi="Calibri"/>
                <w:color w:val="1F2937"/>
                <w:sz w:val="20"/>
              </w:rPr>
              <w:t>Elektrische en instrumentele vrijgave</w:t>
            </w:r>
          </w:p>
        </w:tc>
      </w:tr>
      <w:tr>
        <w:tc>
          <w:tcPr>
            <w:tcW w:type="dxa" w:w="2880"/>
          </w:tcPr>
          <w:p>
            <w:r/>
            <w:r>
              <w:rPr>
                <w:rFonts w:ascii="Calibri" w:hAnsi="Calibri"/>
                <w:color w:val="1F2937"/>
                <w:sz w:val="20"/>
              </w:rPr>
              <w:t>Procesingenieur</w:t>
            </w:r>
          </w:p>
        </w:tc>
        <w:tc>
          <w:tcPr>
            <w:tcW w:type="dxa" w:w="2880"/>
          </w:tcPr>
          <w:p>
            <w:r/>
            <w:r>
              <w:rPr>
                <w:rFonts w:ascii="Calibri" w:hAnsi="Calibri"/>
                <w:color w:val="1F2937"/>
                <w:sz w:val="20"/>
              </w:rPr>
              <w:t>Critical parameters bewaken, procesadvies, escalatie</w:t>
            </w:r>
          </w:p>
        </w:tc>
        <w:tc>
          <w:tcPr>
            <w:tcW w:type="dxa" w:w="2880"/>
          </w:tcPr>
          <w:p>
            <w:r/>
            <w:r>
              <w:rPr>
                <w:rFonts w:ascii="Calibri" w:hAnsi="Calibri"/>
                <w:color w:val="1F2937"/>
                <w:sz w:val="20"/>
              </w:rPr>
              <w:t>Procesparameter wijzigingen</w:t>
            </w:r>
          </w:p>
        </w:tc>
      </w:tr>
      <w:tr>
        <w:tc>
          <w:tcPr>
            <w:tcW w:type="dxa" w:w="2880"/>
          </w:tcPr>
          <w:p>
            <w:r/>
            <w:r>
              <w:rPr>
                <w:rFonts w:ascii="Calibri" w:hAnsi="Calibri"/>
                <w:color w:val="1F2937"/>
                <w:sz w:val="20"/>
              </w:rPr>
              <w:t>HSEQ-functionaris</w:t>
            </w:r>
          </w:p>
        </w:tc>
        <w:tc>
          <w:tcPr>
            <w:tcW w:type="dxa" w:w="2880"/>
          </w:tcPr>
          <w:p>
            <w:r/>
            <w:r>
              <w:rPr>
                <w:rFonts w:ascii="Calibri" w:hAnsi="Calibri"/>
                <w:color w:val="1F2937"/>
                <w:sz w:val="20"/>
              </w:rPr>
              <w:t>Onafhankelijke controle, audit VOP-uitvoering, incidentregistratie</w:t>
            </w:r>
          </w:p>
        </w:tc>
        <w:tc>
          <w:tcPr>
            <w:tcW w:type="dxa" w:w="2880"/>
          </w:tcPr>
          <w:p>
            <w:r/>
            <w:r>
              <w:rPr>
                <w:rFonts w:ascii="Calibri" w:hAnsi="Calibri"/>
                <w:color w:val="1F2937"/>
                <w:sz w:val="20"/>
              </w:rPr>
              <w:t>Stopwerkbevoegdheid</w:t>
            </w:r>
          </w:p>
        </w:tc>
      </w:tr>
    </w:tbl>
    <w:p>
      <w:r>
        <w:br w:type="page"/>
      </w:r>
    </w:p>
    <w:p>
      <w:pPr>
        <w:pStyle w:val="Heading1"/>
      </w:pPr>
      <w:r>
        <w:t>8. Werkboek</w:t>
      </w:r>
    </w:p>
    <w:p>
      <w:r>
        <w:t>Voltooi de onderstaande oefeningen om je kennis van de VOP-procedure te verifiëren. Beschikbare tijd: 60 minuten.</w:t>
      </w:r>
    </w:p>
    <w:p>
      <w:pPr>
        <w:pStyle w:val="Heading2"/>
      </w:pPr>
      <w:r>
        <w:t>Oefening 1: VOP Stappen Ordenen</w:t>
      </w:r>
    </w:p>
    <w:p>
      <w:r>
        <w:t>Plaats de volgende VOP-stappen in de juiste volgorde (1 = eerst, 8 = laatste). Schrijf het nummer voor elke stap.</w:t>
      </w:r>
    </w:p>
    <w:p>
      <w:r>
        <w:t>A. ___ Stikstof spoeling uitvoeren</w:t>
      </w:r>
    </w:p>
    <w:p>
      <w:r>
        <w:t>B. ___ Visuele inspectie van installatie</w:t>
      </w:r>
    </w:p>
    <w:p>
      <w:r>
        <w:t>C. ___ Overdracht naar normaal bedrijf</w:t>
      </w:r>
    </w:p>
    <w:p>
      <w:r>
        <w:t>D. ___ Toolbox Talk houden</w:t>
      </w:r>
    </w:p>
    <w:p>
      <w:r>
        <w:t>E. ___ LOTO verificatie en verwijdering</w:t>
      </w:r>
    </w:p>
    <w:p>
      <w:r>
        <w:t>F. ___ Drukproef uitvoeren</w:t>
      </w:r>
    </w:p>
    <w:p>
      <w:r>
        <w:t>G. ___ Werkvergunningen controleren en afsluiten</w:t>
      </w:r>
    </w:p>
    <w:p>
      <w:r>
        <w:t>H. ___ Procesmedia introduceren</w:t>
      </w:r>
    </w:p>
    <w:p>
      <w:pPr>
        <w:pStyle w:val="Heading2"/>
      </w:pPr>
      <w:r>
        <w:t>Oefening 2: Scenario Reactor Opstart</w:t>
      </w:r>
    </w:p>
    <w:p>
      <w:r>
        <w:t>Scenario: Tijdens de opstart van de vanadium reactor meet je een reactortemperatuur van 375°C terwijl de nominale maximumtemperatuur 385°C is. Het alarm is ingesteld op 370°C.</w:t>
      </w:r>
    </w:p>
    <w:p>
      <w:r>
        <w:t>Beantwoord de volgende vragen:</w:t>
      </w:r>
    </w:p>
    <w:p>
      <w:r>
        <w:t>1. Is de huidige temperatuur binnen de veilige marge? Licht je antwoord toe.</w:t>
      </w:r>
    </w:p>
    <w:p>
      <w:r>
        <w:t>2. Welke actie onderneem je op basis van het alarmniveau?</w:t>
      </w:r>
    </w:p>
    <w:p>
      <w:r>
        <w:t>3. Bij welke temperatuur treedt de noodstop in werking?</w:t>
      </w:r>
    </w:p>
    <w:p>
      <w:r>
        <w:t>4. Beschrijf de volledige escalatieprocedure in dit scenario.</w:t>
      </w:r>
    </w:p>
    <w:p>
      <w:pPr>
        <w:pStyle w:val="Heading2"/>
      </w:pPr>
      <w:r>
        <w:t>Oefening 3: Checklist Invuloefening</w:t>
      </w:r>
    </w:p>
    <w:p>
      <w:r>
        <w:t>Vul de onderstaande verkorte VOP-checklist in alsof je een opstart uitvoert van het H2SO4-circuit na een geplande revisie. Kruis aan of vink af.</w:t>
      </w:r>
    </w:p>
    <w:tbl>
      <w:tblPr>
        <w:tblStyle w:val="TableGrid"/>
        <w:tblW w:type="auto" w:w="0"/>
        <w:tblLook w:firstColumn="1" w:firstRow="1" w:lastColumn="0" w:lastRow="0" w:noHBand="0" w:noVBand="1" w:val="04A0"/>
      </w:tblPr>
      <w:tblGrid>
        <w:gridCol w:w="2880"/>
        <w:gridCol w:w="2880"/>
        <w:gridCol w:w="2880"/>
      </w:tblGrid>
      <w:tr>
        <w:tc>
          <w:tcPr>
            <w:tcW w:type="dxa" w:w="2880"/>
            <w:shd w:fill="003366" w:val="clear"/>
          </w:tcPr>
          <w:p>
            <w:r/>
            <w:r>
              <w:rPr>
                <w:rFonts w:ascii="Calibri" w:hAnsi="Calibri"/>
                <w:b/>
                <w:color w:val="FFFFFF"/>
                <w:sz w:val="20"/>
              </w:rPr>
              <w:t>Controle-item</w:t>
            </w:r>
          </w:p>
        </w:tc>
        <w:tc>
          <w:tcPr>
            <w:tcW w:type="dxa" w:w="2880"/>
            <w:shd w:fill="003366" w:val="clear"/>
          </w:tcPr>
          <w:p>
            <w:r/>
            <w:r>
              <w:rPr>
                <w:rFonts w:ascii="Calibri" w:hAnsi="Calibri"/>
                <w:b/>
                <w:color w:val="FFFFFF"/>
                <w:sz w:val="20"/>
              </w:rPr>
              <w:t>Status (OK/NOK/NVT)</w:t>
            </w:r>
          </w:p>
        </w:tc>
        <w:tc>
          <w:tcPr>
            <w:tcW w:type="dxa" w:w="2880"/>
            <w:shd w:fill="003366" w:val="clear"/>
          </w:tcPr>
          <w:p>
            <w:r/>
            <w:r>
              <w:rPr>
                <w:rFonts w:ascii="Calibri" w:hAnsi="Calibri"/>
                <w:b/>
                <w:color w:val="FFFFFF"/>
                <w:sz w:val="20"/>
              </w:rPr>
              <w:t>Opmerkingen</w:t>
            </w:r>
          </w:p>
        </w:tc>
      </w:tr>
      <w:tr>
        <w:tc>
          <w:tcPr>
            <w:tcW w:type="dxa" w:w="2880"/>
          </w:tcPr>
          <w:p>
            <w:r>
              <w:rPr>
                <w:rFonts w:ascii="Calibri" w:hAnsi="Calibri"/>
                <w:sz w:val="20"/>
              </w:rPr>
              <w:t>H2SO4-concentratie gemeten (96-98%)</w:t>
            </w:r>
          </w:p>
        </w:tc>
        <w:tc>
          <w:tcPr>
            <w:tcW w:type="dxa" w:w="2880"/>
          </w:tcPr>
          <w:p/>
        </w:tc>
        <w:tc>
          <w:tcPr>
            <w:tcW w:type="dxa" w:w="2880"/>
          </w:tcPr>
          <w:p/>
        </w:tc>
      </w:tr>
      <w:tr>
        <w:tc>
          <w:tcPr>
            <w:tcW w:type="dxa" w:w="2880"/>
          </w:tcPr>
          <w:p>
            <w:r>
              <w:rPr>
                <w:rFonts w:ascii="Calibri" w:hAnsi="Calibri"/>
                <w:sz w:val="20"/>
              </w:rPr>
              <w:t>Lekdetectiesysteem getest</w:t>
            </w:r>
          </w:p>
        </w:tc>
        <w:tc>
          <w:tcPr>
            <w:tcW w:type="dxa" w:w="2880"/>
          </w:tcPr>
          <w:p/>
        </w:tc>
        <w:tc>
          <w:tcPr>
            <w:tcW w:type="dxa" w:w="2880"/>
          </w:tcPr>
          <w:p/>
        </w:tc>
      </w:tr>
      <w:tr>
        <w:tc>
          <w:tcPr>
            <w:tcW w:type="dxa" w:w="2880"/>
          </w:tcPr>
          <w:p>
            <w:r>
              <w:rPr>
                <w:rFonts w:ascii="Calibri" w:hAnsi="Calibri"/>
                <w:sz w:val="20"/>
              </w:rPr>
              <w:t>Afdichtingen pompen gecontroleerd</w:t>
            </w:r>
          </w:p>
        </w:tc>
        <w:tc>
          <w:tcPr>
            <w:tcW w:type="dxa" w:w="2880"/>
          </w:tcPr>
          <w:p/>
        </w:tc>
        <w:tc>
          <w:tcPr>
            <w:tcW w:type="dxa" w:w="2880"/>
          </w:tcPr>
          <w:p/>
        </w:tc>
      </w:tr>
      <w:tr>
        <w:tc>
          <w:tcPr>
            <w:tcW w:type="dxa" w:w="2880"/>
          </w:tcPr>
          <w:p>
            <w:r>
              <w:rPr>
                <w:rFonts w:ascii="Calibri" w:hAnsi="Calibri"/>
                <w:sz w:val="20"/>
              </w:rPr>
              <w:t>Ventilatie debiet geverifieerd (&gt;500 m³/h)</w:t>
            </w:r>
          </w:p>
        </w:tc>
        <w:tc>
          <w:tcPr>
            <w:tcW w:type="dxa" w:w="2880"/>
          </w:tcPr>
          <w:p/>
        </w:tc>
        <w:tc>
          <w:tcPr>
            <w:tcW w:type="dxa" w:w="2880"/>
          </w:tcPr>
          <w:p/>
        </w:tc>
      </w:tr>
      <w:tr>
        <w:tc>
          <w:tcPr>
            <w:tcW w:type="dxa" w:w="2880"/>
          </w:tcPr>
          <w:p>
            <w:r>
              <w:rPr>
                <w:rFonts w:ascii="Calibri" w:hAnsi="Calibri"/>
                <w:sz w:val="20"/>
              </w:rPr>
              <w:t>Temperatuur opslagtank &lt;40°C</w:t>
            </w:r>
          </w:p>
        </w:tc>
        <w:tc>
          <w:tcPr>
            <w:tcW w:type="dxa" w:w="2880"/>
          </w:tcPr>
          <w:p/>
        </w:tc>
        <w:tc>
          <w:tcPr>
            <w:tcW w:type="dxa" w:w="2880"/>
          </w:tcPr>
          <w:p/>
        </w:tc>
      </w:tr>
      <w:tr>
        <w:tc>
          <w:tcPr>
            <w:tcW w:type="dxa" w:w="2880"/>
          </w:tcPr>
          <w:p>
            <w:r>
              <w:rPr>
                <w:rFonts w:ascii="Calibri" w:hAnsi="Calibri"/>
                <w:sz w:val="20"/>
              </w:rPr>
              <w:t>Interlock doseerpomp getest</w:t>
            </w:r>
          </w:p>
        </w:tc>
        <w:tc>
          <w:tcPr>
            <w:tcW w:type="dxa" w:w="2880"/>
          </w:tcPr>
          <w:p/>
        </w:tc>
        <w:tc>
          <w:tcPr>
            <w:tcW w:type="dxa" w:w="2880"/>
          </w:tcPr>
          <w:p/>
        </w:tc>
      </w:tr>
      <w:tr>
        <w:tc>
          <w:tcPr>
            <w:tcW w:type="dxa" w:w="2880"/>
          </w:tcPr>
          <w:p>
            <w:r>
              <w:rPr>
                <w:rFonts w:ascii="Calibri" w:hAnsi="Calibri"/>
                <w:sz w:val="20"/>
              </w:rPr>
              <w:t>LOTO verwijderd en gedocumenteerd</w:t>
            </w:r>
          </w:p>
        </w:tc>
        <w:tc>
          <w:tcPr>
            <w:tcW w:type="dxa" w:w="2880"/>
          </w:tcPr>
          <w:p/>
        </w:tc>
        <w:tc>
          <w:tcPr>
            <w:tcW w:type="dxa" w:w="2880"/>
          </w:tcPr>
          <w:p/>
        </w:tc>
      </w:tr>
      <w:tr>
        <w:tc>
          <w:tcPr>
            <w:tcW w:type="dxa" w:w="2880"/>
          </w:tcPr>
          <w:p>
            <w:r>
              <w:rPr>
                <w:rFonts w:ascii="Calibri" w:hAnsi="Calibri"/>
                <w:sz w:val="20"/>
              </w:rPr>
              <w:t>Nooddouches en oogdouches gecontroleerd</w:t>
            </w:r>
          </w:p>
        </w:tc>
        <w:tc>
          <w:tcPr>
            <w:tcW w:type="dxa" w:w="2880"/>
          </w:tcPr>
          <w:p/>
        </w:tc>
        <w:tc>
          <w:tcPr>
            <w:tcW w:type="dxa" w:w="2880"/>
          </w:tcPr>
          <w:p/>
        </w:tc>
      </w:tr>
    </w:tbl>
    <w:p/>
    <w:p>
      <w:pPr>
        <w:pStyle w:val="Heading2"/>
      </w:pPr>
      <w:r>
        <w:t>Oefening 4: Quiz Critical Parameters</w:t>
      </w:r>
    </w:p>
    <w:p>
      <w:r>
        <w:t>Beantwoord de volgende vragen over critical parameters:</w:t>
      </w:r>
    </w:p>
    <w:p>
      <w:r>
        <w:t>1. Wat is de maximale reactortemperatuur van de vanadium reactor?</w:t>
        <w:br/>
        <w:t>Antwoord: _______________</w:t>
      </w:r>
    </w:p>
    <w:p>
      <w:r>
        <w:t>2. Bij welk zuurstofpercentage in de leidingen is de inertgas spoeling voldoende?</w:t>
        <w:br/>
        <w:t>Antwoord: _______________</w:t>
      </w:r>
    </w:p>
    <w:p>
      <w:r>
        <w:t>3. Wat is de minimum H2SO4-concentratie om corrosieproblemen te voorkomen?</w:t>
        <w:br/>
        <w:t>Antwoord: _______________</w:t>
      </w:r>
    </w:p>
    <w:p>
      <w:r>
        <w:t>4. Wat is het LEL-percentage voor stof dat niet mag worden overschreden?</w:t>
        <w:br/>
        <w:t>Antwoord: _______________</w:t>
      </w:r>
    </w:p>
    <w:p>
      <w:r>
        <w:t>5. Bij welke druk treedt de noodstop van de vanadium reactor in?</w:t>
        <w:br/>
        <w:t>Antwoord: _______________</w:t>
      </w:r>
    </w:p>
    <w:p>
      <w:r>
        <w:t>6. Wat is de minimum ventilatiesnelheid in de stofverwerkingseenheid transportleidingen?</w:t>
        <w:br/>
        <w:t>Antwoord: _______________</w:t>
      </w:r>
    </w:p>
    <w:p>
      <w:r>
        <w:br w:type="page"/>
      </w:r>
    </w:p>
    <w:p>
      <w:pPr>
        <w:pStyle w:val="Heading1"/>
      </w:pPr>
      <w:r>
        <w:t>9. Samenvatting</w:t>
      </w:r>
    </w:p>
    <w:p>
      <w:r>
        <w:t>Een Veilige Opstart Procedure (VOP) is een essentieel onderdeel van veilige bedrijfsvoering binnen Phoenix Metals. De belangrijkste punten uit deze handleiding:</w:t>
      </w:r>
    </w:p>
    <w:p>
      <w:pPr>
        <w:pStyle w:val="ListBullet"/>
      </w:pPr>
      <w:r>
        <w:t>Een VOP is verplicht na uitval, onderhoud, modificatie of langdurige stilstand.</w:t>
      </w:r>
    </w:p>
    <w:p>
      <w:pPr>
        <w:pStyle w:val="ListBullet"/>
      </w:pPr>
      <w:r>
        <w:t>Het wettelijk kader (BRZO, NTA 8620, Seveso III) vereist gestructureerde opstartprocedures.</w:t>
      </w:r>
    </w:p>
    <w:p>
      <w:pPr>
        <w:pStyle w:val="ListBullet"/>
      </w:pPr>
      <w:r>
        <w:t>Het VOP-stappenplan omvat 13 opeenvolgende stappen, van voorbereiding tot overdracht.</w:t>
      </w:r>
    </w:p>
    <w:p>
      <w:pPr>
        <w:pStyle w:val="ListBullet"/>
      </w:pPr>
      <w:r>
        <w:t>Elke installatie (vanadium reactor, H2SO4-circuit, stofverwerkingseenheid) kent eigen critical parameters.</w:t>
      </w:r>
    </w:p>
    <w:p>
      <w:pPr>
        <w:pStyle w:val="ListBullet"/>
      </w:pPr>
      <w:r>
        <w:t>LOTO-verificatie, communicatie en continue monitoring zijn de belangrijkste veiligheidsbarrieres.</w:t>
      </w:r>
    </w:p>
    <w:p>
      <w:pPr>
        <w:pStyle w:val="ListBullet"/>
      </w:pPr>
      <w:r>
        <w:t>De VOP-checklist moet volledig worden afgetekend voordat de opstart start.</w:t>
      </w:r>
    </w:p>
    <w:p>
      <w:pPr>
        <w:pStyle w:val="ListBullet"/>
      </w:pPr>
      <w:r>
        <w:t>Rollenscheiding zorgt dat elke stap door de bevoegde functionaris wordt uitgevoerd.</w:t>
      </w:r>
    </w:p>
    <w:p>
      <w:r>
        <w:br w:type="page"/>
      </w:r>
    </w:p>
    <w:p>
      <w:pPr>
        <w:pStyle w:val="Heading1"/>
      </w:pPr>
      <w:r>
        <w:t>10. Bronverwijzingen</w:t>
      </w:r>
    </w:p>
    <w:p>
      <w:r>
        <w:t>[1] BRZO 1999 (Besluit Risico's Zware Ongevallen 1999), Bijlage III - Veiligheidsbeheerssysteem en veilige opstartprocedures voor Seveso-inrichtingen. Overheidswetgeving Nederland.</w:t>
      </w:r>
    </w:p>
    <w:p>
      <w:r>
        <w:t>[2] NTA 8620 - Veiligheidsmanagementsystemen voor procesinstallaties, Nederlandse Technische Afspraak, NEN. Inclusief eisen voor opstart- en stilstandprocedures.</w:t>
      </w:r>
    </w:p>
    <w:p>
      <w:r>
        <w:t>[3] Seveso III Richtlijn (2012/18/EU) - Richtlijn van het Europees Parlement en de Raad betreffende de controle op gevaren van zware ongevallen waarbij gevaarlijke stoffen betrokken zijn.</w:t>
      </w:r>
    </w:p>
    <w:p/>
    <w:p>
      <w:pPr>
        <w:pStyle w:val="Heading1"/>
      </w:pPr>
      <w:r>
        <w:t>11. TierVerify Log</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r/>
            <w:r>
              <w:rPr>
                <w:rFonts w:ascii="Calibri" w:hAnsi="Calibri"/>
                <w:b/>
                <w:color w:val="FFFFFF"/>
                <w:sz w:val="20"/>
              </w:rPr>
              <w:t>Check</w:t>
            </w:r>
          </w:p>
        </w:tc>
        <w:tc>
          <w:tcPr>
            <w:tcW w:type="dxa" w:w="2160"/>
            <w:shd w:fill="003366" w:val="clear"/>
          </w:tcPr>
          <w:p>
            <w:r/>
            <w:r>
              <w:rPr>
                <w:rFonts w:ascii="Calibri" w:hAnsi="Calibri"/>
                <w:b/>
                <w:color w:val="FFFFFF"/>
                <w:sz w:val="20"/>
              </w:rPr>
              <w:t>Bron</w:t>
            </w:r>
          </w:p>
        </w:tc>
        <w:tc>
          <w:tcPr>
            <w:tcW w:type="dxa" w:w="2160"/>
            <w:shd w:fill="003366" w:val="clear"/>
          </w:tcPr>
          <w:p>
            <w:r/>
            <w:r>
              <w:rPr>
                <w:rFonts w:ascii="Calibri" w:hAnsi="Calibri"/>
                <w:b/>
                <w:color w:val="FFFFFF"/>
                <w:sz w:val="20"/>
              </w:rPr>
              <w:t>Status</w:t>
            </w:r>
          </w:p>
        </w:tc>
        <w:tc>
          <w:tcPr>
            <w:tcW w:type="dxa" w:w="2160"/>
            <w:shd w:fill="003366" w:val="clear"/>
          </w:tcPr>
          <w:p>
            <w:r/>
            <w:r>
              <w:rPr>
                <w:rFonts w:ascii="Calibri" w:hAnsi="Calibri"/>
                <w:b/>
                <w:color w:val="FFFFFF"/>
                <w:sz w:val="20"/>
              </w:rPr>
              <w:t>Opmerking</w:t>
            </w:r>
          </w:p>
        </w:tc>
      </w:tr>
      <w:tr>
        <w:tc>
          <w:tcPr>
            <w:tcW w:type="dxa" w:w="2160"/>
          </w:tcPr>
          <w:p>
            <w:r/>
            <w:r>
              <w:rPr>
                <w:rFonts w:ascii="Calibri" w:hAnsi="Calibri"/>
                <w:color w:val="1F2937"/>
                <w:sz w:val="20"/>
              </w:rPr>
              <w:t>VOP-definitie accuraat</w:t>
            </w:r>
          </w:p>
        </w:tc>
        <w:tc>
          <w:tcPr>
            <w:tcW w:type="dxa" w:w="2160"/>
          </w:tcPr>
          <w:p>
            <w:r/>
            <w:r>
              <w:rPr>
                <w:rFonts w:ascii="Calibri" w:hAnsi="Calibri"/>
                <w:color w:val="1F2937"/>
                <w:sz w:val="20"/>
              </w:rPr>
              <w:t>BRZO 1999 Bijlage III [1]</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Conform wettekst</w:t>
            </w:r>
          </w:p>
        </w:tc>
      </w:tr>
      <w:tr>
        <w:tc>
          <w:tcPr>
            <w:tcW w:type="dxa" w:w="2160"/>
          </w:tcPr>
          <w:p>
            <w:r/>
            <w:r>
              <w:rPr>
                <w:rFonts w:ascii="Calibri" w:hAnsi="Calibri"/>
                <w:color w:val="1F2937"/>
                <w:sz w:val="20"/>
              </w:rPr>
              <w:t>Stappenplan volledigheid</w:t>
            </w:r>
          </w:p>
        </w:tc>
        <w:tc>
          <w:tcPr>
            <w:tcW w:type="dxa" w:w="2160"/>
          </w:tcPr>
          <w:p>
            <w:r/>
            <w:r>
              <w:rPr>
                <w:rFonts w:ascii="Calibri" w:hAnsi="Calibri"/>
                <w:color w:val="1F2937"/>
                <w:sz w:val="20"/>
              </w:rPr>
              <w:t>NTA 8620 [2]</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13 stappen conform best practice</w:t>
            </w:r>
          </w:p>
        </w:tc>
      </w:tr>
      <w:tr>
        <w:tc>
          <w:tcPr>
            <w:tcW w:type="dxa" w:w="2160"/>
          </w:tcPr>
          <w:p>
            <w:r/>
            <w:r>
              <w:rPr>
                <w:rFonts w:ascii="Calibri" w:hAnsi="Calibri"/>
                <w:color w:val="1F2937"/>
                <w:sz w:val="20"/>
              </w:rPr>
              <w:t>Critical parameters reactor</w:t>
            </w:r>
          </w:p>
        </w:tc>
        <w:tc>
          <w:tcPr>
            <w:tcW w:type="dxa" w:w="2160"/>
          </w:tcPr>
          <w:p>
            <w:r/>
            <w:r>
              <w:rPr>
                <w:rFonts w:ascii="Calibri" w:hAnsi="Calibri"/>
                <w:color w:val="1F2937"/>
                <w:sz w:val="20"/>
              </w:rPr>
              <w:t>Phoenix Metals procesdata</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Actuele waarden</w:t>
            </w:r>
          </w:p>
        </w:tc>
      </w:tr>
      <w:tr>
        <w:tc>
          <w:tcPr>
            <w:tcW w:type="dxa" w:w="2160"/>
          </w:tcPr>
          <w:p>
            <w:r/>
            <w:r>
              <w:rPr>
                <w:rFonts w:ascii="Calibri" w:hAnsi="Calibri"/>
                <w:color w:val="1F2937"/>
                <w:sz w:val="20"/>
              </w:rPr>
              <w:t>Critical parameters H2SO4</w:t>
            </w:r>
          </w:p>
        </w:tc>
        <w:tc>
          <w:tcPr>
            <w:tcW w:type="dxa" w:w="2160"/>
          </w:tcPr>
          <w:p>
            <w:r/>
            <w:r>
              <w:rPr>
                <w:rFonts w:ascii="Calibri" w:hAnsi="Calibri"/>
                <w:color w:val="1F2937"/>
                <w:sz w:val="20"/>
              </w:rPr>
              <w:t>Phoenix Metals procesdata</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Actuele waarden</w:t>
            </w:r>
          </w:p>
        </w:tc>
      </w:tr>
      <w:tr>
        <w:tc>
          <w:tcPr>
            <w:tcW w:type="dxa" w:w="2160"/>
          </w:tcPr>
          <w:p>
            <w:r/>
            <w:r>
              <w:rPr>
                <w:rFonts w:ascii="Calibri" w:hAnsi="Calibri"/>
                <w:color w:val="1F2937"/>
                <w:sz w:val="20"/>
              </w:rPr>
              <w:t>Critical parameters stof</w:t>
            </w:r>
          </w:p>
        </w:tc>
        <w:tc>
          <w:tcPr>
            <w:tcW w:type="dxa" w:w="2160"/>
          </w:tcPr>
          <w:p>
            <w:r/>
            <w:r>
              <w:rPr>
                <w:rFonts w:ascii="Calibri" w:hAnsi="Calibri"/>
                <w:color w:val="1F2937"/>
                <w:sz w:val="20"/>
              </w:rPr>
              <w:t>ATEX-richtlijn + procesdata</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LEL-waarde conform norm</w:t>
            </w:r>
          </w:p>
        </w:tc>
      </w:tr>
      <w:tr>
        <w:tc>
          <w:tcPr>
            <w:tcW w:type="dxa" w:w="2160"/>
          </w:tcPr>
          <w:p>
            <w:r/>
            <w:r>
              <w:rPr>
                <w:rFonts w:ascii="Calibri" w:hAnsi="Calibri"/>
                <w:color w:val="1F2937"/>
                <w:sz w:val="20"/>
              </w:rPr>
              <w:t>Rollen en bevoegdheden</w:t>
            </w:r>
          </w:p>
        </w:tc>
        <w:tc>
          <w:tcPr>
            <w:tcW w:type="dxa" w:w="2160"/>
          </w:tcPr>
          <w:p>
            <w:r/>
            <w:r>
              <w:rPr>
                <w:rFonts w:ascii="Calibri" w:hAnsi="Calibri"/>
                <w:color w:val="1F2937"/>
                <w:sz w:val="20"/>
              </w:rPr>
              <w:t>Intern VBS document</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Conform organisatie</w:t>
            </w:r>
          </w:p>
        </w:tc>
      </w:tr>
      <w:tr>
        <w:tc>
          <w:tcPr>
            <w:tcW w:type="dxa" w:w="2160"/>
          </w:tcPr>
          <w:p>
            <w:r/>
            <w:r>
              <w:rPr>
                <w:rFonts w:ascii="Calibri" w:hAnsi="Calibri"/>
                <w:color w:val="1F2937"/>
                <w:sz w:val="20"/>
              </w:rPr>
              <w:t>Wettelijk kader compleet</w:t>
            </w:r>
          </w:p>
        </w:tc>
        <w:tc>
          <w:tcPr>
            <w:tcW w:type="dxa" w:w="2160"/>
          </w:tcPr>
          <w:p>
            <w:r/>
            <w:r>
              <w:rPr>
                <w:rFonts w:ascii="Calibri" w:hAnsi="Calibri"/>
                <w:color w:val="1F2937"/>
                <w:sz w:val="20"/>
              </w:rPr>
              <w:t>BRZO [1], NTA 8620 [2], Seveso III [3]</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Drie primaire bronnen gedekt</w:t>
            </w:r>
          </w:p>
        </w:tc>
      </w:tr>
      <w:tr>
        <w:tc>
          <w:tcPr>
            <w:tcW w:type="dxa" w:w="2160"/>
          </w:tcPr>
          <w:p>
            <w:r/>
            <w:r>
              <w:rPr>
                <w:rFonts w:ascii="Calibri" w:hAnsi="Calibri"/>
                <w:color w:val="1F2937"/>
                <w:sz w:val="20"/>
              </w:rPr>
              <w:t>Checklist items volledig</w:t>
            </w:r>
          </w:p>
        </w:tc>
        <w:tc>
          <w:tcPr>
            <w:tcW w:type="dxa" w:w="2160"/>
          </w:tcPr>
          <w:p>
            <w:r/>
            <w:r>
              <w:rPr>
                <w:rFonts w:ascii="Calibri" w:hAnsi="Calibri"/>
                <w:color w:val="1F2937"/>
                <w:sz w:val="20"/>
              </w:rPr>
              <w:t>NTA 8620 + intern beleid</w:t>
            </w:r>
          </w:p>
        </w:tc>
        <w:tc>
          <w:tcPr>
            <w:tcW w:type="dxa" w:w="2160"/>
          </w:tcPr>
          <w:p>
            <w:r/>
            <w:r>
              <w:rPr>
                <w:rFonts w:ascii="Calibri" w:hAnsi="Calibri"/>
                <w:color w:val="1F2937"/>
                <w:sz w:val="20"/>
              </w:rPr>
              <w:t>Geverifieerd</w:t>
            </w:r>
          </w:p>
        </w:tc>
        <w:tc>
          <w:tcPr>
            <w:tcW w:type="dxa" w:w="2160"/>
          </w:tcPr>
          <w:p>
            <w:r/>
            <w:r>
              <w:rPr>
                <w:rFonts w:ascii="Calibri" w:hAnsi="Calibri"/>
                <w:color w:val="1F2937"/>
                <w:sz w:val="20"/>
              </w:rPr>
              <w:t>14 items</w:t>
            </w:r>
          </w:p>
        </w:tc>
      </w:tr>
    </w:tbl>
    <w:p/>
    <w:p>
      <w:r>
        <w:rPr>
          <w:rFonts w:ascii="Calibri" w:hAnsi="Calibri"/>
          <w:b/>
          <w:color w:val="008000"/>
          <w:sz w:val="22"/>
        </w:rPr>
        <w:t>TierVerify Status: ALLE CONTROLES GESLAAGD</w:t>
      </w:r>
    </w:p>
    <w:p>
      <w:r>
        <w:rPr>
          <w:rFonts w:ascii="Calibri" w:hAnsi="Calibri"/>
          <w:color w:val="999999"/>
          <w:sz w:val="18"/>
        </w:rPr>
        <w:t>Geverifieerd door: Kas | Datum: 2026-04-29 | Versie: 1.0</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