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Pr>
        <w:jc w:val="center"/>
      </w:pPr>
      <w:r>
        <w:rPr>
          <w:rFonts w:ascii="Calibri" w:hAnsi="Calibri"/>
          <w:b/>
          <w:color w:val="003366"/>
          <w:sz w:val="56"/>
        </w:rPr>
        <w:br/>
        <w:br/>
        <w:t>Evacuatieoefening</w:t>
        <w:br/>
        <w:t>Handleiding en Werkboek</w:t>
      </w:r>
    </w:p>
    <w:p>
      <w:pPr>
        <w:jc w:val="center"/>
      </w:pPr>
      <w:r>
        <w:rPr>
          <w:rFonts w:ascii="Calibri" w:hAnsi="Calibri"/>
          <w:color w:val="1F2937"/>
          <w:sz w:val="32"/>
        </w:rPr>
        <w:br/>
        <w:t>Phoenix Metals</w:t>
        <w:br/>
        <w:t>VBS Element 1 eLearning Module T04</w:t>
      </w:r>
    </w:p>
    <w:p>
      <w:pPr>
        <w:jc w:val="center"/>
      </w:pPr>
      <w:r>
        <w:rPr>
          <w:rFonts w:ascii="Calibri" w:hAnsi="Calibri"/>
          <w:color w:val="999999"/>
          <w:sz w:val="20"/>
        </w:rPr>
        <w:br/>
        <w:br/>
        <w:t>JvG Consultancy | Safety • Governance • Advisory</w:t>
      </w:r>
    </w:p>
    <w:p>
      <w:r>
        <w:br w:type="page"/>
      </w:r>
    </w:p>
    <w:p>
      <w:pPr>
        <w:pStyle w:val="Heading1"/>
      </w:pPr>
      <w:r>
        <w:t>Documentinformatie</w:t>
      </w:r>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rFonts w:ascii="Calibri" w:hAnsi="Calibri"/>
                <w:b/>
                <w:color w:val="FFFFFF"/>
                <w:sz w:val="20"/>
              </w:rPr>
              <w:t>Veld</w:t>
            </w:r>
          </w:p>
        </w:tc>
        <w:tc>
          <w:tcPr>
            <w:tcW w:type="dxa" w:w="4320"/>
          </w:tcPr>
          <w:p>
            <w:r/>
            <w:r>
              <w:rPr>
                <w:rFonts w:ascii="Calibri" w:hAnsi="Calibri"/>
                <w:b/>
                <w:color w:val="FFFFFF"/>
                <w:sz w:val="20"/>
              </w:rPr>
              <w:t>Waarde</w:t>
            </w:r>
          </w:p>
        </w:tc>
      </w:tr>
      <w:tr>
        <w:tc>
          <w:tcPr>
            <w:tcW w:type="dxa" w:w="4320"/>
          </w:tcPr>
          <w:p>
            <w:r/>
            <w:r>
              <w:rPr>
                <w:rFonts w:ascii="Calibri" w:hAnsi="Calibri"/>
                <w:sz w:val="20"/>
              </w:rPr>
              <w:t>Project</w:t>
            </w:r>
          </w:p>
        </w:tc>
        <w:tc>
          <w:tcPr>
            <w:tcW w:type="dxa" w:w="4320"/>
          </w:tcPr>
          <w:p>
            <w:r/>
            <w:r>
              <w:rPr>
                <w:rFonts w:ascii="Calibri" w:hAnsi="Calibri"/>
                <w:sz w:val="20"/>
              </w:rPr>
              <w:t>VBS Element 1 eLearning</w:t>
            </w:r>
          </w:p>
        </w:tc>
      </w:tr>
      <w:tr>
        <w:tc>
          <w:tcPr>
            <w:tcW w:type="dxa" w:w="4320"/>
          </w:tcPr>
          <w:p>
            <w:r/>
            <w:r>
              <w:rPr>
                <w:rFonts w:ascii="Calibri" w:hAnsi="Calibri"/>
                <w:sz w:val="20"/>
              </w:rPr>
              <w:t>Type</w:t>
            </w:r>
          </w:p>
        </w:tc>
        <w:tc>
          <w:tcPr>
            <w:tcW w:type="dxa" w:w="4320"/>
          </w:tcPr>
          <w:p>
            <w:r/>
            <w:r>
              <w:rPr>
                <w:rFonts w:ascii="Calibri" w:hAnsi="Calibri"/>
                <w:sz w:val="20"/>
              </w:rPr>
              <w:t>Handleiding en Werkboek</w:t>
            </w:r>
          </w:p>
        </w:tc>
      </w:tr>
      <w:tr>
        <w:tc>
          <w:tcPr>
            <w:tcW w:type="dxa" w:w="4320"/>
          </w:tcPr>
          <w:p>
            <w:r/>
            <w:r>
              <w:rPr>
                <w:rFonts w:ascii="Calibri" w:hAnsi="Calibri"/>
                <w:sz w:val="20"/>
              </w:rPr>
              <w:t>Auteur</w:t>
            </w:r>
          </w:p>
        </w:tc>
        <w:tc>
          <w:tcPr>
            <w:tcW w:type="dxa" w:w="4320"/>
          </w:tcPr>
          <w:p>
            <w:r/>
            <w:r>
              <w:rPr>
                <w:rFonts w:ascii="Calibri" w:hAnsi="Calibri"/>
                <w:sz w:val="20"/>
              </w:rPr>
              <w:t>Kas</w:t>
            </w:r>
          </w:p>
        </w:tc>
      </w:tr>
      <w:tr>
        <w:tc>
          <w:tcPr>
            <w:tcW w:type="dxa" w:w="4320"/>
          </w:tcPr>
          <w:p>
            <w:r/>
            <w:r>
              <w:rPr>
                <w:rFonts w:ascii="Calibri" w:hAnsi="Calibri"/>
                <w:sz w:val="20"/>
              </w:rPr>
              <w:t>Versie</w:t>
            </w:r>
          </w:p>
        </w:tc>
        <w:tc>
          <w:tcPr>
            <w:tcW w:type="dxa" w:w="4320"/>
          </w:tcPr>
          <w:p>
            <w:r/>
            <w:r>
              <w:rPr>
                <w:rFonts w:ascii="Calibri" w:hAnsi="Calibri"/>
                <w:sz w:val="20"/>
              </w:rPr>
              <w:t>1.0</w:t>
            </w:r>
          </w:p>
        </w:tc>
      </w:tr>
      <w:tr>
        <w:tc>
          <w:tcPr>
            <w:tcW w:type="dxa" w:w="4320"/>
          </w:tcPr>
          <w:p>
            <w:r/>
            <w:r>
              <w:rPr>
                <w:rFonts w:ascii="Calibri" w:hAnsi="Calibri"/>
                <w:sz w:val="20"/>
              </w:rPr>
              <w:t>Datum</w:t>
            </w:r>
          </w:p>
        </w:tc>
        <w:tc>
          <w:tcPr>
            <w:tcW w:type="dxa" w:w="4320"/>
          </w:tcPr>
          <w:p>
            <w:r/>
            <w:r>
              <w:rPr>
                <w:rFonts w:ascii="Calibri" w:hAnsi="Calibri"/>
                <w:sz w:val="20"/>
              </w:rPr>
              <w:t>29 april 2026</w:t>
            </w:r>
          </w:p>
        </w:tc>
      </w:tr>
      <w:tr>
        <w:tc>
          <w:tcPr>
            <w:tcW w:type="dxa" w:w="4320"/>
          </w:tcPr>
          <w:p>
            <w:r/>
            <w:r>
              <w:rPr>
                <w:rFonts w:ascii="Calibri" w:hAnsi="Calibri"/>
                <w:sz w:val="20"/>
              </w:rPr>
              <w:t>Status</w:t>
            </w:r>
          </w:p>
        </w:tc>
        <w:tc>
          <w:tcPr>
            <w:tcW w:type="dxa" w:w="4320"/>
          </w:tcPr>
          <w:p>
            <w:r/>
            <w:r>
              <w:rPr>
                <w:rFonts w:ascii="Calibri" w:hAnsi="Calibri"/>
                <w:sz w:val="20"/>
              </w:rPr>
              <w:t>Final</w:t>
            </w:r>
          </w:p>
        </w:tc>
      </w:tr>
    </w:tbl>
    <w:p>
      <w:pPr>
        <w:pStyle w:val="Heading1"/>
      </w:pPr>
      <w:r>
        <w:t>1. Doel en Doelgroep</w:t>
      </w:r>
    </w:p>
    <w:p>
      <w:pPr>
        <w:spacing w:after="120"/>
      </w:pPr>
      <w:r>
        <w:t>Deze handleiding biedt een gestructureerd kader voor het plannen, uitvoeren en evalueren van evacuatieoefeningen bij Phoenix Metals. Het bevat theoretische achtergrond, bedrijfsspecifieke procedures en een werkboek met praktijkoefeningen.</w:t>
      </w:r>
    </w:p>
    <w:p>
      <w:pPr>
        <w:pStyle w:val="Heading2"/>
      </w:pPr>
      <w:r>
        <w:t>Doelgroep</w:t>
      </w:r>
    </w:p>
    <w:p>
      <w:pPr>
        <w:pStyle w:val="ListBullet"/>
        <w:ind w:left="720"/>
      </w:pPr>
      <w:r>
        <w:t>BHV-teamleden en BHV-coordinatoren</w:t>
      </w:r>
    </w:p>
    <w:p>
      <w:pPr>
        <w:pStyle w:val="ListBullet"/>
        <w:ind w:left="720"/>
      </w:pPr>
      <w:r>
        <w:t>Verdiepingsverantwoordelijken</w:t>
      </w:r>
    </w:p>
    <w:p>
      <w:pPr>
        <w:pStyle w:val="ListBullet"/>
        <w:ind w:left="720"/>
      </w:pPr>
      <w:r>
        <w:t>Meldkamermedewerkers</w:t>
      </w:r>
    </w:p>
    <w:p>
      <w:pPr>
        <w:pStyle w:val="ListBullet"/>
        <w:ind w:left="720"/>
      </w:pPr>
      <w:r>
        <w:t>Operationeel management</w:t>
      </w:r>
    </w:p>
    <w:p>
      <w:pPr>
        <w:pStyle w:val="ListBullet"/>
        <w:ind w:left="720"/>
      </w:pPr>
      <w:r>
        <w:t>Alle medewerkers van Phoenix Metals</w:t>
      </w:r>
    </w:p>
    <w:p>
      <w:r>
        <w:br w:type="page"/>
      </w:r>
    </w:p>
    <w:p>
      <w:pPr>
        <w:pStyle w:val="Heading1"/>
      </w:pPr>
      <w:r>
        <w:t>2. Leerdoelen</w:t>
      </w:r>
    </w:p>
    <w:p>
      <w:pPr>
        <w:spacing w:after="120"/>
      </w:pPr>
      <w:r>
        <w:t>Na het bestuderen van deze handleiding en het voltooien van de werkboekoefeningen kan de cursist:</w:t>
      </w:r>
    </w:p>
    <w:p>
      <w:pPr>
        <w:pStyle w:val="ListBullet"/>
        <w:ind w:left="720"/>
      </w:pPr>
      <w:r>
        <w:t>LD1: Het verschil uitleggen tussen preventieve evacuatie, spoedevacuatie en ontruiming [1]</w:t>
      </w:r>
    </w:p>
    <w:p>
      <w:pPr>
        <w:pStyle w:val="ListBullet"/>
        <w:ind w:left="720"/>
      </w:pPr>
      <w:r>
        <w:t>LD2: De alarmseinen bij Phoenix Metals herkennen en de bijbehorende acties benoemen</w:t>
      </w:r>
    </w:p>
    <w:p>
      <w:pPr>
        <w:pStyle w:val="ListBullet"/>
        <w:ind w:left="720"/>
      </w:pPr>
      <w:r>
        <w:t>LD3: De evacuatieroutes en verzamelpunten voor alle gebouwen beschrijven</w:t>
      </w:r>
    </w:p>
    <w:p>
      <w:pPr>
        <w:pStyle w:val="ListBullet"/>
        <w:ind w:left="720"/>
      </w:pPr>
      <w:r>
        <w:t>LD4: De rol en verantwoordelijkheden van elk teamlid tijdens evacuatie toelichten</w:t>
      </w:r>
    </w:p>
    <w:p>
      <w:pPr>
        <w:pStyle w:val="ListBullet"/>
        <w:ind w:left="720"/>
      </w:pPr>
      <w:r>
        <w:t>LD5: Een evacuatieplan opstellen voor een specifieke zone met chemische risico's [3]</w:t>
      </w:r>
    </w:p>
    <w:p>
      <w:pPr>
        <w:pStyle w:val="ListBullet"/>
        <w:ind w:left="720"/>
      </w:pPr>
      <w:r>
        <w:t>LD6: Een evacuatieoefening plannen, uitvoeren en evalueren volgens NTA 8620 [1]</w:t>
      </w:r>
    </w:p>
    <w:p>
      <w:pPr>
        <w:pStyle w:val="Heading1"/>
      </w:pPr>
      <w:r>
        <w:t>3. Theorie: Evacuatie en Ontruiming</w:t>
      </w:r>
    </w:p>
    <w:p>
      <w:pPr>
        <w:pStyle w:val="Heading2"/>
      </w:pPr>
      <w:r>
        <w:t>3.1 Soorten evacuatie</w:t>
      </w:r>
    </w:p>
    <w:p>
      <w:pPr>
        <w:spacing w:after="120"/>
      </w:pPr>
      <w:r>
        <w:t>Preventieve evacuatie: Geplande verplaatsing van personen buiten het gebouw bij een dreigend gevaar, bijvoorbeeld bij een naderende gaswolk of bij inspectie van een verdacht pakket. Er is tijd voor georganiseerde afloop [1].</w:t>
      </w:r>
    </w:p>
    <w:p>
      <w:pPr>
        <w:spacing w:after="120"/>
      </w:pPr>
      <w:r>
        <w:t>Spoedevacuatie: Onmiddellijke evacuatie bij acuut gevaar zoals brand, explosie of toxiciteit. Snelheid is cruciaal; er is geen tijd voor overleg [1].</w:t>
      </w:r>
    </w:p>
    <w:p>
      <w:pPr>
        <w:pStyle w:val="Heading2"/>
      </w:pPr>
      <w:r>
        <w:t>3.2 Ontruiming vs. evacuatie</w:t>
      </w:r>
    </w:p>
    <w:p>
      <w:pPr>
        <w:spacing w:after="120"/>
      </w:pPr>
      <w:r>
        <w:t>Ontruiming betreft het veiligstellen van een beperkt gebied binnen een inrichting. Evacuatie betreft het volledig verlaten van het terrein of de inrichting. Bij BRZO-bedrijven zoals Phoenix Metals is evacuatieplanverplichting vastgelegd [3].</w:t>
      </w:r>
    </w:p>
    <w:p>
      <w:pPr>
        <w:pStyle w:val="Heading2"/>
      </w:pPr>
      <w:r>
        <w:t>3.3 Alarmseinen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
              <w:rPr>
                <w:rFonts w:ascii="Calibri" w:hAnsi="Calibri"/>
                <w:b/>
                <w:color w:val="FFFFFF"/>
                <w:sz w:val="20"/>
              </w:rPr>
              <w:t>Sein</w:t>
            </w:r>
          </w:p>
        </w:tc>
        <w:tc>
          <w:tcPr>
            <w:tcW w:type="dxa" w:w="2880"/>
          </w:tcPr>
          <w:p>
            <w:r/>
            <w:r>
              <w:rPr>
                <w:rFonts w:ascii="Calibri" w:hAnsi="Calibri"/>
                <w:b/>
                <w:color w:val="FFFFFF"/>
                <w:sz w:val="20"/>
              </w:rPr>
              <w:t>Betekenis</w:t>
            </w:r>
          </w:p>
        </w:tc>
        <w:tc>
          <w:tcPr>
            <w:tcW w:type="dxa" w:w="2880"/>
          </w:tcPr>
          <w:p>
            <w:r/>
            <w:r>
              <w:rPr>
                <w:rFonts w:ascii="Calibri" w:hAnsi="Calibri"/>
                <w:b/>
                <w:color w:val="FFFFFF"/>
                <w:sz w:val="20"/>
              </w:rPr>
              <w:t>Actie</w:t>
            </w:r>
          </w:p>
        </w:tc>
      </w:tr>
      <w:tr>
        <w:tc>
          <w:tcPr>
            <w:tcW w:type="dxa" w:w="2880"/>
          </w:tcPr>
          <w:p>
            <w:r/>
            <w:r>
              <w:rPr>
                <w:rFonts w:ascii="Calibri" w:hAnsi="Calibri"/>
                <w:sz w:val="20"/>
              </w:rPr>
              <w:t>Doorlopende sirene</w:t>
            </w:r>
          </w:p>
        </w:tc>
        <w:tc>
          <w:tcPr>
            <w:tcW w:type="dxa" w:w="2880"/>
          </w:tcPr>
          <w:p>
            <w:r/>
            <w:r>
              <w:rPr>
                <w:rFonts w:ascii="Calibri" w:hAnsi="Calibri"/>
                <w:sz w:val="20"/>
              </w:rPr>
              <w:t>Brand / algemeen alarm</w:t>
            </w:r>
          </w:p>
        </w:tc>
        <w:tc>
          <w:tcPr>
            <w:tcW w:type="dxa" w:w="2880"/>
          </w:tcPr>
          <w:p>
            <w:r/>
            <w:r>
              <w:rPr>
                <w:rFonts w:ascii="Calibri" w:hAnsi="Calibri"/>
                <w:sz w:val="20"/>
              </w:rPr>
              <w:t>Onmiddellijk evacueren via dichtstbijzijnde uitgang</w:t>
            </w:r>
          </w:p>
        </w:tc>
      </w:tr>
      <w:tr>
        <w:tc>
          <w:tcPr>
            <w:tcW w:type="dxa" w:w="2880"/>
          </w:tcPr>
          <w:p>
            <w:r/>
            <w:r>
              <w:rPr>
                <w:rFonts w:ascii="Calibri" w:hAnsi="Calibri"/>
                <w:sz w:val="20"/>
              </w:rPr>
              <w:t>Onderbroken sirene</w:t>
            </w:r>
          </w:p>
        </w:tc>
        <w:tc>
          <w:tcPr>
            <w:tcW w:type="dxa" w:w="2880"/>
          </w:tcPr>
          <w:p>
            <w:r/>
            <w:r>
              <w:rPr>
                <w:rFonts w:ascii="Calibri" w:hAnsi="Calibri"/>
                <w:sz w:val="20"/>
              </w:rPr>
              <w:t>Test / oefening</w:t>
            </w:r>
          </w:p>
        </w:tc>
        <w:tc>
          <w:tcPr>
            <w:tcW w:type="dxa" w:w="2880"/>
          </w:tcPr>
          <w:p>
            <w:r/>
            <w:r>
              <w:rPr>
                <w:rFonts w:ascii="Calibri" w:hAnsi="Calibri"/>
                <w:sz w:val="20"/>
              </w:rPr>
              <w:t>Volg instructies BHV-team, geen paniek</w:t>
            </w:r>
          </w:p>
        </w:tc>
      </w:tr>
      <w:tr>
        <w:tc>
          <w:tcPr>
            <w:tcW w:type="dxa" w:w="2880"/>
          </w:tcPr>
          <w:p>
            <w:r/>
            <w:r>
              <w:rPr>
                <w:rFonts w:ascii="Calibri" w:hAnsi="Calibri"/>
                <w:sz w:val="20"/>
              </w:rPr>
              <w:t>Whoop-whoop toon</w:t>
            </w:r>
          </w:p>
        </w:tc>
        <w:tc>
          <w:tcPr>
            <w:tcW w:type="dxa" w:w="2880"/>
          </w:tcPr>
          <w:p>
            <w:r/>
            <w:r>
              <w:rPr>
                <w:rFonts w:ascii="Calibri" w:hAnsi="Calibri"/>
                <w:sz w:val="20"/>
              </w:rPr>
              <w:t>Toxische release</w:t>
            </w:r>
          </w:p>
        </w:tc>
        <w:tc>
          <w:tcPr>
            <w:tcW w:type="dxa" w:w="2880"/>
          </w:tcPr>
          <w:p>
            <w:r/>
            <w:r>
              <w:rPr>
                <w:rFonts w:ascii="Calibri" w:hAnsi="Calibri"/>
                <w:sz w:val="20"/>
              </w:rPr>
              <w:t>Binnens blijven, ramen sluiten, wacht op instructies</w:t>
            </w:r>
          </w:p>
        </w:tc>
      </w:tr>
      <w:tr>
        <w:tc>
          <w:tcPr>
            <w:tcW w:type="dxa" w:w="2880"/>
          </w:tcPr>
          <w:p>
            <w:r/>
            <w:r>
              <w:rPr>
                <w:rFonts w:ascii="Calibri" w:hAnsi="Calibri"/>
                <w:sz w:val="20"/>
              </w:rPr>
              <w:t>Omroepsysteem</w:t>
            </w:r>
          </w:p>
        </w:tc>
        <w:tc>
          <w:tcPr>
            <w:tcW w:type="dxa" w:w="2880"/>
          </w:tcPr>
          <w:p>
            <w:r/>
            <w:r>
              <w:rPr>
                <w:rFonts w:ascii="Calibri" w:hAnsi="Calibri"/>
                <w:sz w:val="20"/>
              </w:rPr>
              <w:t>Specifieke instructie</w:t>
            </w:r>
          </w:p>
        </w:tc>
        <w:tc>
          <w:tcPr>
            <w:tcW w:type="dxa" w:w="2880"/>
          </w:tcPr>
          <w:p>
            <w:r/>
            <w:r>
              <w:rPr>
                <w:rFonts w:ascii="Calibri" w:hAnsi="Calibri"/>
                <w:sz w:val="20"/>
              </w:rPr>
              <w:t>Luister, volg aanwijzingen direct op</w:t>
            </w:r>
          </w:p>
        </w:tc>
      </w:tr>
    </w:tbl>
    <w:p>
      <w:r>
        <w:br w:type="page"/>
      </w:r>
    </w:p>
    <w:p>
      <w:pPr>
        <w:pStyle w:val="Heading1"/>
      </w:pPr>
      <w:r>
        <w:t>4. Evacuatie bij Phoenix Metals</w:t>
      </w:r>
    </w:p>
    <w:p>
      <w:pPr>
        <w:pStyle w:val="Heading2"/>
      </w:pPr>
      <w:r>
        <w:t>4.1 Gebouwen en zones</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
              <w:rPr>
                <w:rFonts w:ascii="Calibri" w:hAnsi="Calibri"/>
                <w:b/>
                <w:color w:val="FFFFFF"/>
                <w:sz w:val="20"/>
              </w:rPr>
              <w:t>Zone</w:t>
            </w:r>
          </w:p>
        </w:tc>
        <w:tc>
          <w:tcPr>
            <w:tcW w:type="dxa" w:w="2880"/>
          </w:tcPr>
          <w:p>
            <w:r/>
            <w:r>
              <w:rPr>
                <w:rFonts w:ascii="Calibri" w:hAnsi="Calibri"/>
                <w:b/>
                <w:color w:val="FFFFFF"/>
                <w:sz w:val="20"/>
              </w:rPr>
              <w:t>Risicoprofiel</w:t>
            </w:r>
          </w:p>
        </w:tc>
        <w:tc>
          <w:tcPr>
            <w:tcW w:type="dxa" w:w="2880"/>
          </w:tcPr>
          <w:p>
            <w:r/>
            <w:r>
              <w:rPr>
                <w:rFonts w:ascii="Calibri" w:hAnsi="Calibri"/>
                <w:b/>
                <w:color w:val="FFFFFF"/>
                <w:sz w:val="20"/>
              </w:rPr>
              <w:t>Evacuatietijd</w:t>
            </w:r>
          </w:p>
        </w:tc>
      </w:tr>
      <w:tr>
        <w:tc>
          <w:tcPr>
            <w:tcW w:type="dxa" w:w="2880"/>
          </w:tcPr>
          <w:p>
            <w:r/>
            <w:r>
              <w:rPr>
                <w:rFonts w:ascii="Calibri" w:hAnsi="Calibri"/>
                <w:sz w:val="20"/>
              </w:rPr>
              <w:t>Verwerkingshal</w:t>
            </w:r>
          </w:p>
        </w:tc>
        <w:tc>
          <w:tcPr>
            <w:tcW w:type="dxa" w:w="2880"/>
          </w:tcPr>
          <w:p>
            <w:r/>
            <w:r>
              <w:rPr>
                <w:rFonts w:ascii="Calibri" w:hAnsi="Calibri"/>
                <w:sz w:val="20"/>
              </w:rPr>
              <w:t>Hoog (mechanisch, thermisch)</w:t>
            </w:r>
          </w:p>
        </w:tc>
        <w:tc>
          <w:tcPr>
            <w:tcW w:type="dxa" w:w="2880"/>
          </w:tcPr>
          <w:p>
            <w:r/>
            <w:r>
              <w:rPr>
                <w:rFonts w:ascii="Calibri" w:hAnsi="Calibri"/>
                <w:sz w:val="20"/>
              </w:rPr>
              <w:t>&lt; 3 minuten</w:t>
            </w:r>
          </w:p>
        </w:tc>
      </w:tr>
      <w:tr>
        <w:tc>
          <w:tcPr>
            <w:tcW w:type="dxa" w:w="2880"/>
          </w:tcPr>
          <w:p>
            <w:r/>
            <w:r>
              <w:rPr>
                <w:rFonts w:ascii="Calibri" w:hAnsi="Calibri"/>
                <w:sz w:val="20"/>
              </w:rPr>
              <w:t>Opslag</w:t>
            </w:r>
          </w:p>
        </w:tc>
        <w:tc>
          <w:tcPr>
            <w:tcW w:type="dxa" w:w="2880"/>
          </w:tcPr>
          <w:p>
            <w:r/>
            <w:r>
              <w:rPr>
                <w:rFonts w:ascii="Calibri" w:hAnsi="Calibri"/>
                <w:sz w:val="20"/>
              </w:rPr>
              <w:t>Hoog (chemisch, brandbaar)</w:t>
            </w:r>
          </w:p>
        </w:tc>
        <w:tc>
          <w:tcPr>
            <w:tcW w:type="dxa" w:w="2880"/>
          </w:tcPr>
          <w:p>
            <w:r/>
            <w:r>
              <w:rPr>
                <w:rFonts w:ascii="Calibri" w:hAnsi="Calibri"/>
                <w:sz w:val="20"/>
              </w:rPr>
              <w:t>&lt; 4 minuten</w:t>
            </w:r>
          </w:p>
        </w:tc>
      </w:tr>
      <w:tr>
        <w:tc>
          <w:tcPr>
            <w:tcW w:type="dxa" w:w="2880"/>
          </w:tcPr>
          <w:p>
            <w:r/>
            <w:r>
              <w:rPr>
                <w:rFonts w:ascii="Calibri" w:hAnsi="Calibri"/>
                <w:sz w:val="20"/>
              </w:rPr>
              <w:t>Kantoor</w:t>
            </w:r>
          </w:p>
        </w:tc>
        <w:tc>
          <w:tcPr>
            <w:tcW w:type="dxa" w:w="2880"/>
          </w:tcPr>
          <w:p>
            <w:r/>
            <w:r>
              <w:rPr>
                <w:rFonts w:ascii="Calibri" w:hAnsi="Calibri"/>
                <w:sz w:val="20"/>
              </w:rPr>
              <w:t>Laag</w:t>
            </w:r>
          </w:p>
        </w:tc>
        <w:tc>
          <w:tcPr>
            <w:tcW w:type="dxa" w:w="2880"/>
          </w:tcPr>
          <w:p>
            <w:r/>
            <w:r>
              <w:rPr>
                <w:rFonts w:ascii="Calibri" w:hAnsi="Calibri"/>
                <w:sz w:val="20"/>
              </w:rPr>
              <w:t>&lt; 2 minuten</w:t>
            </w:r>
          </w:p>
        </w:tc>
      </w:tr>
      <w:tr>
        <w:tc>
          <w:tcPr>
            <w:tcW w:type="dxa" w:w="2880"/>
          </w:tcPr>
          <w:p>
            <w:r/>
            <w:r>
              <w:rPr>
                <w:rFonts w:ascii="Calibri" w:hAnsi="Calibri"/>
                <w:sz w:val="20"/>
              </w:rPr>
              <w:t>Laboratorium</w:t>
            </w:r>
          </w:p>
        </w:tc>
        <w:tc>
          <w:tcPr>
            <w:tcW w:type="dxa" w:w="2880"/>
          </w:tcPr>
          <w:p>
            <w:r/>
            <w:r>
              <w:rPr>
                <w:rFonts w:ascii="Calibri" w:hAnsi="Calibri"/>
                <w:sz w:val="20"/>
              </w:rPr>
              <w:t>Hoog (chemisch, biologisch)</w:t>
            </w:r>
          </w:p>
        </w:tc>
        <w:tc>
          <w:tcPr>
            <w:tcW w:type="dxa" w:w="2880"/>
          </w:tcPr>
          <w:p>
            <w:r/>
            <w:r>
              <w:rPr>
                <w:rFonts w:ascii="Calibri" w:hAnsi="Calibri"/>
                <w:sz w:val="20"/>
              </w:rPr>
              <w:t>&lt; 2 minuten</w:t>
            </w:r>
          </w:p>
        </w:tc>
      </w:tr>
    </w:tbl>
    <w:p>
      <w:pPr>
        <w:pStyle w:val="Heading2"/>
      </w:pPr>
      <w:r>
        <w:t>4.2 Nooduitgangen en verzamelpunten</w:t>
      </w:r>
    </w:p>
    <w:p>
      <w:pPr>
        <w:pStyle w:val="ListBullet"/>
        <w:ind w:left="720"/>
      </w:pPr>
      <w:r>
        <w:t>Verwerkingshal: 4 nooduitgangen -&gt; Verzamelpunt A (parkeerterrein noord)</w:t>
      </w:r>
    </w:p>
    <w:p>
      <w:pPr>
        <w:pStyle w:val="ListBullet"/>
        <w:ind w:left="720"/>
      </w:pPr>
      <w:r>
        <w:t>Opslag: 2 roldeuren + 1 persoonsdeur -&gt; Verzamelpunt B (rijbaan oost)</w:t>
      </w:r>
    </w:p>
    <w:p>
      <w:pPr>
        <w:pStyle w:val="ListBullet"/>
        <w:ind w:left="720"/>
      </w:pPr>
      <w:r>
        <w:t>Kantoor: 2 noodtrappen + hoofdingang -&gt; Verzamelpunt C (parkeerterrein zuid)</w:t>
      </w:r>
    </w:p>
    <w:p>
      <w:pPr>
        <w:pStyle w:val="ListBullet"/>
        <w:ind w:left="720"/>
      </w:pPr>
      <w:r>
        <w:t>Laboratorium: 1 nooduitgang + schuifdeur -&gt; Verzamelpunt D (groenstrook west)</w:t>
      </w:r>
    </w:p>
    <w:p>
      <w:pPr>
        <w:pStyle w:val="Heading2"/>
      </w:pPr>
      <w:r>
        <w:t>4.3 Bijzondere risico's</w:t>
      </w:r>
    </w:p>
    <w:p>
      <w:pPr>
        <w:spacing w:after="120"/>
      </w:pPr>
      <w:r>
        <w:t>Vanadylsulfaat (V2O5): Giftig bij inademing. Bij lekkage: windopwaarts evacueren, ademhalingsbescherming verplicht [2].</w:t>
      </w:r>
    </w:p>
    <w:p>
      <w:pPr>
        <w:spacing w:after="120"/>
      </w:pPr>
      <w:r>
        <w:t>Zwavelzuur (H2SO4): Corrosief. Bij morsen: gemorst gebied mijden, neutrale evacuatieroute gebruiken. Nooddouche binnen 15 seconden bereikbaar [2].</w:t>
      </w:r>
    </w:p>
    <w:p>
      <w:pPr>
        <w:spacing w:after="120"/>
      </w:pPr>
      <w:r>
        <w:t>Explosiegevaar: Bij stofdichtheidszone of waterstofrelease: directe spoedevacuatie, geen liften, laag bij de grond bewegen [3].</w:t>
      </w:r>
    </w:p>
    <w:p>
      <w:pPr>
        <w:pStyle w:val="Heading2"/>
      </w:pPr>
      <w:r>
        <w:t>4.4 Personen met beperkte mobiliteit</w:t>
      </w:r>
    </w:p>
    <w:p>
      <w:pPr>
        <w:pStyle w:val="ListBullet"/>
        <w:ind w:left="720"/>
      </w:pPr>
      <w:r>
        <w:t>Elke verdieping heeft minimaal 1 evacuatiestoel beschikbaar</w:t>
      </w:r>
    </w:p>
    <w:p>
      <w:pPr>
        <w:pStyle w:val="ListBullet"/>
        <w:ind w:left="720"/>
      </w:pPr>
      <w:r>
        <w:t>Buddy-systeem: elke medewerker met beperkte mobiliteit heeft een vaste buddy</w:t>
      </w:r>
    </w:p>
    <w:p>
      <w:pPr>
        <w:pStyle w:val="ListBullet"/>
        <w:ind w:left="720"/>
      </w:pPr>
      <w:r>
        <w:t>Verdiepingsverantwoordelijke voert checklist uit voor volledigheid</w:t>
      </w:r>
    </w:p>
    <w:p>
      <w:r>
        <w:br w:type="page"/>
      </w:r>
    </w:p>
    <w:p>
      <w:pPr>
        <w:pStyle w:val="Heading1"/>
      </w:pPr>
      <w:r>
        <w:t>5. Evacuatieprocedure - Stap voor Stap</w:t>
      </w:r>
    </w:p>
    <w:p>
      <w:pPr>
        <w:spacing w:after="120"/>
      </w:pPr>
      <w:r>
        <w:t>1. Alarm wordt geactiveerd (automatisch via branddetectie of handmatig via drukknop)</w:t>
      </w:r>
    </w:p>
    <w:p>
      <w:pPr>
        <w:spacing w:after="120"/>
      </w:pPr>
      <w:r>
        <w:t>2. Meldkamer ontvangt signaal en identificeert locatie en ernst van het incident</w:t>
      </w:r>
    </w:p>
    <w:p>
      <w:pPr>
        <w:spacing w:after="120"/>
      </w:pPr>
      <w:r>
        <w:t>3. BHV-coordinator geeft START-evacuatie commando via omroepsysteem</w:t>
      </w:r>
    </w:p>
    <w:p>
      <w:pPr>
        <w:spacing w:after="120"/>
      </w:pPr>
      <w:r>
        <w:t>4. Verdiepingsverantwoordelijken starten ontruiming van hun zone volgens plattegrond</w:t>
      </w:r>
    </w:p>
    <w:p>
      <w:pPr>
        <w:spacing w:after="120"/>
      </w:pPr>
      <w:r>
        <w:t>5. Medewerkers stoppen alle werkzaamheden direct (machines in veilige stand)</w:t>
      </w:r>
    </w:p>
    <w:p>
      <w:pPr>
        <w:spacing w:after="120"/>
      </w:pPr>
      <w:r>
        <w:t>6. Buddy-systeem geactiveerd: zorg voor collega's met beperkte mobiliteit</w:t>
      </w:r>
    </w:p>
    <w:p>
      <w:pPr>
        <w:spacing w:after="120"/>
      </w:pPr>
      <w:r>
        <w:t>7. Evacueer via dichtstbijzijnde nooduitgang (volg groene bordjes, gebruik geen liften)</w:t>
      </w:r>
    </w:p>
    <w:p>
      <w:pPr>
        <w:spacing w:after="120"/>
      </w:pPr>
      <w:r>
        <w:t>8. Bij chemische release: windopwaarts bewegen, mondbescherming voor mond/neus</w:t>
      </w:r>
    </w:p>
    <w:p>
      <w:pPr>
        <w:spacing w:after="120"/>
      </w:pPr>
      <w:r>
        <w:t>9. Richting toegewezen verzamelpunt (A/B/C/D) en meld bij de telling</w:t>
      </w:r>
    </w:p>
    <w:p>
      <w:pPr>
        <w:spacing w:after="120"/>
      </w:pPr>
      <w:r>
        <w:t>10. Verdiepingsverantwoordelijke controleert volledigheid (sleutelkaart-scan + visueel)</w:t>
      </w:r>
    </w:p>
    <w:p>
      <w:pPr>
        <w:spacing w:after="120"/>
      </w:pPr>
      <w:r>
        <w:t>11. Meldkamer ontvangt tellingen per zone en rapporteert aan BHV-coordinator</w:t>
      </w:r>
    </w:p>
    <w:p>
      <w:pPr>
        <w:spacing w:after="120"/>
      </w:pPr>
      <w:r>
        <w:t>12. BHV-coordinator rapporteert COMPLETE of MISSING aan hulpdiensten bij aankomst</w:t>
      </w:r>
    </w:p>
    <w:p>
      <w:pPr>
        <w:spacing w:after="120"/>
      </w:pPr>
      <w:r>
        <w:t>13. Niemand keert terug voor persoonlijke eigendommen - wacht op ALL-CLEAR signaal</w:t>
      </w:r>
    </w:p>
    <w:p>
      <w:pPr>
        <w:spacing w:after="120"/>
      </w:pPr>
      <w:r>
        <w:t>14. ALL-CLEAR gegeven door BHV-coordinator na akkoord brandweer / hulpdiensten</w:t>
      </w:r>
    </w:p>
    <w:p>
      <w:r>
        <w:br w:type="page"/>
      </w:r>
    </w:p>
    <w:p>
      <w:pPr>
        <w:pStyle w:val="Heading1"/>
      </w:pPr>
      <w:r>
        <w:t>6. Rollen en Verantwoordelijkheden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
              <w:rPr>
                <w:rFonts w:ascii="Calibri" w:hAnsi="Calibri"/>
                <w:b/>
                <w:color w:val="FFFFFF"/>
                <w:sz w:val="20"/>
              </w:rPr>
              <w:t>Rol</w:t>
            </w:r>
          </w:p>
        </w:tc>
        <w:tc>
          <w:tcPr>
            <w:tcW w:type="dxa" w:w="2880"/>
          </w:tcPr>
          <w:p>
            <w:r/>
            <w:r>
              <w:rPr>
                <w:rFonts w:ascii="Calibri" w:hAnsi="Calibri"/>
                <w:b/>
                <w:color w:val="FFFFFF"/>
                <w:sz w:val="20"/>
              </w:rPr>
              <w:t>Verantwoordelijkheid</w:t>
            </w:r>
          </w:p>
        </w:tc>
        <w:tc>
          <w:tcPr>
            <w:tcW w:type="dxa" w:w="2880"/>
          </w:tcPr>
          <w:p>
            <w:r/>
            <w:r>
              <w:rPr>
                <w:rFonts w:ascii="Calibri" w:hAnsi="Calibri"/>
                <w:b/>
                <w:color w:val="FFFFFF"/>
                <w:sz w:val="20"/>
              </w:rPr>
              <w:t>Contact</w:t>
            </w:r>
          </w:p>
        </w:tc>
      </w:tr>
      <w:tr>
        <w:tc>
          <w:tcPr>
            <w:tcW w:type="dxa" w:w="2880"/>
          </w:tcPr>
          <w:p>
            <w:r/>
            <w:r>
              <w:rPr>
                <w:rFonts w:ascii="Calibri" w:hAnsi="Calibri"/>
                <w:sz w:val="20"/>
              </w:rPr>
              <w:t>BHV-Coordinator</w:t>
            </w:r>
          </w:p>
        </w:tc>
        <w:tc>
          <w:tcPr>
            <w:tcW w:type="dxa" w:w="2880"/>
          </w:tcPr>
          <w:p>
            <w:r/>
            <w:r>
              <w:rPr>
                <w:rFonts w:ascii="Calibri" w:hAnsi="Calibri"/>
                <w:sz w:val="20"/>
              </w:rPr>
              <w:t>Algehele leiding evacuatie, communicatie hulpdiensten, ALL-CLEAR bevoegdheid</w:t>
            </w:r>
          </w:p>
        </w:tc>
        <w:tc>
          <w:tcPr>
            <w:tcW w:type="dxa" w:w="2880"/>
          </w:tcPr>
          <w:p>
            <w:r/>
            <w:r>
              <w:rPr>
                <w:rFonts w:ascii="Calibri" w:hAnsi="Calibri"/>
                <w:sz w:val="20"/>
              </w:rPr>
              <w:t>Intercom + 088-XXXX</w:t>
            </w:r>
          </w:p>
        </w:tc>
      </w:tr>
      <w:tr>
        <w:tc>
          <w:tcPr>
            <w:tcW w:type="dxa" w:w="2880"/>
          </w:tcPr>
          <w:p>
            <w:r/>
            <w:r>
              <w:rPr>
                <w:rFonts w:ascii="Calibri" w:hAnsi="Calibri"/>
                <w:sz w:val="20"/>
              </w:rPr>
              <w:t>Verdiepingsverantwoordelijke</w:t>
            </w:r>
          </w:p>
        </w:tc>
        <w:tc>
          <w:tcPr>
            <w:tcW w:type="dxa" w:w="2880"/>
          </w:tcPr>
          <w:p>
            <w:r/>
            <w:r>
              <w:rPr>
                <w:rFonts w:ascii="Calibri" w:hAnsi="Calibri"/>
                <w:sz w:val="20"/>
              </w:rPr>
              <w:t>Zone-telling, buddy-check, volledigheidsrapport aan Meldkamer</w:t>
            </w:r>
          </w:p>
        </w:tc>
        <w:tc>
          <w:tcPr>
            <w:tcW w:type="dxa" w:w="2880"/>
          </w:tcPr>
          <w:p>
            <w:r/>
            <w:r>
              <w:rPr>
                <w:rFonts w:ascii="Calibri" w:hAnsi="Calibri"/>
                <w:sz w:val="20"/>
              </w:rPr>
              <w:t>Portofoon kanaal 2</w:t>
            </w:r>
          </w:p>
        </w:tc>
      </w:tr>
      <w:tr>
        <w:tc>
          <w:tcPr>
            <w:tcW w:type="dxa" w:w="2880"/>
          </w:tcPr>
          <w:p>
            <w:r/>
            <w:r>
              <w:rPr>
                <w:rFonts w:ascii="Calibri" w:hAnsi="Calibri"/>
                <w:sz w:val="20"/>
              </w:rPr>
              <w:t>Meldkamer</w:t>
            </w:r>
          </w:p>
        </w:tc>
        <w:tc>
          <w:tcPr>
            <w:tcW w:type="dxa" w:w="2880"/>
          </w:tcPr>
          <w:p>
            <w:r/>
            <w:r>
              <w:rPr>
                <w:rFonts w:ascii="Calibri" w:hAnsi="Calibri"/>
                <w:sz w:val="20"/>
              </w:rPr>
              <w:t>Alarmverificatie, centraal overzicht tellingen, communicatie brug</w:t>
            </w:r>
          </w:p>
        </w:tc>
        <w:tc>
          <w:tcPr>
            <w:tcW w:type="dxa" w:w="2880"/>
          </w:tcPr>
          <w:p>
            <w:r/>
            <w:r>
              <w:rPr>
                <w:rFonts w:ascii="Calibri" w:hAnsi="Calibri"/>
                <w:sz w:val="20"/>
              </w:rPr>
              <w:t>Centrale post + 112</w:t>
            </w:r>
          </w:p>
        </w:tc>
      </w:tr>
      <w:tr>
        <w:tc>
          <w:tcPr>
            <w:tcW w:type="dxa" w:w="2880"/>
          </w:tcPr>
          <w:p>
            <w:r/>
            <w:r>
              <w:rPr>
                <w:rFonts w:ascii="Calibri" w:hAnsi="Calibri"/>
                <w:sz w:val="20"/>
              </w:rPr>
              <w:t>Management</w:t>
            </w:r>
          </w:p>
        </w:tc>
        <w:tc>
          <w:tcPr>
            <w:tcW w:type="dxa" w:w="2880"/>
          </w:tcPr>
          <w:p>
            <w:r/>
            <w:r>
              <w:rPr>
                <w:rFonts w:ascii="Calibri" w:hAnsi="Calibri"/>
                <w:sz w:val="20"/>
              </w:rPr>
              <w:t>Besluitvorming bedrijfssluiting, externe communicatie, PR</w:t>
            </w:r>
          </w:p>
        </w:tc>
        <w:tc>
          <w:tcPr>
            <w:tcW w:type="dxa" w:w="2880"/>
          </w:tcPr>
          <w:p>
            <w:r/>
            <w:r>
              <w:rPr>
                <w:rFonts w:ascii="Calibri" w:hAnsi="Calibri"/>
                <w:sz w:val="20"/>
              </w:rPr>
              <w:t>Directie-lijn</w:t>
            </w:r>
          </w:p>
        </w:tc>
      </w:tr>
    </w:tbl>
    <w:p>
      <w:r>
        <w:br w:type="page"/>
      </w:r>
    </w:p>
    <w:p>
      <w:pPr>
        <w:pStyle w:val="Heading1"/>
      </w:pPr>
      <w:r>
        <w:t>7. Werkboek - Praktijkoefeningen</w:t>
      </w:r>
    </w:p>
    <w:p>
      <w:pPr>
        <w:pStyle w:val="Heading2"/>
      </w:pPr>
      <w:r>
        <w:t>Oefening 1: Bouw een evacuatieplan</w:t>
      </w:r>
    </w:p>
    <w:p>
      <w:pPr>
        <w:spacing w:after="120"/>
      </w:pPr>
      <w:r>
        <w:t>Opdracht: Teken op de bijgevoegde plattegrond van de verwerkingshal de primaire en secundaire evacuatieroutes, de nooduitgangen en het verzamelpunt. Noteer de verwachte evacuatietijd per sectie.</w:t>
      </w:r>
    </w:p>
    <w:p>
      <w:pPr>
        <w:spacing w:after="120"/>
      </w:pPr>
      <w:r>
        <w:t>Lever in: Getekende plattegrond + tijdsschema</w:t>
      </w:r>
    </w:p>
    <w:p/>
    <w:p>
      <w:pPr>
        <w:pStyle w:val="Heading2"/>
      </w:pPr>
      <w:r>
        <w:t>Oefening 2: Scenariobespreking - Chemische lekkage H2SO4</w:t>
      </w:r>
    </w:p>
    <w:p>
      <w:pPr>
        <w:spacing w:after="120"/>
      </w:pPr>
      <w:r>
        <w:t>Scenario: Tijdens een overtanksel in het laboratorium ontstaat een lekkage van geconcentreerd H2SO4. De lekkage bereikt de afvoer en produceert giftige dampen.</w:t>
      </w:r>
    </w:p>
    <w:p>
      <w:pPr>
        <w:spacing w:after="120"/>
      </w:pPr>
      <w:r>
        <w:t>Vragen:</w:t>
      </w:r>
    </w:p>
    <w:p>
      <w:pPr>
        <w:pStyle w:val="ListBullet"/>
        <w:ind w:left="720"/>
      </w:pPr>
      <w:r>
        <w:t>Welk alarmsein wordt geactiveerd?</w:t>
      </w:r>
    </w:p>
    <w:p>
      <w:pPr>
        <w:pStyle w:val="ListBullet"/>
        <w:ind w:left="720"/>
      </w:pPr>
      <w:r>
        <w:t>Welke evacuatieroute gebruiken medewerkers in het lab?</w:t>
      </w:r>
    </w:p>
    <w:p>
      <w:pPr>
        <w:pStyle w:val="ListBullet"/>
        <w:ind w:left="720"/>
      </w:pPr>
      <w:r>
        <w:t>Welke persoonlijke beschermingsmiddelen zijn vereist voor het BHV-team?</w:t>
      </w:r>
    </w:p>
    <w:p>
      <w:pPr>
        <w:pStyle w:val="ListBullet"/>
        <w:ind w:left="720"/>
      </w:pPr>
      <w:r>
        <w:t>Hoe wordt de telling uitgevoerd rekening houdend met mogelijke slachtoffers?</w:t>
      </w:r>
    </w:p>
    <w:p/>
    <w:p>
      <w:pPr>
        <w:pStyle w:val="Heading2"/>
      </w:pPr>
      <w:r>
        <w:t>Oefening 3: Quiz - Alarmseinen</w:t>
      </w:r>
    </w:p>
    <w:p>
      <w:pPr>
        <w:spacing w:after="120"/>
      </w:pPr>
      <w:r>
        <w:t>Kruis het juiste antwoord aan:</w:t>
      </w:r>
    </w:p>
    <w:p>
      <w:pPr>
        <w:spacing w:after="120"/>
      </w:pPr>
      <w:r>
        <w:t>1. Een doorlopende sirene betekent:</w:t>
        <w:br/>
        <w:t xml:space="preserve">   a) Test</w:t>
        <w:br/>
        <w:t xml:space="preserve">   b) Brand / algemeen alarm</w:t>
        <w:br/>
        <w:t xml:space="preserve">   c) Einde werkdag</w:t>
        <w:br/>
        <w:t xml:space="preserve">   d) Pauze</w:t>
      </w:r>
    </w:p>
    <w:p>
      <w:pPr>
        <w:spacing w:after="120"/>
      </w:pPr>
      <w:r>
        <w:t>2. Bij een whoop-whoop toon moet je:</w:t>
        <w:br/>
        <w:t xml:space="preserve">   a) Onmiddellijk naar buiten</w:t>
        <w:br/>
        <w:t xml:space="preserve">   b) Binnen blijven, ramen sluiten</w:t>
        <w:br/>
        <w:t xml:space="preserve">   c) Naar het laboratorium</w:t>
        <w:br/>
        <w:t xml:space="preserve">   d) De brandweer bellen</w:t>
      </w:r>
    </w:p>
    <w:p>
      <w:pPr>
        <w:spacing w:after="120"/>
      </w:pPr>
      <w:r>
        <w:t>3. Het ALL-CLEAR signaal mag alleen gegeven worden door:</w:t>
        <w:br/>
        <w:t xml:space="preserve">   a) Iedereen</w:t>
        <w:br/>
        <w:t xml:space="preserve">   b) De BHV-coordinator</w:t>
        <w:br/>
        <w:t xml:space="preserve">   c) Het management</w:t>
        <w:br/>
        <w:t xml:space="preserve">   d) De receptionist</w:t>
      </w:r>
    </w:p>
    <w:p/>
    <w:p>
      <w:pPr>
        <w:pStyle w:val="Heading2"/>
      </w:pPr>
      <w:r>
        <w:t>Oefening 4: Checklist - Ben jij klaar voor de evacuatieoefening?</w:t>
      </w:r>
    </w:p>
    <w:p>
      <w:pPr>
        <w:pStyle w:val="ListBullet"/>
        <w:ind w:left="720"/>
      </w:pPr>
      <w:r>
        <w:t>☐ Ik weet waar de dichtstbijzijnde nooduitgang is</w:t>
      </w:r>
    </w:p>
    <w:p>
      <w:pPr>
        <w:pStyle w:val="ListBullet"/>
        <w:ind w:left="720"/>
      </w:pPr>
      <w:r>
        <w:t>☐ Ik ken het verzamelpunt voor mijn werkplek</w:t>
      </w:r>
    </w:p>
    <w:p>
      <w:pPr>
        <w:pStyle w:val="ListBullet"/>
        <w:ind w:left="720"/>
      </w:pPr>
      <w:r>
        <w:t>☐ Ik weet wie mijn verdiepingsverantwoordelijke is</w:t>
      </w:r>
    </w:p>
    <w:p>
      <w:pPr>
        <w:pStyle w:val="ListBullet"/>
        <w:ind w:left="720"/>
      </w:pPr>
      <w:r>
        <w:t>☐ Ik heb een buddy toegewezen (of ben er een)</w:t>
      </w:r>
    </w:p>
    <w:p>
      <w:pPr>
        <w:pStyle w:val="ListBullet"/>
        <w:ind w:left="720"/>
      </w:pPr>
      <w:r>
        <w:t>☐ Ik weet waar de brandblusser en nooddouche zich bevinden</w:t>
      </w:r>
    </w:p>
    <w:p>
      <w:pPr>
        <w:pStyle w:val="ListBullet"/>
        <w:ind w:left="720"/>
      </w:pPr>
      <w:r>
        <w:t>☐ Ik heb de evacuatieplattegrond bestudeerd</w:t>
      </w:r>
    </w:p>
    <w:p>
      <w:pPr>
        <w:pStyle w:val="ListBullet"/>
        <w:ind w:left="720"/>
      </w:pPr>
      <w:r>
        <w:t>☐ Ik weet dat ik NOOIT mag terugkeren voor eigendommen</w:t>
      </w:r>
    </w:p>
    <w:p>
      <w:r>
        <w:br w:type="page"/>
      </w:r>
    </w:p>
    <w:p>
      <w:pPr>
        <w:pStyle w:val="Heading1"/>
      </w:pPr>
      <w:r>
        <w:t>8. Samenvatting</w:t>
      </w:r>
    </w:p>
    <w:p>
      <w:pPr>
        <w:spacing w:after="120"/>
      </w:pPr>
      <w:r>
        <w:t>Evacuatie is een kritieke competentie binnen HSEQ management bij Phoenix Metals. De combinatie van chemische risico's (V2O5, H2SO4), explosiegevaar en de aanwezigheid van personen met beperkte mobiliteit vereist een doordacht en geoefend evacuatieplan [1][2][3].</w:t>
      </w:r>
    </w:p>
    <w:p>
      <w:pPr>
        <w:spacing w:after="120"/>
      </w:pPr>
      <w:r>
        <w:t>Kernpunten:</w:t>
      </w:r>
    </w:p>
    <w:p>
      <w:pPr>
        <w:pStyle w:val="ListBullet"/>
        <w:ind w:left="720"/>
      </w:pPr>
      <w:r>
        <w:t>Onderscheid preventieve evacuatie van spoedevacuatie</w:t>
      </w:r>
    </w:p>
    <w:p>
      <w:pPr>
        <w:pStyle w:val="ListBullet"/>
        <w:ind w:left="720"/>
      </w:pPr>
      <w:r>
        <w:t>Ken de alarmseinen en handel direct</w:t>
      </w:r>
    </w:p>
    <w:p>
      <w:pPr>
        <w:pStyle w:val="ListBullet"/>
        <w:ind w:left="720"/>
      </w:pPr>
      <w:r>
        <w:t>Elke zone heeft specifieke routes en verzamelpunten</w:t>
      </w:r>
    </w:p>
    <w:p>
      <w:pPr>
        <w:pStyle w:val="ListBullet"/>
        <w:ind w:left="720"/>
      </w:pPr>
      <w:r>
        <w:t>BHV-coordinator is de enige bevoegd voor ALL-CLEAR</w:t>
      </w:r>
    </w:p>
    <w:p>
      <w:pPr>
        <w:pStyle w:val="ListBullet"/>
        <w:ind w:left="720"/>
      </w:pPr>
      <w:r>
        <w:t>Oefenen is essentieel - plan minimaal 2 evacuatieoefeningen per jaar</w:t>
      </w:r>
    </w:p>
    <w:p>
      <w:pPr>
        <w:pStyle w:val="ListBullet"/>
        <w:ind w:left="720"/>
      </w:pPr>
      <w:r>
        <w:t>Buddy-systeem garandeert dat niemand achterblijft</w:t>
      </w:r>
    </w:p>
    <w:p>
      <w:pPr>
        <w:pStyle w:val="Heading1"/>
      </w:pPr>
      <w:r>
        <w:t>9. Bronverwijzingen</w:t>
      </w:r>
    </w:p>
    <w:p>
      <w:pPr>
        <w:spacing w:after="120"/>
      </w:pPr>
      <w:r>
        <w:t>[1] NTA 8620 - Maatwerkadvies bedrijfsbrandweer, NEN, 2020.</w:t>
      </w:r>
    </w:p>
    <w:p>
      <w:pPr>
        <w:spacing w:after="120"/>
      </w:pPr>
      <w:r>
        <w:t>[2] Arbowet artikel 15 - Verantwoordelijkheid werkgever voor veilige evacuatie, SDU, 2024.</w:t>
      </w:r>
    </w:p>
    <w:p>
      <w:pPr>
        <w:spacing w:after="120"/>
      </w:pPr>
      <w:r>
        <w:t>[3] BRZO 1999 (Besluit risico's zware ongevallen) - Evacuatieplanverplichting voor Seveso-inrichtingen, SDU.</w:t>
      </w:r>
    </w:p>
    <w:p>
      <w:pPr>
        <w:pStyle w:val="Heading2"/>
      </w:pPr>
      <w:r>
        <w:t>TierVerify</w:t>
      </w:r>
    </w:p>
    <w:p>
      <w:pPr>
        <w:spacing w:after="120"/>
      </w:pPr>
      <w:r>
        <w:t>Bronnen gecheckt: NTA 8620, Arbowet art. 15, BRZO 1999</w:t>
      </w:r>
    </w:p>
    <w:p>
      <w:pPr>
        <w:spacing w:after="120"/>
      </w:pPr>
      <w:r>
        <w:t>Context: Phoenix Metals (VBS Element 1 eLearning)</w:t>
      </w:r>
    </w:p>
    <w:p>
      <w:pPr>
        <w:spacing w:after="120"/>
      </w:pPr>
      <w:r>
        <w:t>Status: Verified | Datum: 2026-04-29 | Verifier: Kas</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