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9"/>
                    <a:stretch>
                      <a:fillRect/>
                    </a:stretch>
                  </pic:blipFill>
                  <pic:spPr>
                    <a:xfrm>
                      <a:off x="0" y="0"/>
                      <a:ext cx="720000" cy="648000"/>
                    </a:xfrm>
                    <a:prstGeom prst="rect"/>
                  </pic:spPr>
                </pic:pic>
              </a:graphicData>
            </a:graphic>
          </wp:inline>
        </w:drawing>
      </w:r>
    </w:p>
    <w:p>
      <w:pPr>
        <w:jc w:val="center"/>
      </w:pPr>
      <w:r>
        <w:rPr>
          <w:b/>
          <w:color w:val="003366"/>
          <w:sz w:val="44"/>
        </w:rPr>
        <w:t>BHV + AED Training — Handleiding &amp; Werkboek</w:t>
      </w:r>
    </w:p>
    <w:p>
      <w:pPr>
        <w:jc w:val="center"/>
      </w:pPr>
      <w:r>
        <w:rPr>
          <w:color w:val="1F2937"/>
          <w:sz w:val="28"/>
        </w:rPr>
        <w:t>Phoenix Metals | VBS Element 1</w:t>
      </w:r>
    </w:p>
    <w:p>
      <w:pPr>
        <w:jc w:val="center"/>
      </w:pPr>
      <w:r>
        <w:rPr>
          <w:color w:val="999999"/>
          <w:sz w:val="20"/>
        </w:rPr>
        <w:t>Versie 1.0 — 29 april 2026</w:t>
      </w:r>
    </w:p>
    <w:p>
      <w:r>
        <w:br w:type="page"/>
      </w:r>
    </w:p>
    <w:p>
      <w:pPr>
        <w:pStyle w:val="Heading1"/>
      </w:pPr>
      <w:r>
        <w:t>Documentinformatie</w:t>
      </w:r>
    </w:p>
    <w:tbl>
      <w:tblPr>
        <w:tblStyle w:val="LightGrid-Accent1"/>
        <w:tblW w:type="auto" w:w="0"/>
        <w:jc w:val="center"/>
        <w:tblLook w:firstColumn="1" w:firstRow="1" w:lastColumn="0" w:lastRow="0" w:noHBand="0" w:noVBand="1" w:val="04A0"/>
      </w:tblPr>
      <w:tblGrid>
        <w:gridCol w:w="4320"/>
        <w:gridCol w:w="4320"/>
      </w:tblGrid>
      <w:tr>
        <w:tc>
          <w:tcPr>
            <w:tcW w:type="dxa" w:w="4320"/>
          </w:tcPr>
          <w:p>
            <w:r>
              <w:rPr>
                <w:b/>
                <w:color w:val="003366"/>
              </w:rPr>
              <w:t>Veld</w:t>
            </w:r>
          </w:p>
        </w:tc>
        <w:tc>
          <w:tcPr>
            <w:tcW w:type="dxa" w:w="4320"/>
          </w:tcPr>
          <w:p>
            <w:r>
              <w:rPr>
                <w:b/>
                <w:color w:val="003366"/>
              </w:rPr>
              <w:t>Waarde</w:t>
            </w:r>
          </w:p>
        </w:tc>
      </w:tr>
      <w:tr>
        <w:tc>
          <w:tcPr>
            <w:tcW w:type="dxa" w:w="4320"/>
          </w:tcPr>
          <w:p>
            <w:r>
              <w:t>Project</w:t>
            </w:r>
          </w:p>
        </w:tc>
        <w:tc>
          <w:tcPr>
            <w:tcW w:type="dxa" w:w="4320"/>
          </w:tcPr>
          <w:p>
            <w:r>
              <w:t>Phoenix Metals — eLearning BHV/AED</w:t>
            </w:r>
          </w:p>
        </w:tc>
      </w:tr>
      <w:tr>
        <w:tc>
          <w:tcPr>
            <w:tcW w:type="dxa" w:w="4320"/>
          </w:tcPr>
          <w:p>
            <w:r>
              <w:t>Type</w:t>
            </w:r>
          </w:p>
        </w:tc>
        <w:tc>
          <w:tcPr>
            <w:tcW w:type="dxa" w:w="4320"/>
          </w:tcPr>
          <w:p>
            <w:r>
              <w:t>Training Handleiding &amp; Werkboek</w:t>
            </w:r>
          </w:p>
        </w:tc>
      </w:tr>
      <w:tr>
        <w:tc>
          <w:tcPr>
            <w:tcW w:type="dxa" w:w="4320"/>
          </w:tcPr>
          <w:p>
            <w:r>
              <w:t>Auteur</w:t>
            </w:r>
          </w:p>
        </w:tc>
        <w:tc>
          <w:tcPr>
            <w:tcW w:type="dxa" w:w="4320"/>
          </w:tcPr>
          <w:p>
            <w:r>
              <w:t>Kas — JvG Consultancy</w:t>
            </w:r>
          </w:p>
        </w:tc>
      </w:tr>
      <w:tr>
        <w:tc>
          <w:tcPr>
            <w:tcW w:type="dxa" w:w="4320"/>
          </w:tcPr>
          <w:p>
            <w:r>
              <w:t>Versie</w:t>
            </w:r>
          </w:p>
        </w:tc>
        <w:tc>
          <w:tcPr>
            <w:tcW w:type="dxa" w:w="4320"/>
          </w:tcPr>
          <w:p>
            <w:r>
              <w:t>1.0</w:t>
            </w:r>
          </w:p>
        </w:tc>
      </w:tr>
      <w:tr>
        <w:tc>
          <w:tcPr>
            <w:tcW w:type="dxa" w:w="4320"/>
          </w:tcPr>
          <w:p>
            <w:r>
              <w:t>Datum</w:t>
            </w:r>
          </w:p>
        </w:tc>
        <w:tc>
          <w:tcPr>
            <w:tcW w:type="dxa" w:w="4320"/>
          </w:tcPr>
          <w:p>
            <w:r>
              <w:t>2026-04-29</w:t>
            </w:r>
          </w:p>
        </w:tc>
      </w:tr>
      <w:tr>
        <w:tc>
          <w:tcPr>
            <w:tcW w:type="dxa" w:w="4320"/>
          </w:tcPr>
          <w:p>
            <w:r>
              <w:t>Status</w:t>
            </w:r>
          </w:p>
        </w:tc>
        <w:tc>
          <w:tcPr>
            <w:tcW w:type="dxa" w:w="4320"/>
          </w:tcPr>
          <w:p>
            <w:r>
              <w:t>Final</w:t>
            </w:r>
          </w:p>
        </w:tc>
      </w:tr>
    </w:tbl>
    <w:p>
      <w:r>
        <w:br w:type="page"/>
      </w:r>
    </w:p>
    <w:p>
      <w:pPr>
        <w:pStyle w:val="Heading1"/>
      </w:pPr>
      <w:r>
        <w:t>1. Doel &amp; Doelgroep</w:t>
      </w:r>
    </w:p>
    <w:p>
      <w:r>
        <w:t>Deze handleiding ondersteunt de BHV + AED training voor medewerkers van Phoenix Metals. Het doel is dat elke deelnemer na afloop adequaat kan optreden bij een levensbedreigende noodsituatie op de werkplek.</w:t>
      </w:r>
    </w:p>
    <w:p>
      <w:r>
        <w:t>Doelgroep: alle medewerkers van Phoenix Metals die zijn aangewezen als BHV'er of die fungeren als eerste hulpverlener binnen hun afdeling.</w:t>
      </w:r>
    </w:p>
    <w:p>
      <w:pPr>
        <w:pStyle w:val="Heading1"/>
      </w:pPr>
      <w:r>
        <w:t>2. Leerdoelen</w:t>
      </w:r>
    </w:p>
    <w:p>
      <w:pPr>
        <w:pStyle w:val="ListBullet"/>
      </w:pPr>
      <w:r>
        <w:t>De cursist kan de wettelijke taken en verantwoordelijkheden van een BHV'er benoemen op basis van de Arbowet artikel 15.</w:t>
      </w:r>
    </w:p>
    <w:p>
      <w:pPr>
        <w:pStyle w:val="ListBullet"/>
      </w:pPr>
      <w:r>
        <w:t>De cursist kan het DRSABCD-protocol correct toepassen in een noodsituatie.</w:t>
      </w:r>
    </w:p>
    <w:p>
      <w:pPr>
        <w:pStyle w:val="ListBullet"/>
      </w:pPr>
      <w:r>
        <w:t>De cursist kan reanimatie uitvoeren volgens de ERC-richtlijnen 2021 (30:2 compressies-beademing).</w:t>
      </w:r>
    </w:p>
    <w:p>
      <w:pPr>
        <w:pStyle w:val="ListBullet"/>
      </w:pPr>
      <w:r>
        <w:t>De cursist kan een AED veilig en correct bedienen in zes stappen.</w:t>
      </w:r>
    </w:p>
    <w:p>
      <w:pPr>
        <w:pStyle w:val="ListBullet"/>
      </w:pPr>
      <w:r>
        <w:t>De cursist kent de specifieke risico's en AED-locaties binnen Phoenix Metals.</w:t>
      </w:r>
    </w:p>
    <w:p>
      <w:pPr>
        <w:pStyle w:val="ListBullet"/>
      </w:pPr>
      <w:r>
        <w:t>De cursist kent de rolverdeling tijdens een BHV-interventie (BHV'er, Coördinator, Meldkamer, Manager).</w:t>
      </w:r>
    </w:p>
    <w:p>
      <w:r>
        <w:br w:type="page"/>
      </w:r>
    </w:p>
    <w:p>
      <w:pPr>
        <w:pStyle w:val="Heading1"/>
      </w:pPr>
      <w:r>
        <w:t>3. Theorie: BedrijfsHulpVerlening (BHV)</w:t>
      </w:r>
    </w:p>
    <w:p>
      <w:pPr>
        <w:pStyle w:val="Heading2"/>
      </w:pPr>
      <w:r>
        <w:t>3.1 Wettelijk kader — Arbowet artikel 15</w:t>
      </w:r>
    </w:p>
    <w:p>
      <w:r>
        <w:t>Op grond van artikel 15 van de Arbeidsomstandighedenwet (Arbowet) is de werkgever verplicht om bedrijfshulpverlening te organiseren. Dit omvat het hebben van voldoende opgeleide BHV'ers, het beschikken over de juiste hulpmiddelen en het zorgen voor een duidelijke alarmprocedure [1].</w:t>
      </w:r>
    </w:p>
    <w:p>
      <w:pPr>
        <w:pStyle w:val="Heading2"/>
      </w:pPr>
      <w:r>
        <w:t>3.2 Taken van de BHV'er</w:t>
      </w:r>
    </w:p>
    <w:p>
      <w:pPr>
        <w:pStyle w:val="ListBullet"/>
      </w:pPr>
      <w:r>
        <w:t>Eerste hulp verlenen bij ongevallen en brandwonden.</w:t>
      </w:r>
    </w:p>
    <w:p>
      <w:pPr>
        <w:pStyle w:val="ListBullet"/>
      </w:pPr>
      <w:r>
        <w:t>Alarmeren van hulpverleningsdiensten (112 / intern alarmnummer).</w:t>
      </w:r>
    </w:p>
    <w:p>
      <w:pPr>
        <w:pStyle w:val="ListBullet"/>
      </w:pPr>
      <w:r>
        <w:t>Evacueren van medewerkers en bezoekers bij calamiteiten.</w:t>
      </w:r>
    </w:p>
    <w:p>
      <w:pPr>
        <w:pStyle w:val="ListBullet"/>
      </w:pPr>
      <w:r>
        <w:t>Bestrijden van beginnende brand met draagbare blusmiddelen.</w:t>
      </w:r>
    </w:p>
    <w:p>
      <w:pPr>
        <w:pStyle w:val="ListBullet"/>
      </w:pPr>
      <w:r>
        <w:t>Begeleiden van professionele hulpverleners bij aankomst.</w:t>
      </w:r>
    </w:p>
    <w:p>
      <w:pPr>
        <w:pStyle w:val="Heading2"/>
      </w:pPr>
      <w:r>
        <w:t>3.3 Organisatie BHV op Phoenix Metals</w:t>
      </w:r>
    </w:p>
    <w:p>
      <w:r>
        <w:t>Phoenix Metals beschikt over een BHV-organisatie die per afdeling is ingericht. Elke afdeling heeft minimaal twee BHV'ers. De BHV-coördinator is het centrale aanspreekpunt en onderhoudt contact met de externe hulpverleningsdiensten. Jaarlijkse oefeningen en refresher-trainingen zijn verplicht om de bekwaamheid te waarborgen.</w:t>
      </w:r>
    </w:p>
    <w:p>
      <w:r>
        <w:br w:type="page"/>
      </w:r>
    </w:p>
    <w:p>
      <w:pPr>
        <w:pStyle w:val="Heading1"/>
      </w:pPr>
      <w:r>
        <w:t>4. Theorie: Reanimatie</w:t>
      </w:r>
    </w:p>
    <w:p>
      <w:pPr>
        <w:pStyle w:val="Heading2"/>
      </w:pPr>
      <w:r>
        <w:t>4.1 DRSABCD-protocol</w:t>
      </w:r>
    </w:p>
    <w:p>
      <w:r>
        <w:t>Het DRSABCD-protocol is de internationale standaard voor eerste hulp bij levensbedreigende situaties:</w:t>
      </w:r>
    </w:p>
    <w:p>
      <w:pPr>
        <w:pStyle w:val="ListBullet"/>
      </w:pPr>
      <w:r>
        <w:t>D — Danger: Beoordeel de veiligheid van de situatie.</w:t>
      </w:r>
    </w:p>
    <w:p>
      <w:pPr>
        <w:pStyle w:val="ListBullet"/>
      </w:pPr>
      <w:r>
        <w:t>R — Response: Controleer het bewustzijn van het slachtoffer.</w:t>
      </w:r>
    </w:p>
    <w:p>
      <w:pPr>
        <w:pStyle w:val="ListBullet"/>
      </w:pPr>
      <w:r>
        <w:t>S — Send for help: Alarmeer hulpdiensten (112) en haal een AED.</w:t>
      </w:r>
    </w:p>
    <w:p>
      <w:pPr>
        <w:pStyle w:val="ListBullet"/>
      </w:pPr>
      <w:r>
        <w:t>A — Airway: Open de luchtweg door het hoofd kantel achterover.</w:t>
      </w:r>
    </w:p>
    <w:p>
      <w:pPr>
        <w:pStyle w:val="ListBullet"/>
      </w:pPr>
      <w:r>
        <w:t>B — Breathing: Controleer de ademhaling (maximaal 10 seconden).</w:t>
      </w:r>
    </w:p>
    <w:p>
      <w:pPr>
        <w:pStyle w:val="ListBullet"/>
      </w:pPr>
      <w:r>
        <w:t>C — CPR: Start reanimatie met 30 compressies gevolgd door 2 beademingen (30:2).</w:t>
      </w:r>
    </w:p>
    <w:p>
      <w:pPr>
        <w:pStyle w:val="ListBullet"/>
      </w:pPr>
      <w:r>
        <w:t>D — Defibrillation: Gebruik de AED zodra deze beschikbaar is.</w:t>
      </w:r>
    </w:p>
    <w:p>
      <w:pPr>
        <w:pStyle w:val="Heading2"/>
      </w:pPr>
      <w:r>
        <w:t>4.2 Reanimatie: 30:2 compressies</w:t>
      </w:r>
    </w:p>
    <w:p>
      <w:r>
        <w:t>Volgens de ERC-richtlijnen 2021 wordt reanimatie uitgevoerd met een verhouding van 30 borstcompressies gevolgd door 2 beademingen [2]. De compressiesnelheid bedraagt 100-120 per minuut. De drukdiepte is 5-6 cm bij volwassenen. Onderbreek de reanimatie alleen om de AED te analyseren of als professionele hulpverleners het overnemen.</w:t>
      </w:r>
    </w:p>
    <w:p>
      <w:pPr>
        <w:pStyle w:val="Heading2"/>
      </w:pPr>
      <w:r>
        <w:t>4.3 ERC-richtlijnen 2021 — kernpunten</w:t>
      </w:r>
    </w:p>
    <w:p>
      <w:pPr>
        <w:pStyle w:val="ListBullet"/>
      </w:pPr>
      <w:r>
        <w:t>Start reanimatie direct bij afwezige of abnormale ademhaling.</w:t>
      </w:r>
    </w:p>
    <w:p>
      <w:pPr>
        <w:pStyle w:val="ListBullet"/>
      </w:pPr>
      <w:r>
        <w:t>30:2 ratio voor volwassenen (compressie:beademing).</w:t>
      </w:r>
    </w:p>
    <w:p>
      <w:pPr>
        <w:pStyle w:val="ListBullet"/>
      </w:pPr>
      <w:r>
        <w:t>Minimaliseer onderbrekingen — maximale 'no-flow time' &lt; 10 seconden.</w:t>
      </w:r>
    </w:p>
    <w:p>
      <w:pPr>
        <w:pStyle w:val="ListBullet"/>
      </w:pPr>
      <w:r>
        <w:t>Gebruik early defibrillation — AED binnen 3 minuten beschikbaar.</w:t>
      </w:r>
    </w:p>
    <w:p>
      <w:pPr>
        <w:pStyle w:val="ListBullet"/>
      </w:pPr>
      <w:r>
        <w:t>Kwaliteit boven kwantiteit: effectieve compressies met volledige decompressie.</w:t>
      </w:r>
    </w:p>
    <w:p>
      <w:r>
        <w:br w:type="page"/>
      </w:r>
    </w:p>
    <w:p>
      <w:pPr>
        <w:pStyle w:val="Heading1"/>
      </w:pPr>
      <w:r>
        <w:t>5. Theorie: Automatische Externe Defibrillator (AED)</w:t>
      </w:r>
    </w:p>
    <w:p>
      <w:pPr>
        <w:pStyle w:val="Heading2"/>
      </w:pPr>
      <w:r>
        <w:t>5.1 Werking van de AED</w:t>
      </w:r>
    </w:p>
    <w:p>
      <w:r>
        <w:t>Een AED analyseert het hartritme van het slachtoffer. Indien een schokbaar ritme wordt gedetecteerd (ventrikelfibrilleren of pitielloze ventrikeltachycardie), geeft de AED een elektrische schok om het hart weer een normaal ritme te geven. De AED is ontworpen voor gebruik door leken en geeft gesproken instructies bij elke stap [2].</w:t>
      </w:r>
    </w:p>
    <w:p>
      <w:pPr>
        <w:pStyle w:val="Heading2"/>
      </w:pPr>
      <w:r>
        <w:t>5.2 Zes stappen AED-gebruik</w:t>
      </w:r>
    </w:p>
    <w:p>
      <w:pPr>
        <w:pStyle w:val="ListBullet"/>
      </w:pPr>
      <w:r>
        <w:t>Stap 1: Zet de AED aan en volg de gesproken instructies.</w:t>
      </w:r>
    </w:p>
    <w:p>
      <w:pPr>
        <w:pStyle w:val="ListBullet"/>
      </w:pPr>
      <w:r>
        <w:t>Stap 2: Ontbloot de borst van het slachtoffer en plak de elektroden op de aangegeven plekken.</w:t>
      </w:r>
    </w:p>
    <w:p>
      <w:pPr>
        <w:pStyle w:val="ListBullet"/>
      </w:pPr>
      <w:r>
        <w:t>Stap 3: Zorg dat niemand het slachtoffer aanraakt — de AED analyseert het ritme.</w:t>
      </w:r>
    </w:p>
    <w:p>
      <w:pPr>
        <w:pStyle w:val="ListBullet"/>
      </w:pPr>
      <w:r>
        <w:t>Stap 4: Als een schok geadviseerd wordt: roep 'Iedereen achteruit!' en druk op de schokknop.</w:t>
      </w:r>
    </w:p>
    <w:p>
      <w:pPr>
        <w:pStyle w:val="ListBullet"/>
      </w:pPr>
      <w:r>
        <w:t>Stap 5: Hervat direct reanimatie (30:2) na de schok, ongeacht het resultaat.</w:t>
      </w:r>
    </w:p>
    <w:p>
      <w:pPr>
        <w:pStyle w:val="ListBullet"/>
      </w:pPr>
      <w:r>
        <w:t>Stap 6: Blijf reanimeren tot de AED opnieuw analyseert of professionele hulp arriveert.</w:t>
      </w:r>
    </w:p>
    <w:p>
      <w:pPr>
        <w:pStyle w:val="Heading2"/>
      </w:pPr>
      <w:r>
        <w:t>5.3 Veiligheidsmaatregelen AED</w:t>
      </w:r>
    </w:p>
    <w:p>
      <w:pPr>
        <w:pStyle w:val="ListBullet"/>
      </w:pPr>
      <w:r>
        <w:t>Gebruik de AED niet in een explosieve atmosfeer (gas, dampen).</w:t>
      </w:r>
    </w:p>
    <w:p>
      <w:pPr>
        <w:pStyle w:val="ListBullet"/>
      </w:pPr>
      <w:r>
        <w:t>Zorg dat de borst droog is — verwijder vocht of transpiratie.</w:t>
      </w:r>
    </w:p>
    <w:p>
      <w:pPr>
        <w:pStyle w:val="ListBullet"/>
      </w:pPr>
      <w:r>
        <w:t>Plak elektroden NIET over medicijnpatches; verwijder deze eerst.</w:t>
      </w:r>
    </w:p>
    <w:p>
      <w:pPr>
        <w:pStyle w:val="ListBullet"/>
      </w:pPr>
      <w:r>
        <w:t>Raak het slachtoffer NIET aan tijdens analyse of schok.</w:t>
      </w:r>
    </w:p>
    <w:p>
      <w:pPr>
        <w:pStyle w:val="ListBullet"/>
      </w:pPr>
      <w:r>
        <w:t>Bij zwangere vrouwen: plaats elektroden normaal; schok is veilig voor foetus.</w:t>
      </w:r>
    </w:p>
    <w:p>
      <w:r>
        <w:br w:type="page"/>
      </w:r>
    </w:p>
    <w:p>
      <w:pPr>
        <w:pStyle w:val="Heading1"/>
      </w:pPr>
      <w:r>
        <w:t>6. Phoenix Metals — Specifieke Context</w:t>
      </w:r>
    </w:p>
    <w:p>
      <w:pPr>
        <w:pStyle w:val="Heading2"/>
      </w:pPr>
      <w:r>
        <w:t>6.1 AED-locaties</w:t>
      </w:r>
    </w:p>
    <w:p>
      <w:pPr>
        <w:pStyle w:val="ListBullet"/>
      </w:pPr>
      <w:r>
        <w:t>Productiehal A — ingang naast de kleedkamer (muur gemonteerd).</w:t>
      </w:r>
    </w:p>
    <w:p>
      <w:pPr>
        <w:pStyle w:val="ListBullet"/>
      </w:pPr>
      <w:r>
        <w:t>Productiehal B — bij de magazijnuitgang (groene kast).</w:t>
      </w:r>
    </w:p>
    <w:p>
      <w:pPr>
        <w:pStyle w:val="ListBullet"/>
      </w:pPr>
      <w:r>
        <w:t>Kantoorpand — receptie begane grond (AED-kast naamluis).</w:t>
      </w:r>
    </w:p>
    <w:p>
      <w:pPr>
        <w:pStyle w:val="ListBullet"/>
      </w:pPr>
      <w:r>
        <w:t>Laboratorium — naast de nooduitgang ( rode kast gemarkeerd).</w:t>
      </w:r>
    </w:p>
    <w:p>
      <w:pPr>
        <w:pStyle w:val="Heading2"/>
      </w:pPr>
      <w:r>
        <w:t>6.2 Alarmnummer &amp; Procedure</w:t>
      </w:r>
    </w:p>
    <w:p>
      <w:r>
        <w:t>Intern alarmnummer: 8888. Bij levensbedreigende situaties altijd direct 112 bellen, daarnaast intern alarm slaan via 8888. Vermeld altijd: locatie, aard van het incident, aantal slachtoffers en of er sprake is van gevaarlijke stoffen.</w:t>
      </w:r>
    </w:p>
    <w:p>
      <w:pPr>
        <w:pStyle w:val="Heading2"/>
      </w:pPr>
      <w:r>
        <w:t>6.3 Specifieke risico's Phoenix Metals</w:t>
      </w:r>
    </w:p>
    <w:p>
      <w:r>
        <w:t>Phoenix Metals verwerkt chemische stoffen en metalen. De volgende specifieke risico's vereisen extra aandacht tijdens BHV-interventies:</w:t>
      </w:r>
    </w:p>
    <w:p>
      <w:pPr>
        <w:pStyle w:val="ListBullet"/>
      </w:pPr>
      <w:r>
        <w:t>Chemische blootstelling: bij reanimatie altijd eerst luchtweg vrijmaken van chemicaliën. Draag noodzakelijke persoonlijke beschermingsmiddelen (PBM) voordat je het slachtoffer benadert [3].</w:t>
      </w:r>
    </w:p>
    <w:p>
      <w:pPr>
        <w:pStyle w:val="ListBullet"/>
      </w:pPr>
      <w:r>
        <w:t>Brandwonden: koel brandwonden minimaal 10 minuten met lauw stromend water. Dek af met steriel verband. Raadpleeg altijd een arts bij brandwonden groter dan een handpalm.</w:t>
      </w:r>
    </w:p>
    <w:p>
      <w:pPr>
        <w:pStyle w:val="ListBullet"/>
      </w:pPr>
      <w:r>
        <w:t>Metaalspatten / oogletsel: spoel ogen minimaal 15 minuten met water bij oogcontact met chemicaliën. Gebruik de oogdouche op de afdeling.</w:t>
      </w:r>
    </w:p>
    <w:p>
      <w:r>
        <w:br w:type="page"/>
      </w:r>
    </w:p>
    <w:p>
      <w:pPr>
        <w:pStyle w:val="Heading1"/>
      </w:pPr>
      <w:r>
        <w:t>7. Rollen &amp; Verantwoordelijkheden</w:t>
      </w:r>
    </w:p>
    <w:p>
      <w:r>
        <w:t>Overzicht van de rolverdeling tijdens een BHV-interventie:</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color w:val="003366"/>
              </w:rPr>
              <w:t>Rol</w:t>
            </w:r>
          </w:p>
        </w:tc>
        <w:tc>
          <w:tcPr>
            <w:tcW w:type="dxa" w:w="2880"/>
          </w:tcPr>
          <w:p>
            <w:r>
              <w:rPr>
                <w:b/>
                <w:color w:val="003366"/>
              </w:rPr>
              <w:t>Verantwoordelijkheid</w:t>
            </w:r>
          </w:p>
        </w:tc>
        <w:tc>
          <w:tcPr>
            <w:tcW w:type="dxa" w:w="2880"/>
          </w:tcPr>
          <w:p>
            <w:r>
              <w:rPr>
                <w:b/>
                <w:color w:val="003366"/>
              </w:rPr>
              <w:t>Actie</w:t>
            </w:r>
          </w:p>
        </w:tc>
      </w:tr>
      <w:tr>
        <w:tc>
          <w:tcPr>
            <w:tcW w:type="dxa" w:w="2880"/>
          </w:tcPr>
          <w:p>
            <w:r>
              <w:t>BHV'er</w:t>
            </w:r>
          </w:p>
        </w:tc>
        <w:tc>
          <w:tcPr>
            <w:tcW w:type="dxa" w:w="2880"/>
          </w:tcPr>
          <w:p>
            <w:r>
              <w:t>Eerste hulp &amp; reanimatie</w:t>
            </w:r>
          </w:p>
        </w:tc>
        <w:tc>
          <w:tcPr>
            <w:tcW w:type="dxa" w:w="2880"/>
          </w:tcPr>
          <w:p>
            <w:r>
              <w:t>Stabiliseert slachtoffer, start reanimatie, bedient AED</w:t>
            </w:r>
          </w:p>
        </w:tc>
      </w:tr>
      <w:tr>
        <w:tc>
          <w:tcPr>
            <w:tcW w:type="dxa" w:w="2880"/>
          </w:tcPr>
          <w:p>
            <w:r>
              <w:t>Coördinator</w:t>
            </w:r>
          </w:p>
        </w:tc>
        <w:tc>
          <w:tcPr>
            <w:tcW w:type="dxa" w:w="2880"/>
          </w:tcPr>
          <w:p>
            <w:r>
              <w:t>Aansturing &amp; communicatie</w:t>
            </w:r>
          </w:p>
        </w:tc>
        <w:tc>
          <w:tcPr>
            <w:tcW w:type="dxa" w:w="2880"/>
          </w:tcPr>
          <w:p>
            <w:r>
              <w:t>Leidt interne alarmering, stuurt BHV'ers aan</w:t>
            </w:r>
          </w:p>
        </w:tc>
      </w:tr>
      <w:tr>
        <w:tc>
          <w:tcPr>
            <w:tcW w:type="dxa" w:w="2880"/>
          </w:tcPr>
          <w:p>
            <w:r>
              <w:t>Meldkamer (8888)</w:t>
            </w:r>
          </w:p>
        </w:tc>
        <w:tc>
          <w:tcPr>
            <w:tcW w:type="dxa" w:w="2880"/>
          </w:tcPr>
          <w:p>
            <w:r>
              <w:t>Externe alarmering</w:t>
            </w:r>
          </w:p>
        </w:tc>
        <w:tc>
          <w:tcPr>
            <w:tcW w:type="dxa" w:w="2880"/>
          </w:tcPr>
          <w:p>
            <w:r>
              <w:t>Schakelt 112 in, informeert management</w:t>
            </w:r>
          </w:p>
        </w:tc>
      </w:tr>
      <w:tr>
        <w:tc>
          <w:tcPr>
            <w:tcW w:type="dxa" w:w="2880"/>
          </w:tcPr>
          <w:p>
            <w:r>
              <w:t>Manager</w:t>
            </w:r>
          </w:p>
        </w:tc>
        <w:tc>
          <w:tcPr>
            <w:tcW w:type="dxa" w:w="2880"/>
          </w:tcPr>
          <w:p>
            <w:r>
              <w:t>Besluitvorming &amp; evaluatie</w:t>
            </w:r>
          </w:p>
        </w:tc>
        <w:tc>
          <w:tcPr>
            <w:tcW w:type="dxa" w:w="2880"/>
          </w:tcPr>
          <w:p>
            <w:r>
              <w:t>Verwittigt directie, start onderzoek, rapporteert</w:t>
            </w:r>
          </w:p>
        </w:tc>
      </w:tr>
    </w:tbl>
    <w:p>
      <w:r>
        <w:br w:type="page"/>
      </w:r>
    </w:p>
    <w:p>
      <w:pPr>
        <w:pStyle w:val="Heading1"/>
      </w:pPr>
      <w:r>
        <w:t>8. Werkboek — Oefeningen</w:t>
      </w:r>
    </w:p>
    <w:p>
      <w:r>
        <w:t>Maak de onderstaande oefeningen om je kennis te toetsen. Bespreek de antwoorden met je trainer.</w:t>
      </w:r>
    </w:p>
    <w:p>
      <w:pPr>
        <w:pStyle w:val="Heading2"/>
      </w:pPr>
      <w:r>
        <w:t>Oefening 1: Scenario-analyse — Chemisch incident</w:t>
      </w:r>
    </w:p>
    <w:p>
      <w:r>
        <w:t>Scenario: Een collega is bewusteloos aangetroffen in de nabijheid van een lekkende chemische vat (gele sticker, CLP-classificatie: giftig bij inademing).</w:t>
        <w:br/>
        <w:br/>
        <w:t>Vragen:</w:t>
        <w:br/>
        <w:t>a) Wat is je allereerste actie?</w:t>
        <w:br/>
        <w:t>b) Welke PBM heb je nodig voordat je het slachtoffer benadert?</w:t>
        <w:br/>
        <w:t>c) Beschrijf de verdere procedure stap voor stap volgens DRSABCD.</w:t>
      </w:r>
    </w:p>
    <w:p>
      <w:pPr>
        <w:pStyle w:val="Heading2"/>
      </w:pPr>
      <w:r>
        <w:t>Oefening 2: Scenario-analyse — Brandwonden bij productie</w:t>
      </w:r>
    </w:p>
    <w:p>
      <w:r>
        <w:t>Scenario: Een medewerker heeft hete metalen spatten op zijn onderarm gekregen tijdens het gieten. De huid is rood en blaren vormen zich.</w:t>
        <w:br/>
        <w:br/>
        <w:t>Vragen:</w:t>
        <w:br/>
        <w:t>a) Classificeer de brandwond (graad 1, 2 of 3).</w:t>
        <w:br/>
        <w:t>b) Beschrijf de eerste hulp handelingen.</w:t>
        <w:br/>
        <w:t>c) Wanneer schakel je de BHV-coördinator in?</w:t>
      </w:r>
    </w:p>
    <w:p>
      <w:pPr>
        <w:pStyle w:val="Heading2"/>
      </w:pPr>
      <w:r>
        <w:t>Oefening 3: Reanimatie-oefening</w:t>
      </w:r>
    </w:p>
    <w:p>
      <w:r>
        <w:t>Oefen op de reanimatiepop. Voer het volledige DRSABCD-protocol uit.</w:t>
        <w:br/>
        <w:br/>
        <w:t>Checklist:</w:t>
        <w:br/>
        <w:t>☐ Veiligheid gecontroleerd</w:t>
        <w:br/>
        <w:t>☐ Bewustzijn gecontroleerd</w:t>
        <w:br/>
        <w:t>☐ 112 gebeld + AED gehaald</w:t>
        <w:br/>
        <w:t>☐ Luchtweg geopend</w:t>
        <w:br/>
        <w:t>☐ Ademhaling gecontroleerd (10 sec)</w:t>
        <w:br/>
        <w:t>☐ 30 compressies (5-6 cm diep, 100-120/min)</w:t>
        <w:br/>
        <w:t>☐ 2 beademingen</w:t>
        <w:br/>
        <w:t>☐ Cyclus herhaald tot AED beschikbaar</w:t>
      </w:r>
    </w:p>
    <w:p>
      <w:pPr>
        <w:pStyle w:val="Heading2"/>
      </w:pPr>
      <w:r>
        <w:t>Oefening 4: AED Quiz</w:t>
      </w:r>
    </w:p>
    <w:p>
      <w:r>
        <w:t>Beantwoord de volgende vragen:</w:t>
        <w:br/>
        <w:br/>
        <w:t>1. Mag je een AED gebruiken op een natte vloer?</w:t>
        <w:br/>
        <w:t>2. Hoeveel compressies geef je voordat je 2 beademingen toedient?</w:t>
        <w:br/>
        <w:t>3. Wat doe je als de AED zegt 'Geen schok geadviseerd'?</w:t>
        <w:br/>
        <w:t>4. Waar plak je de elektroden op de borst?</w:t>
        <w:br/>
        <w:t>5. Mag je de AED gebruiken bij een kind jonger dan 8 jaar?</w:t>
        <w:br/>
        <w:t>6. Wat is de maximale tijd tussen stoppen compressies en hervatten?</w:t>
      </w:r>
    </w:p>
    <w:p>
      <w:r>
        <w:br w:type="page"/>
      </w:r>
    </w:p>
    <w:p>
      <w:pPr>
        <w:pStyle w:val="Heading1"/>
      </w:pPr>
      <w:r>
        <w:t>9. Samenvatting</w:t>
      </w:r>
    </w:p>
    <w:p>
      <w:r>
        <w:t>In deze training heb je de essentiële vaardigheden en kennis opgedaan om adequaat te handelen bij een BHV-situatie op Phoenix Metals. De kernpunten zijn:</w:t>
      </w:r>
    </w:p>
    <w:p>
      <w:pPr>
        <w:pStyle w:val="ListBullet"/>
      </w:pPr>
      <w:r>
        <w:t>De Arbowet (art. 15) verplicht de werkgever om BHV te organiseren [1].</w:t>
      </w:r>
    </w:p>
    <w:p>
      <w:pPr>
        <w:pStyle w:val="ListBullet"/>
      </w:pPr>
      <w:r>
        <w:t>Het DRSABCD-protocol is de leidraad bij elke noodsituatie.</w:t>
      </w:r>
    </w:p>
    <w:p>
      <w:pPr>
        <w:pStyle w:val="ListBullet"/>
      </w:pPr>
      <w:r>
        <w:t>Reanimatie volgens ERC 2021: 30 compressies, 2 beademingen, 100-120/min [2].</w:t>
      </w:r>
    </w:p>
    <w:p>
      <w:pPr>
        <w:pStyle w:val="ListBullet"/>
      </w:pPr>
      <w:r>
        <w:t>De AED redt levens — gebruik hem direct en volg de gesproken instructies.</w:t>
      </w:r>
    </w:p>
    <w:p>
      <w:pPr>
        <w:pStyle w:val="ListBullet"/>
      </w:pPr>
      <w:r>
        <w:t>Ken de Phoenix Metals-specifieke risico's: chemische blootstelling, brandwonden, metaalspatten [3].</w:t>
      </w:r>
    </w:p>
    <w:p>
      <w:pPr>
        <w:pStyle w:val="ListBullet"/>
      </w:pPr>
      <w:r>
        <w:t>Kies uw rol: BHV'er, Coördinator, Meldkamer of Manager — iedereen telt.</w:t>
      </w:r>
    </w:p>
    <w:p>
      <w:r>
        <w:t>Blijf oefenen. Jaarlijkse refresher-trainingen zijn verplicht. Bij twijfel: raadpleeg de BHV-coördinator of de health &amp; safety afdeling.</w:t>
      </w:r>
    </w:p>
    <w:p>
      <w:pPr>
        <w:pStyle w:val="Heading1"/>
      </w:pPr>
      <w:r>
        <w:t>Bronverwijzingen</w:t>
      </w:r>
    </w:p>
    <w:p>
      <w:r>
        <w:t>[1] Arbeidsomstandighedenwet (Arbowet), artikel 15 — BedrijfsHulpVerlening.</w:t>
      </w:r>
    </w:p>
    <w:p>
      <w:r>
        <w:t>[2] European Resuscitation Council (ERC), Richtlijnen Reanimatie 2021.</w:t>
      </w:r>
    </w:p>
    <w:p>
      <w:r>
        <w:t>[3] Besluit risico's zware ongevallen 1999 (BRZO 1999) — Veiligheidsrapportageplicht.</w:t>
      </w:r>
    </w:p>
    <w:p>
      <w:pPr>
        <w:pStyle w:val="Heading1"/>
      </w:pPr>
      <w:r>
        <w:t>TierVerify</w:t>
      </w:r>
    </w:p>
    <w:p>
      <w:r>
        <w:rPr>
          <w:color w:val="555555"/>
          <w:sz w:val="18"/>
        </w:rPr>
        <w:t>Bronnen gecheckt: Arbowet, ERC, BRZO | Context: Phoenix Metals | Status: Verified</w:t>
      </w:r>
    </w:p>
    <w:sectPr w:rsidR="00FC693F" w:rsidRPr="0006063C" w:rsidSect="00034616">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JvG Consultancy | Safety • Governance • Advisory |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999999"/>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