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800000" cy="1620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800000" cy="1620000"/>
                    </a:xfrm>
                    <a:prstGeom prst="rect"/>
                  </pic:spPr>
                </pic:pic>
              </a:graphicData>
            </a:graphic>
          </wp:inline>
        </w:drawing>
      </w:r>
    </w:p>
    <w:p>
      <w:pPr>
        <w:jc w:val="center"/>
      </w:pPr>
      <w:r>
        <w:rPr>
          <w:rFonts w:ascii="Calibri" w:hAnsi="Calibri"/>
          <w:b/>
          <w:color w:val="003366"/>
          <w:sz w:val="56"/>
        </w:rPr>
        <w:t>BNP Training Handleiding</w:t>
      </w:r>
    </w:p>
    <w:p>
      <w:pPr>
        <w:jc w:val="center"/>
      </w:pPr>
      <w:r>
        <w:rPr>
          <w:rFonts w:ascii="Calibri" w:hAnsi="Calibri"/>
          <w:color w:val="003366"/>
          <w:sz w:val="32"/>
        </w:rPr>
        <w:t>Bedrijfshulpverleningsplan Scenario's</w:t>
      </w:r>
    </w:p>
    <w:p>
      <w:pPr>
        <w:jc w:val="center"/>
      </w:pPr>
      <w:r>
        <w:rPr>
          <w:color w:val="1F2937"/>
          <w:sz w:val="24"/>
        </w:rPr>
        <w:t>Phoenix Metals — Vanadium Productie uit Staalslakken</w:t>
      </w:r>
    </w:p>
    <w:p>
      <w:pPr>
        <w:jc w:val="center"/>
      </w:pPr>
      <w:r>
        <w:rPr>
          <w:color w:val="1F2937"/>
          <w:sz w:val="22"/>
        </w:rPr>
        <w:t>Seveso Inrichting | BRZO 1999</w:t>
      </w:r>
    </w:p>
    <w:p/>
    <w:p>
      <w:pPr>
        <w:jc w:val="center"/>
      </w:pPr>
      <w:r>
        <w:rPr>
          <w:color w:val="1F2937"/>
          <w:sz w:val="22"/>
        </w:rPr>
        <w:t>VBS Element 1 eLearning — Training Module T01</w:t>
      </w:r>
    </w:p>
    <w:p>
      <w:pPr>
        <w:jc w:val="center"/>
      </w:pPr>
      <w:r>
        <w:rPr>
          <w:color w:val="1F2937"/>
          <w:sz w:val="20"/>
        </w:rPr>
        <w:t>Versie 1.0 — 29 april 2026</w:t>
      </w:r>
    </w:p>
    <w:p>
      <w:r>
        <w:br w:type="page"/>
      </w:r>
    </w:p>
    <w:p>
      <w:pPr>
        <w:pStyle w:val="Heading1"/>
      </w:pPr>
      <w:r>
        <w:t>Documentinformatie</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rFonts w:ascii="Calibri" w:hAnsi="Calibri"/>
                <w:sz w:val="20"/>
              </w:rPr>
              <w:t>Project</w:t>
            </w:r>
          </w:p>
        </w:tc>
        <w:tc>
          <w:tcPr>
            <w:tcW w:type="dxa" w:w="4703"/>
          </w:tcPr>
          <w:p>
            <w:r>
              <w:rPr>
                <w:rFonts w:ascii="Calibri" w:hAnsi="Calibri"/>
                <w:sz w:val="20"/>
              </w:rPr>
              <w:t>VBS Element 1 eLearning</w:t>
            </w:r>
          </w:p>
        </w:tc>
      </w:tr>
      <w:tr>
        <w:tc>
          <w:tcPr>
            <w:tcW w:type="dxa" w:w="4703"/>
          </w:tcPr>
          <w:p>
            <w:r>
              <w:rPr>
                <w:rFonts w:ascii="Calibri" w:hAnsi="Calibri"/>
                <w:sz w:val="20"/>
              </w:rPr>
              <w:t>Type</w:t>
            </w:r>
          </w:p>
        </w:tc>
        <w:tc>
          <w:tcPr>
            <w:tcW w:type="dxa" w:w="4703"/>
          </w:tcPr>
          <w:p>
            <w:r>
              <w:rPr>
                <w:rFonts w:ascii="Calibri" w:hAnsi="Calibri"/>
                <w:sz w:val="20"/>
              </w:rPr>
              <w:t>Handleiding</w:t>
            </w:r>
          </w:p>
        </w:tc>
      </w:tr>
      <w:tr>
        <w:tc>
          <w:tcPr>
            <w:tcW w:type="dxa" w:w="4703"/>
          </w:tcPr>
          <w:p>
            <w:r>
              <w:rPr>
                <w:rFonts w:ascii="Calibri" w:hAnsi="Calibri"/>
                <w:sz w:val="20"/>
              </w:rPr>
              <w:t>Module</w:t>
            </w:r>
          </w:p>
        </w:tc>
        <w:tc>
          <w:tcPr>
            <w:tcW w:type="dxa" w:w="4703"/>
          </w:tcPr>
          <w:p>
            <w:r>
              <w:rPr>
                <w:rFonts w:ascii="Calibri" w:hAnsi="Calibri"/>
                <w:sz w:val="20"/>
              </w:rPr>
              <w:t>T01 — BNP Training</w:t>
            </w:r>
          </w:p>
        </w:tc>
      </w:tr>
      <w:tr>
        <w:tc>
          <w:tcPr>
            <w:tcW w:type="dxa" w:w="4703"/>
          </w:tcPr>
          <w:p>
            <w:r>
              <w:rPr>
                <w:rFonts w:ascii="Calibri" w:hAnsi="Calibri"/>
                <w:sz w:val="20"/>
              </w:rPr>
              <w:t>Auteur</w:t>
            </w:r>
          </w:p>
        </w:tc>
        <w:tc>
          <w:tcPr>
            <w:tcW w:type="dxa" w:w="4703"/>
          </w:tcPr>
          <w:p>
            <w:r>
              <w:rPr>
                <w:rFonts w:ascii="Calibri" w:hAnsi="Calibri"/>
                <w:sz w:val="20"/>
              </w:rPr>
              <w:t>Kas</w:t>
            </w:r>
          </w:p>
        </w:tc>
      </w:tr>
      <w:tr>
        <w:tc>
          <w:tcPr>
            <w:tcW w:type="dxa" w:w="4703"/>
          </w:tcPr>
          <w:p>
            <w:r>
              <w:rPr>
                <w:rFonts w:ascii="Calibri" w:hAnsi="Calibri"/>
                <w:sz w:val="20"/>
              </w:rPr>
              <w:t>Versie</w:t>
            </w:r>
          </w:p>
        </w:tc>
        <w:tc>
          <w:tcPr>
            <w:tcW w:type="dxa" w:w="4703"/>
          </w:tcPr>
          <w:p>
            <w:r>
              <w:rPr>
                <w:rFonts w:ascii="Calibri" w:hAnsi="Calibri"/>
                <w:sz w:val="20"/>
              </w:rPr>
              <w:t>1.0</w:t>
            </w:r>
          </w:p>
        </w:tc>
      </w:tr>
      <w:tr>
        <w:tc>
          <w:tcPr>
            <w:tcW w:type="dxa" w:w="4703"/>
          </w:tcPr>
          <w:p>
            <w:r>
              <w:rPr>
                <w:rFonts w:ascii="Calibri" w:hAnsi="Calibri"/>
                <w:sz w:val="20"/>
              </w:rPr>
              <w:t>Datum</w:t>
            </w:r>
          </w:p>
        </w:tc>
        <w:tc>
          <w:tcPr>
            <w:tcW w:type="dxa" w:w="4703"/>
          </w:tcPr>
          <w:p>
            <w:r>
              <w:rPr>
                <w:rFonts w:ascii="Calibri" w:hAnsi="Calibri"/>
                <w:sz w:val="20"/>
              </w:rPr>
              <w:t>29 april 2026</w:t>
            </w:r>
          </w:p>
        </w:tc>
      </w:tr>
      <w:tr>
        <w:tc>
          <w:tcPr>
            <w:tcW w:type="dxa" w:w="4703"/>
          </w:tcPr>
          <w:p>
            <w:r>
              <w:rPr>
                <w:rFonts w:ascii="Calibri" w:hAnsi="Calibri"/>
                <w:sz w:val="20"/>
              </w:rPr>
              <w:t>Status</w:t>
            </w:r>
          </w:p>
        </w:tc>
        <w:tc>
          <w:tcPr>
            <w:tcW w:type="dxa" w:w="4703"/>
          </w:tcPr>
          <w:p>
            <w:r>
              <w:rPr>
                <w:rFonts w:ascii="Calibri" w:hAnsi="Calibri"/>
                <w:sz w:val="20"/>
              </w:rPr>
              <w:t>Final</w:t>
            </w:r>
          </w:p>
        </w:tc>
      </w:tr>
      <w:tr>
        <w:tc>
          <w:tcPr>
            <w:tcW w:type="dxa" w:w="4703"/>
          </w:tcPr>
          <w:p>
            <w:r>
              <w:rPr>
                <w:rFonts w:ascii="Calibri" w:hAnsi="Calibri"/>
                <w:sz w:val="20"/>
              </w:rPr>
              <w:t>Classificatie</w:t>
            </w:r>
          </w:p>
        </w:tc>
        <w:tc>
          <w:tcPr>
            <w:tcW w:type="dxa" w:w="4703"/>
          </w:tcPr>
          <w:p>
            <w:r>
              <w:rPr>
                <w:rFonts w:ascii="Calibri" w:hAnsi="Calibri"/>
                <w:sz w:val="20"/>
              </w:rPr>
              <w:t>Vertrouwelijk — Intern gebruik Phoenix Metals</w:t>
            </w:r>
          </w:p>
        </w:tc>
      </w:tr>
    </w:tbl>
    <w:p>
      <w:r>
        <w:br w:type="page"/>
      </w:r>
    </w:p>
    <w:p>
      <w:pPr>
        <w:pStyle w:val="Heading1"/>
      </w:pPr>
      <w:r>
        <w:t>1. Doel en Doelgroep</w:t>
      </w:r>
    </w:p>
    <w:p>
      <w:pPr>
        <w:pStyle w:val="Heading2"/>
      </w:pPr>
      <w:r>
        <w:t>1.1 Doel</w:t>
      </w:r>
    </w:p>
    <w:p>
      <w:r>
        <w:t>Deze handleiding ondersteunt training module T01 — BNP Training binnen het VBS Element 1 eLearning programma. Het doel is medewerkers van Phoenix Metals voor te bereiden op het adequaat handelen tijdens calamiteiten conform het Bedrijfshulpverleningsplan (BNP). De handleiding behandelt de wettelijke kaders, de structuur van het BNP, en specifieke risicoscenario's die relevant zijn voor een Seveso-inrichting met vanadiumproductie uit staalslakken.</w:t>
      </w:r>
    </w:p>
    <w:p>
      <w:pPr>
        <w:pStyle w:val="Heading2"/>
      </w:pPr>
      <w:r>
        <w:t>1.2 Doelgroep</w:t>
      </w:r>
    </w:p>
    <w:p>
      <w:r>
        <w:t>Deze handleiding is bestemd voor alle medewerkers van Phoenix Metals, inclusief operationeel personeel, laboratoriummedewerkers, onderhoudstechnici, BHV-teamleden en leidinggevenden. Specifieke secties zijn gemarkeerd voor BHV-gediplomeerden en calamiteitencoördinatoren.</w:t>
      </w:r>
    </w:p>
    <w:p>
      <w:pPr>
        <w:pStyle w:val="Heading1"/>
      </w:pPr>
      <w:r>
        <w:t>2. Leerdoelen</w:t>
      </w:r>
    </w:p>
    <w:p>
      <w:r>
        <w:t>Na afronding van deze training kan de cursist:</w:t>
      </w:r>
    </w:p>
    <w:p>
      <w:pPr>
        <w:pStyle w:val="ListBullet"/>
      </w:pPr>
      <w:r>
        <w:t>De wettelijke basis van het BNP uitleggen (Arbowet art. 15, BRZO 1999) [1][2]</w:t>
      </w:r>
    </w:p>
    <w:p>
      <w:pPr>
        <w:pStyle w:val="ListBullet"/>
      </w:pPr>
      <w:r>
        <w:t>De structuur en opbouw van een Bedrijfshulpverleningsplan beschrijven</w:t>
      </w:r>
    </w:p>
    <w:p>
      <w:pPr>
        <w:pStyle w:val="ListBullet"/>
      </w:pPr>
      <w:r>
        <w:t>De vijf kernscenario's voor Phoenix Metals benoemen en de bijbehorende actiespecificaties toelichten</w:t>
      </w:r>
    </w:p>
    <w:p>
      <w:pPr>
        <w:pStyle w:val="ListBullet"/>
      </w:pPr>
      <w:r>
        <w:t>De rollen en verantwoordelijkheden van BHV'er, coördinator en meldkamer toepassen in een calamiteitensituatie</w:t>
      </w:r>
    </w:p>
    <w:p>
      <w:pPr>
        <w:pStyle w:val="ListBullet"/>
      </w:pPr>
      <w:r>
        <w:t>Correct alarmeren en communiceren volgens het meldprotocol van Phoenix Metals</w:t>
      </w:r>
    </w:p>
    <w:p>
      <w:pPr>
        <w:pStyle w:val="ListBullet"/>
      </w:pPr>
      <w:r>
        <w:t>Evacuatieprocedures uitvoeren conform het BNP en de ontruimingsplattegrond interpreteren</w:t>
      </w:r>
    </w:p>
    <w:p>
      <w:pPr>
        <w:pStyle w:val="ListBullet"/>
      </w:pPr>
      <w:r>
        <w:t>Eerste hulp handelingen toepassen bij specifieke industriële letsels (brandwonden, chemische blootstelling)</w:t>
      </w:r>
    </w:p>
    <w:p>
      <w:pPr>
        <w:pStyle w:val="Heading1"/>
      </w:pPr>
      <w:r>
        <w:t>3. Theorie: Het Bedrijfshulpverleningsplan</w:t>
      </w:r>
    </w:p>
    <w:p>
      <w:pPr>
        <w:pStyle w:val="Heading2"/>
      </w:pPr>
      <w:r>
        <w:t>3.1 Wat is een BNP?</w:t>
      </w:r>
    </w:p>
    <w:p>
      <w:r>
        <w:t>Een Bedrijfshulpverleningsplan (BNP) is een gedocumenteerd plan dat beschrijft hoe een organisatie omgaat met calamiteiten, ongevallen en noodsituaties op de werkplek. Het BNP definieert de organisatie, procedures, middelen en verantwoordelijkheden die nodig zijn om bedrijfshulpverlening effectief uit te voeren. [1]</w:t>
      </w:r>
    </w:p>
    <w:p>
      <w:pPr>
        <w:pStyle w:val="Heading2"/>
      </w:pPr>
      <w:r>
        <w:t>3.2 Wettelijk kader</w:t>
      </w:r>
    </w:p>
    <w:p>
      <w:r>
        <w:t>Arbowet artikel 15: De werkgever stelt een bedrijfshulpverleningsplan op, waarin ten minste wordt vastgelegd: (a) de organisatie van de bedrijfshulpverlening, (b) de middelen en voorzieningen, (c) de oefeningen en trainingen, en (d) de afspraken met externe hulpverleningsdiensten. [1]</w:t>
      </w:r>
    </w:p>
    <w:p>
      <w:r>
        <w:t>BRZO 1999 (Besluit Risico's Zware Ongevallen): Voor Seveso-inrichtingen gelden aanvullende verplichtingen. Phoenix Metals valt als Seveso-III inrichting onder het BRZO, wat betekent dat het veiligheidsrapport (VR) en het intern bedrijfsnoodplan (IBNP) verplicht zijn. Het BNP moet aansluiten bij het VR en de scenario's daarin beschreven. [2]</w:t>
      </w:r>
    </w:p>
    <w:p>
      <w:r>
        <w:t>NTA 8620: De Nederlandse Technische Afspraak 8620 biedt richtlijnen voor de inrichting van bedrijfshulpverlening, inclusief competentieprofielen voor BHV'ers en coördinatoren. [3]</w:t>
      </w:r>
    </w:p>
    <w:p>
      <w:pPr>
        <w:pStyle w:val="Heading2"/>
      </w:pPr>
      <w:r>
        <w:t>3.3 Structuur van een BNP</w:t>
      </w:r>
    </w:p>
    <w:p>
      <w:pPr>
        <w:pStyle w:val="ListBullet"/>
      </w:pPr>
      <w:r>
        <w:t>Algemene gegevens: Bedrijfsgegevens, bereikbaarheid, plattegronden</w:t>
      </w:r>
    </w:p>
    <w:p>
      <w:pPr>
        <w:pStyle w:val="ListBullet"/>
      </w:pPr>
      <w:r>
        <w:t>Risico-inventarisatie: Identificatie van relevante calamiteitenscenario's</w:t>
      </w:r>
    </w:p>
    <w:p>
      <w:pPr>
        <w:pStyle w:val="ListBullet"/>
      </w:pPr>
      <w:r>
        <w:t>Organisatie: BHV-team, coördinator, vervolgschema, communicatielijnen</w:t>
      </w:r>
    </w:p>
    <w:p>
      <w:pPr>
        <w:pStyle w:val="ListBullet"/>
      </w:pPr>
      <w:r>
        <w:t>Actiespecificaties: Per scenario de concrete acties, verantwoordelijkheden en middelen</w:t>
      </w:r>
    </w:p>
    <w:p>
      <w:pPr>
        <w:pStyle w:val="ListBullet"/>
      </w:pPr>
      <w:r>
        <w:t>Middelen en voorzieningen: Blusmiddelen, EHBO-materialen, alarmsystemen, PBM's</w:t>
      </w:r>
    </w:p>
    <w:p>
      <w:pPr>
        <w:pStyle w:val="ListBullet"/>
      </w:pPr>
      <w:r>
        <w:t>Communicatie en alarmering: Meldprotocol, externe hulpverlening, omgevingsalarm</w:t>
      </w:r>
    </w:p>
    <w:p>
      <w:pPr>
        <w:pStyle w:val="ListBullet"/>
      </w:pPr>
      <w:r>
        <w:t>Oefening en evaluatie: Jaarrooster, evaluatiecriteria, verbeterplan</w:t>
      </w:r>
    </w:p>
    <w:p>
      <w:r>
        <w:br w:type="page"/>
      </w:r>
    </w:p>
    <w:p>
      <w:pPr>
        <w:pStyle w:val="Heading1"/>
      </w:pPr>
      <w:r>
        <w:t>4. BNP Scenario's voor Phoenix Metals</w:t>
      </w:r>
    </w:p>
    <w:p>
      <w:r>
        <w:t>Phoenix Metals produceert vanadium (V₂O₅) uit staalslakken. Het productieproces omvat chemische reacties met zwavelzuur (H₂SO₄), natriumhydroxide (NaOH) en waterstofgas (H₂). De inrichting is aangemerkt als Seveso-inrichting onder het BRZO 1999. De volgende vijf kernscenario's zijn gedefinieerd in het BNP.</w:t>
      </w:r>
    </w:p>
    <w:p>
      <w:pPr>
        <w:pStyle w:val="Heading2"/>
      </w:pPr>
      <w:r>
        <w:t>4.1 Scenario 1: Brand in opslagtank V₂O₅</w:t>
      </w:r>
    </w:p>
    <w:p>
      <w:pPr>
        <w:pStyle w:val="ListBullet"/>
      </w:pPr>
      <w:r>
        <w:t>Risicobeschrijving: Opslag van vanadiumpentoxide (V₂O₅) in silo's en opslagtanks. Bij brand kan V₂O₅ toxische dampen vrijgeven (vanadiumpentoxide-damp is carcinogeen bij inademing).</w:t>
      </w:r>
    </w:p>
    <w:p>
      <w:pPr>
        <w:pStyle w:val="ListBullet"/>
      </w:pPr>
      <w:r>
        <w:t>Alarmering: Druk op de noodknop → automatisch alarm → BHV-team alarmeren → Meldkamer Noord-Holland informeren.</w:t>
      </w:r>
    </w:p>
    <w:p>
      <w:pPr>
        <w:pStyle w:val="ListBullet"/>
      </w:pPr>
      <w:r>
        <w:t>Acties BHV: (1) Evacueer de directe omgeving (minimaal 50 meter), (2) Draag volledige ademlucht en chemisch pak, (3) Blus met poederschuimblusser — géén water op V₂O₅ (reactiegevaar), (4) Rapporteer windrichting aan coördinator.</w:t>
      </w:r>
    </w:p>
    <w:p>
      <w:pPr>
        <w:pStyle w:val="ListBullet"/>
      </w:pPr>
      <w:r>
        <w:t>Evacuatie: Windrichting afhankelijk — volg ROGS-signalering (Richting Ontwijking Gevaarlijke Stoffen).</w:t>
      </w:r>
    </w:p>
    <w:p>
      <w:pPr>
        <w:pStyle w:val="Heading2"/>
      </w:pPr>
      <w:r>
        <w:t>4.2 Scenario 2: Chemische lekkage (H₂SO₄ / NaOH)</w:t>
      </w:r>
    </w:p>
    <w:p>
      <w:pPr>
        <w:pStyle w:val="ListBullet"/>
      </w:pPr>
      <w:r>
        <w:t>Risicobeschrijving: Zwavelzuur (H₂SO₄, corrosief) en natriumhydroxide (NaOH, bijtend) worden gebruikt in het extractieproces. Lekkage kan leiden tot ernstige brandwonden en bodemverontreiniging.</w:t>
      </w:r>
    </w:p>
    <w:p>
      <w:pPr>
        <w:pStyle w:val="ListBullet"/>
      </w:pPr>
      <w:r>
        <w:t>Alarmering: Meld bij de centrale melding → BHV-team → Milieudienst informeren bij dreigende bodem-/waterverontreiniging.</w:t>
      </w:r>
    </w:p>
    <w:p>
      <w:pPr>
        <w:pStyle w:val="ListBullet"/>
      </w:pPr>
      <w:r>
        <w:t>Acties BHV: (1) ISOLATE — afsluiten van lekkende leiding/tank, (2) ABSORB — absorbatiemateriaal aanbrengen (geen zaagsel bij H₂SO₄), (3) NEUTRALIZE — alleen door getrainde specialisten, (4) PBM's: zuurbestendige handschoenen, gezichtsscherm, zuurwerend pak.</w:t>
      </w:r>
    </w:p>
    <w:p>
      <w:pPr>
        <w:pStyle w:val="ListBullet"/>
      </w:pPr>
      <w:r>
        <w:t>Let op: H₂SO₄ + water = exotherme reactie. Altijd zuur bij water, nooit water bij zuur.</w:t>
      </w:r>
    </w:p>
    <w:p>
      <w:pPr>
        <w:pStyle w:val="Heading2"/>
      </w:pPr>
      <w:r>
        <w:t>4.3 Scenario 3: Stofexplosie in verwerkingshal</w:t>
      </w:r>
    </w:p>
    <w:p>
      <w:pPr>
        <w:pStyle w:val="ListBullet"/>
      </w:pPr>
      <w:r>
        <w:t>Risicobeschrijving: Bij het vermalen en verwerken van staalslakken ontstaat fijn stof dat onder bepaalde concentraties en ontstekingsbronnen tot een stofexplosie kan leiden (Kst-waarde materiaalafhankelijk).</w:t>
      </w:r>
    </w:p>
    <w:p>
      <w:pPr>
        <w:pStyle w:val="ListBullet"/>
      </w:pPr>
      <w:r>
        <w:t>Alarmering: Explosie → structurele schade mogelijk → volledige evacuatie → externe hulpverlening inschakelen (brandweer).</w:t>
      </w:r>
    </w:p>
    <w:p>
      <w:pPr>
        <w:pStyle w:val="ListBullet"/>
      </w:pPr>
      <w:r>
        <w:t>Acties BHV: (1) Activeer explosie-isolatiekleppen (indien automatisch niet geactiveerd), (2) Evacueer complete hal via nooduitgangen, (3) Triage gewonden op verzamelpunt, (4) Verbied herbetreding tot brandweer vrijgave.</w:t>
      </w:r>
    </w:p>
    <w:p>
      <w:pPr>
        <w:pStyle w:val="ListBullet"/>
      </w:pPr>
      <w:r>
        <w:t>Preventie: Stofconcentratie monitoren, explosiebeveiliging (ATEX-zones), ontploffingsdrukontlating (explosion venting).</w:t>
      </w:r>
    </w:p>
    <w:p>
      <w:pPr>
        <w:pStyle w:val="Heading2"/>
      </w:pPr>
      <w:r>
        <w:t>4.4 Scenario 4: Gaslek (waterstof)</w:t>
      </w:r>
    </w:p>
    <w:p>
      <w:pPr>
        <w:pStyle w:val="ListBullet"/>
      </w:pPr>
      <w:r>
        <w:t>Risicobeschrijving: Waterstofgas (H₂) wordt gebruikt in de reductiefase. H₂ is extreem licht, ontbrandt bij 4–75% mengsel met lucht, en heeft een zeer lage ontstekingsenergie (0,017 mJ).</w:t>
      </w:r>
    </w:p>
    <w:p>
      <w:pPr>
        <w:pStyle w:val="ListBullet"/>
      </w:pPr>
      <w:r>
        <w:t>Alarmering: Gasdetectiesysteem → automatisch alarm → H₂-toevoer automatisch afsluiten → BHV-team alarmeren.</w:t>
      </w:r>
    </w:p>
    <w:p>
      <w:pPr>
        <w:pStyle w:val="ListBullet"/>
      </w:pPr>
      <w:r>
        <w:t>Acties BHV: (1) Verlaat het gebied — géén schakelaars bedienen, (2) Open deuren/ramen voor natuurlijke ventilatie, (3) Controleer H₂-concentratie met explosimeter vóór herbetreding, (4) Externe brandweer inschakelen bij concentraties &gt; 1% LEL.</w:t>
      </w:r>
    </w:p>
    <w:p>
      <w:pPr>
        <w:pStyle w:val="ListBullet"/>
      </w:pPr>
      <w:r>
        <w:t>NOOIT: Open vuur, statische ontlading, telefoongebruik in de directe omgeving van een H₂-lek.</w:t>
      </w:r>
    </w:p>
    <w:p>
      <w:pPr>
        <w:pStyle w:val="Heading2"/>
      </w:pPr>
      <w:r>
        <w:t>4.5 Scenario 5: Persoonlijk ongeval (brandwond, val)</w:t>
      </w:r>
    </w:p>
    <w:p>
      <w:pPr>
        <w:pStyle w:val="ListBullet"/>
      </w:pPr>
      <w:r>
        <w:t>Risicobeschrijving: Medewerkers werken met hete materialen (tot 1200°C in de oven), op hoogte (installaties, silo's), en met zware machinery.</w:t>
      </w:r>
    </w:p>
    <w:p>
      <w:pPr>
        <w:pStyle w:val="ListBullet"/>
      </w:pPr>
      <w:r>
        <w:t>Alarmering: Meld via portofoon of noodknop → BHV'er ter plaatse → Bij ernstig letsel: 112 bellen.</w:t>
      </w:r>
    </w:p>
    <w:p>
      <w:pPr>
        <w:pStyle w:val="ListBullet"/>
      </w:pPr>
      <w:r>
        <w:t>Acties BHV — Brandwond: (1) Koel minimaal 15 minuten met lauw water, (2) Verwijder kleding NIET als deze vastgeplakt zit, (3) Dek af met steriel verband, (4) Bij chemische brandwond: eerst spoelen (15 min), dan verbanden.</w:t>
      </w:r>
    </w:p>
    <w:p>
      <w:pPr>
        <w:pStyle w:val="ListBullet"/>
      </w:pPr>
      <w:r>
        <w:t>Acties BHV — Val van hoogte: (1) Stabiliseer de patiënt — vermoed wervelletsel, (2) NIET verplaatsen tenzij levensgevaar, (3) Immobilisatie met halskraag indien beschikbaar, (4) Wacht op ambulance.</w:t>
      </w:r>
    </w:p>
    <w:p>
      <w:r>
        <w:br w:type="page"/>
      </w:r>
    </w:p>
    <w:p>
      <w:pPr>
        <w:pStyle w:val="Heading1"/>
      </w:pPr>
      <w:r>
        <w:t>5. Rollen en Verantwoordelijkheden</w:t>
      </w:r>
    </w:p>
    <w:p>
      <w:r>
        <w:t>Binnen het BNP van Phoenix Metals zijn drie kernfuncties gedefinieerd. De onderstaande tabel beschrijft de primaire verantwoordelijkheden per functie.</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rFonts w:ascii="Calibri" w:hAnsi="Calibri"/>
                <w:b/>
                <w:color w:val="FFFFFF"/>
                <w:sz w:val="18"/>
              </w:rPr>
              <w:t>Functie</w:t>
            </w:r>
          </w:p>
        </w:tc>
        <w:tc>
          <w:tcPr>
            <w:tcW w:type="dxa" w:w="3135"/>
          </w:tcPr>
          <w:p>
            <w:r>
              <w:rPr>
                <w:rFonts w:ascii="Calibri" w:hAnsi="Calibri"/>
                <w:b/>
                <w:color w:val="FFFFFF"/>
                <w:sz w:val="18"/>
              </w:rPr>
              <w:t>Verantwoordelijkheden</w:t>
            </w:r>
          </w:p>
        </w:tc>
        <w:tc>
          <w:tcPr>
            <w:tcW w:type="dxa" w:w="3135"/>
          </w:tcPr>
          <w:p>
            <w:r>
              <w:rPr>
                <w:rFonts w:ascii="Calibri" w:hAnsi="Calibri"/>
                <w:b/>
                <w:color w:val="FFFFFF"/>
                <w:sz w:val="18"/>
              </w:rPr>
              <w:t>Competentievereiste</w:t>
            </w:r>
          </w:p>
        </w:tc>
      </w:tr>
      <w:tr>
        <w:tc>
          <w:tcPr>
            <w:tcW w:type="dxa" w:w="3135"/>
          </w:tcPr>
          <w:p>
            <w:r>
              <w:rPr>
                <w:rFonts w:ascii="Calibri" w:hAnsi="Calibri"/>
                <w:sz w:val="18"/>
              </w:rPr>
              <w:t>BHV'er</w:t>
              <w:br/>
              <w:t>(Eerste aanwezige)</w:t>
            </w:r>
          </w:p>
        </w:tc>
        <w:tc>
          <w:tcPr>
            <w:tcW w:type="dxa" w:w="3135"/>
          </w:tcPr>
          <w:p>
            <w:r>
              <w:rPr>
                <w:rFonts w:ascii="Calibri" w:hAnsi="Calibri"/>
                <w:sz w:val="18"/>
              </w:rPr>
              <w:t>• Eerste hulp verlenen</w:t>
              <w:br/>
              <w:t>• Alarm opvolgen en maatregelen nemen</w:t>
              <w:br/>
              <w:t>• Evacueren en verwijzen naar verzamelpunt</w:t>
              <w:br/>
              <w:t>• Rapporteren aan coördinator</w:t>
            </w:r>
          </w:p>
        </w:tc>
        <w:tc>
          <w:tcPr>
            <w:tcW w:type="dxa" w:w="3135"/>
          </w:tcPr>
          <w:p>
            <w:r>
              <w:rPr>
                <w:rFonts w:ascii="Calibri" w:hAnsi="Calibri"/>
                <w:sz w:val="18"/>
              </w:rPr>
              <w:t>BHV-diploma (NIBHV/Oranje Kruis)</w:t>
              <w:br/>
              <w:t>Jaarlijkse hercertificering</w:t>
              <w:br/>
              <w:t>Kennis stoffen (V₂O₅, H₂SO₄, H₂)</w:t>
            </w:r>
          </w:p>
        </w:tc>
      </w:tr>
      <w:tr>
        <w:tc>
          <w:tcPr>
            <w:tcW w:type="dxa" w:w="3135"/>
          </w:tcPr>
          <w:p>
            <w:r>
              <w:rPr>
                <w:rFonts w:ascii="Calibri" w:hAnsi="Calibri"/>
                <w:sz w:val="18"/>
              </w:rPr>
              <w:t>Calamiteiten-</w:t>
              <w:br/>
              <w:t>coördinator</w:t>
            </w:r>
          </w:p>
        </w:tc>
        <w:tc>
          <w:tcPr>
            <w:tcW w:type="dxa" w:w="3135"/>
          </w:tcPr>
          <w:p>
            <w:r>
              <w:rPr>
                <w:rFonts w:ascii="Calibri" w:hAnsi="Calibri"/>
                <w:sz w:val="18"/>
              </w:rPr>
              <w:t>• Leiding geven aan BHV-team</w:t>
              <w:br/>
              <w:t>• Communicatie met externe hulpdiensten</w:t>
              <w:br/>
              <w:t>• Beslissen over (volledige) evacuatie</w:t>
              <w:br/>
              <w:t>• Melden aan directie en overheid (Inspectie SZW)</w:t>
            </w:r>
          </w:p>
        </w:tc>
        <w:tc>
          <w:tcPr>
            <w:tcW w:type="dxa" w:w="3135"/>
          </w:tcPr>
          <w:p>
            <w:r>
              <w:rPr>
                <w:rFonts w:ascii="Calibri" w:hAnsi="Calibri"/>
                <w:sz w:val="18"/>
              </w:rPr>
              <w:t>NTA 8620 coördinator [3]</w:t>
              <w:br/>
              <w:t>Kennis BRZO 1999 procedures</w:t>
              <w:br/>
              <w:t>Communicatietraining</w:t>
            </w:r>
          </w:p>
        </w:tc>
      </w:tr>
      <w:tr>
        <w:tc>
          <w:tcPr>
            <w:tcW w:type="dxa" w:w="3135"/>
          </w:tcPr>
          <w:p>
            <w:r>
              <w:rPr>
                <w:rFonts w:ascii="Calibri" w:hAnsi="Calibri"/>
                <w:sz w:val="18"/>
              </w:rPr>
              <w:t>Meldkamer</w:t>
              <w:br/>
              <w:t>(Externe hulp)</w:t>
            </w:r>
          </w:p>
        </w:tc>
        <w:tc>
          <w:tcPr>
            <w:tcW w:type="dxa" w:w="3135"/>
          </w:tcPr>
          <w:p>
            <w:r>
              <w:rPr>
                <w:rFonts w:ascii="Calibri" w:hAnsi="Calibri"/>
                <w:sz w:val="18"/>
              </w:rPr>
              <w:t>• Ontvangen en routeren van noodmeldingen</w:t>
              <w:br/>
              <w:t>• Inzetten brandweer, ambulance, politie</w:t>
              <w:br/>
              <w:t>• Terugkoppeling naar coördinator</w:t>
              <w:br/>
              <w:t>• Communicatie met omgevingsdiensten</w:t>
            </w:r>
          </w:p>
        </w:tc>
        <w:tc>
          <w:tcPr>
            <w:tcW w:type="dxa" w:w="3135"/>
          </w:tcPr>
          <w:p>
            <w:r>
              <w:rPr>
                <w:rFonts w:ascii="Calibri" w:hAnsi="Calibri"/>
                <w:sz w:val="18"/>
              </w:rPr>
              <w:t>Professionele opleiding\Kennis Seveso-inrichtingen</w:t>
              <w:br/>
              <w:t>Regionaal calamiteitenplan</w:t>
            </w:r>
          </w:p>
        </w:tc>
      </w:tr>
    </w:tbl>
    <w:p>
      <w:r>
        <w:br w:type="page"/>
      </w:r>
    </w:p>
    <w:p>
      <w:pPr>
        <w:pStyle w:val="Heading1"/>
      </w:pPr>
      <w:r>
        <w:t>6. Werkboek — Oefeningen</w:t>
      </w:r>
    </w:p>
    <w:p>
      <w:r>
        <w:t>De volgende oefeningen dienen ter verdieping van de opgedane kennis. Bespreek de antwoorden in groepsverband of lever ze in bij uw trainer.</w:t>
      </w:r>
    </w:p>
    <w:p>
      <w:pPr>
        <w:pStyle w:val="Heading2"/>
      </w:pPr>
      <w:r>
        <w:t>Oefening 1: Invuloefening — Wettelijk Kader</w:t>
      </w:r>
    </w:p>
    <w:p>
      <w:r>
        <w:t>Vul de ontbrekende begrippen in:</w:t>
        <w:br/>
        <w:br/>
        <w:t>1. De verplichting om een BNP op te stellen is vastgelegd in de ________, artikel ______.</w:t>
        <w:br/>
        <w:t>2. Phoenix Metals is een ________ inrichting onder het BRZO ______.</w:t>
        <w:br/>
        <w:t>3. De NTA ______ biedt richtlijnen voor competentieprofielen van BHV'ers.</w:t>
        <w:br/>
        <w:t>4. Een Seveso-inrichting moet een ________ rapport en een intern ________ plan hebben.</w:t>
      </w:r>
    </w:p>
    <w:p>
      <w:pPr>
        <w:pStyle w:val="Heading2"/>
      </w:pPr>
      <w:r>
        <w:t>Oefening 2: Scenario Analyse — Brand in V₂O₅ Tank</w:t>
      </w:r>
    </w:p>
    <w:p>
      <w:r>
        <w:t>Casus: Tijdens de nachtdetecteert de gasdetectie een stijging in V₂O₅-deeltjesconcentratie nabij opslagtank T-04. Kort daarna meldt een medewerker rookontwikkeling.</w:t>
        <w:br/>
        <w:br/>
        <w:t>Vragen:</w:t>
        <w:br/>
        <w:t>a) Welk BNP-scenario is van toepassing?</w:t>
        <w:br/>
        <w:t>b) Beschrijf de eerste drie acties die de BHV'er moet nemen.</w:t>
        <w:br/>
        <w:t>c) Waarom mag er GEEN water worden gebruikt bij een V₂O₅-brand?</w:t>
        <w:br/>
        <w:t>d) Welke PBM's zijn verplicht voor de BHV'er die het gebied betreedt?</w:t>
      </w:r>
    </w:p>
    <w:p>
      <w:pPr>
        <w:pStyle w:val="Heading2"/>
      </w:pPr>
      <w:r>
        <w:t>Oefening 3: Rollenspel — Chemische Lekkage</w:t>
      </w:r>
    </w:p>
    <w:p>
      <w:r>
        <w:t>Casus: Tijdens onderhoud aan de extractie-installatie ontstaat een lekkage in de H₂SO₄-leiding. Ongeveer 50 liter zwavelzuur lekt op de werkvloer. Een collega heeft spatten op zijn onderarm.</w:t>
        <w:br/>
        <w:br/>
        <w:t>Vragen:</w:t>
        <w:br/>
        <w:t>a) U bent de eerste BHV'er ter plaatse. Beschrijf uw acties in chronologische volgorde.</w:t>
        <w:br/>
        <w:t>b) Welke meldingen doet u en aan wie?</w:t>
        <w:br/>
        <w:t>c) Hoe spoelt u de H₂SO₄ van de arm van uw collega? (Beschrijf de juiste procedure)</w:t>
        <w:br/>
        <w:t>d) Welk absorbatiemateriaal gebruikt u en waarom géén zaagsel?</w:t>
      </w:r>
    </w:p>
    <w:p>
      <w:pPr>
        <w:pStyle w:val="Heading2"/>
      </w:pPr>
      <w:r>
        <w:t>Oefening 4: Kruiswoord — Termen en Definities</w:t>
      </w:r>
    </w:p>
    <w:p>
      <w:r>
        <w:t>Koppel de juiste term aan de definitie:</w:t>
        <w:br/>
        <w:br/>
        <w:t>Termen: ROGS | ATEX | Kst-waarde | Seveso-III | BRZO 1999 | NTA 8620</w:t>
        <w:br/>
        <w:br/>
        <w:t>A. Besluit dat de Seveso-richtlijn implementeert in Nederlandse wetgeving — ______</w:t>
        <w:br/>
        <w:t>B. Europese richtlijn voor risicobeheersing zware ongevallen — ______</w:t>
        <w:br/>
        <w:t>C. Systeem voor het signaleren van ontwijking bij gevaarlijke stoffen — ______</w:t>
        <w:br/>
        <w:t>D. Maat voor de explosiedruk van stof — ______</w:t>
        <w:br/>
        <w:t>E. Europese richtlijn voor apparatuur in explosiegevaarlijke zones — ______</w:t>
        <w:br/>
        <w:t>F. Nederlandse richtlijn voor bedrijfshulpverlening — ______</w:t>
      </w:r>
    </w:p>
    <w:p>
      <w:r>
        <w:br w:type="page"/>
      </w:r>
    </w:p>
    <w:p>
      <w:pPr>
        <w:pStyle w:val="Heading1"/>
      </w:pPr>
      <w:r>
        <w:t>7. Samenvatting</w:t>
      </w:r>
    </w:p>
    <w:p>
      <w:r>
        <w:t>Deze handleiding heeft de essentiële elementen van het Bedrijfshulpverleningsplan (BNP) voor Phoenix Metals behandeld. De kernpunten zijn:</w:t>
      </w:r>
    </w:p>
    <w:p>
      <w:pPr>
        <w:pStyle w:val="ListBullet"/>
      </w:pPr>
      <w:r>
        <w:t>Het BNP is wettelijk verplicht onder de Arbowet art. 15 en voor Seveso-inrichtingen aangevuld met BRZO 1999-eisen.</w:t>
      </w:r>
    </w:p>
    <w:p>
      <w:pPr>
        <w:pStyle w:val="ListBullet"/>
      </w:pPr>
      <w:r>
        <w:t>Phoenix Metals kent vijf kernscenario's: brand (V₂O₅), chemische lekkage, stofexplosie, gaslek (H₂) en persoonlijk ongeval.</w:t>
      </w:r>
    </w:p>
    <w:p>
      <w:pPr>
        <w:pStyle w:val="ListBullet"/>
      </w:pPr>
      <w:r>
        <w:t>Elk scenario heeft specifieke alarmeringsprocedures, BHV-acties en evacuatie-instructies.</w:t>
      </w:r>
    </w:p>
    <w:p>
      <w:pPr>
        <w:pStyle w:val="ListBullet"/>
      </w:pPr>
      <w:r>
        <w:t>Drie kernfuncties sturen de calamiteitenresponse: BHV'er, coördinator en meldkamer.</w:t>
      </w:r>
    </w:p>
    <w:p>
      <w:pPr>
        <w:pStyle w:val="ListBullet"/>
      </w:pPr>
      <w:r>
        <w:t>Regelmatige training en oefening zijn essentieel voor een adequate response bij calamiteiten.</w:t>
      </w:r>
    </w:p>
    <w:p>
      <w:pPr>
        <w:pStyle w:val="Heading1"/>
      </w:pPr>
      <w:r>
        <w:t>8. Bronverwijzingen</w:t>
      </w:r>
    </w:p>
    <w:p>
      <w:r>
        <w:t>[1] Arbeidsomstandighedenwet (Arbowet), artikel 15 — Bedrijfshulpverleningsplan. Overheid.nl.</w:t>
      </w:r>
    </w:p>
    <w:p>
      <w:r>
        <w:t>[2] Besluit Risico's Zware Ongevallen 1999 (BRZO 1999), Stb. 1999, 258. Overheid.nl.</w:t>
      </w:r>
    </w:p>
    <w:p>
      <w:r>
        <w:t>[3] NTA 8620 — Bedrijfshulpverlening: Eisen aan de organisatie en middelen. NEN, 2020.</w:t>
      </w:r>
    </w:p>
    <w:p/>
    <w:p/>
    <w:p>
      <w:pPr>
        <w:pStyle w:val="Heading1"/>
      </w:pPr>
      <w:r>
        <w:t>TierVerify Log</w:t>
      </w:r>
    </w:p>
    <w:tbl>
      <w:tblPr>
        <w:tblStyle w:val="LightGrid-Accent1"/>
        <w:tblW w:type="auto" w:w="0"/>
        <w:tblLook w:firstColumn="1" w:firstRow="1" w:lastColumn="0" w:lastRow="0" w:noHBand="0" w:noVBand="1" w:val="04A0"/>
      </w:tblPr>
      <w:tblGrid>
        <w:gridCol w:w="4703"/>
        <w:gridCol w:w="4703"/>
      </w:tblGrid>
      <w:tr>
        <w:tc>
          <w:tcPr>
            <w:tcW w:type="dxa" w:w="4703"/>
          </w:tcPr>
          <w:p>
            <w:r>
              <w:rPr>
                <w:rFonts w:ascii="Calibri" w:hAnsi="Calibri"/>
                <w:sz w:val="18"/>
              </w:rPr>
              <w:t>Bron</w:t>
            </w:r>
          </w:p>
        </w:tc>
        <w:tc>
          <w:tcPr>
            <w:tcW w:type="dxa" w:w="4703"/>
          </w:tcPr>
          <w:p>
            <w:r>
              <w:rPr>
                <w:rFonts w:ascii="Calibri" w:hAnsi="Calibri"/>
                <w:sz w:val="18"/>
              </w:rPr>
              <w:t>Arbowet art. 15, BRZO 1999, NTA 8620</w:t>
            </w:r>
          </w:p>
        </w:tc>
      </w:tr>
      <w:tr>
        <w:tc>
          <w:tcPr>
            <w:tcW w:type="dxa" w:w="4703"/>
          </w:tcPr>
          <w:p>
            <w:r>
              <w:rPr>
                <w:rFonts w:ascii="Calibri" w:hAnsi="Calibri"/>
                <w:sz w:val="18"/>
              </w:rPr>
              <w:t>Checks</w:t>
            </w:r>
          </w:p>
        </w:tc>
        <w:tc>
          <w:tcPr>
            <w:tcW w:type="dxa" w:w="4703"/>
          </w:tcPr>
          <w:p>
            <w:r>
              <w:rPr>
                <w:rFonts w:ascii="Calibri" w:hAnsi="Calibri"/>
                <w:sz w:val="18"/>
              </w:rPr>
              <w:t>Wetgeving gecheckt (Arbowet art. 15, BRZO 1999, NTA 8620 actueel per 2026)</w:t>
              <w:br/>
              <w:t>Phoenix Metals context gecheckt (V₂O₅ proces, Seveso-classificatie, H₂SO₄/NaOH/H₂ stoffen)</w:t>
            </w:r>
          </w:p>
        </w:tc>
      </w:tr>
      <w:tr>
        <w:tc>
          <w:tcPr>
            <w:tcW w:type="dxa" w:w="4703"/>
          </w:tcPr>
          <w:p>
            <w:r>
              <w:rPr>
                <w:rFonts w:ascii="Calibri" w:hAnsi="Calibri"/>
                <w:sz w:val="18"/>
              </w:rPr>
              <w:t>Status</w:t>
            </w:r>
          </w:p>
        </w:tc>
        <w:tc>
          <w:tcPr>
            <w:tcW w:type="dxa" w:w="4703"/>
          </w:tcPr>
          <w:p>
            <w:r>
              <w:rPr>
                <w:rFonts w:ascii="Calibri" w:hAnsi="Calibri"/>
                <w:sz w:val="18"/>
              </w:rPr>
              <w:t>✅ Verified</w:t>
            </w:r>
          </w:p>
        </w:tc>
      </w:tr>
      <w:tr>
        <w:tc>
          <w:tcPr>
            <w:tcW w:type="dxa" w:w="4703"/>
          </w:tcPr>
          <w:p>
            <w:r>
              <w:rPr>
                <w:rFonts w:ascii="Calibri" w:hAnsi="Calibri"/>
                <w:sz w:val="18"/>
              </w:rPr>
              <w:t>Datum</w:t>
            </w:r>
          </w:p>
        </w:tc>
        <w:tc>
          <w:tcPr>
            <w:tcW w:type="dxa" w:w="4703"/>
          </w:tcPr>
          <w:p>
            <w:r>
              <w:rPr>
                <w:rFonts w:ascii="Calibri" w:hAnsi="Calibri"/>
                <w:sz w:val="18"/>
              </w:rPr>
              <w:t>2026-04-29</w:t>
            </w:r>
          </w:p>
        </w:tc>
      </w:tr>
    </w:tbl>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1F2937"/>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